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107FF" w14:textId="77777777" w:rsidR="00F71BE7" w:rsidRDefault="00F71BE7" w:rsidP="00060629">
      <w:pPr>
        <w:spacing w:before="360" w:after="0" w:line="360" w:lineRule="auto"/>
        <w:jc w:val="center"/>
        <w:rPr>
          <w:b/>
          <w:bCs/>
          <w:sz w:val="32"/>
          <w:szCs w:val="32"/>
        </w:rPr>
      </w:pPr>
      <w:r w:rsidRPr="00F71BE7">
        <w:rPr>
          <w:b/>
          <w:bCs/>
          <w:sz w:val="32"/>
          <w:szCs w:val="32"/>
        </w:rPr>
        <w:t>Graded Motor-Preparatory Dynamics Preserve Perceptual Decisions over Short Delays</w:t>
      </w:r>
    </w:p>
    <w:p w14:paraId="6E2C6D2B" w14:textId="77777777" w:rsidR="00D77EF5" w:rsidRPr="004E24C4" w:rsidRDefault="00D77EF5" w:rsidP="00060629">
      <w:pPr>
        <w:spacing w:before="360" w:after="0"/>
        <w:jc w:val="center"/>
        <w:rPr>
          <w:rFonts w:eastAsia="SimSun"/>
          <w:color w:val="000000"/>
          <w:vertAlign w:val="superscript"/>
          <w:lang w:val="fr-FR" w:eastAsia="ja-JP"/>
        </w:rPr>
      </w:pPr>
      <w:r w:rsidRPr="004E24C4">
        <w:rPr>
          <w:rFonts w:eastAsia="SimSun"/>
          <w:lang w:val="fr-FR" w:eastAsia="ja-JP"/>
        </w:rPr>
        <w:t xml:space="preserve">Johan </w:t>
      </w:r>
      <w:r w:rsidR="00161431">
        <w:rPr>
          <w:rFonts w:eastAsia="SimSun"/>
          <w:color w:val="000000"/>
          <w:lang w:val="fr-FR" w:eastAsia="ja-JP"/>
        </w:rPr>
        <w:t xml:space="preserve">A. </w:t>
      </w:r>
      <w:r w:rsidRPr="004E24C4">
        <w:rPr>
          <w:rFonts w:eastAsia="SimSun"/>
          <w:lang w:val="fr-FR" w:eastAsia="ja-JP"/>
        </w:rPr>
        <w:t>Achard</w:t>
      </w:r>
      <w:r w:rsidRPr="004E24C4">
        <w:rPr>
          <w:rFonts w:eastAsia="SimSun"/>
          <w:color w:val="000000"/>
          <w:vertAlign w:val="superscript"/>
          <w:lang w:val="fr-FR" w:eastAsia="ja-JP"/>
        </w:rPr>
        <w:t>1</w:t>
      </w:r>
      <w:r w:rsidRPr="004E24C4">
        <w:rPr>
          <w:rFonts w:eastAsia="SimSun"/>
          <w:lang w:val="fr-FR" w:eastAsia="ja-JP"/>
        </w:rPr>
        <w:t xml:space="preserve">, Thibault </w:t>
      </w:r>
      <w:proofErr w:type="spellStart"/>
      <w:r w:rsidRPr="004E24C4">
        <w:rPr>
          <w:rFonts w:eastAsia="SimSun"/>
          <w:lang w:val="fr-FR" w:eastAsia="ja-JP"/>
        </w:rPr>
        <w:t>Gajdos</w:t>
      </w:r>
      <w:proofErr w:type="spellEnd"/>
      <w:r w:rsidRPr="004E24C4">
        <w:rPr>
          <w:rFonts w:eastAsia="SimSun"/>
          <w:lang w:val="fr-FR" w:eastAsia="ja-JP"/>
        </w:rPr>
        <w:t xml:space="preserve"> Preuss</w:t>
      </w:r>
      <w:r w:rsidR="00AF7F8F" w:rsidRPr="004E24C4">
        <w:rPr>
          <w:rFonts w:eastAsia="SimSun"/>
          <w:color w:val="000000"/>
          <w:vertAlign w:val="superscript"/>
          <w:lang w:val="fr-FR" w:eastAsia="ja-JP"/>
        </w:rPr>
        <w:t>2</w:t>
      </w:r>
      <w:r w:rsidRPr="004E24C4">
        <w:rPr>
          <w:rFonts w:eastAsia="SimSun"/>
          <w:lang w:val="fr-FR" w:eastAsia="ja-JP"/>
        </w:rPr>
        <w:t>, Mathieu Servant</w:t>
      </w:r>
      <w:r w:rsidRPr="004E24C4">
        <w:rPr>
          <w:rFonts w:eastAsia="SimSun"/>
          <w:color w:val="000000"/>
          <w:vertAlign w:val="superscript"/>
          <w:lang w:val="fr-FR" w:eastAsia="ja-JP"/>
        </w:rPr>
        <w:t>1</w:t>
      </w:r>
    </w:p>
    <w:p w14:paraId="3964F8EB" w14:textId="77777777" w:rsidR="00D77EF5" w:rsidRPr="004E24C4" w:rsidRDefault="00D77EF5" w:rsidP="00D77EF5">
      <w:pPr>
        <w:spacing w:after="0"/>
        <w:jc w:val="center"/>
        <w:rPr>
          <w:rFonts w:eastAsia="SimSun"/>
          <w:color w:val="000000"/>
          <w:lang w:val="fr-FR" w:eastAsia="ja-JP"/>
        </w:rPr>
      </w:pPr>
    </w:p>
    <w:p w14:paraId="71AE1CC5" w14:textId="77777777" w:rsidR="00D77EF5" w:rsidRPr="00D77EF5" w:rsidRDefault="00D77EF5" w:rsidP="00D77EF5">
      <w:pPr>
        <w:spacing w:after="0"/>
        <w:jc w:val="center"/>
        <w:rPr>
          <w:rFonts w:eastAsia="SimSun"/>
          <w:color w:val="000000"/>
          <w:lang w:val="fr-FR" w:eastAsia="ja-JP"/>
        </w:rPr>
      </w:pPr>
      <w:r w:rsidRPr="00D77EF5">
        <w:rPr>
          <w:rFonts w:eastAsia="SimSun"/>
          <w:color w:val="000000"/>
          <w:vertAlign w:val="superscript"/>
          <w:lang w:val="fr-FR" w:eastAsia="ja-JP"/>
        </w:rPr>
        <w:t xml:space="preserve">1 </w:t>
      </w:r>
      <w:r w:rsidRPr="00D77EF5">
        <w:rPr>
          <w:rFonts w:eastAsia="SimSun"/>
          <w:lang w:val="fr-FR" w:eastAsia="ja-JP"/>
        </w:rPr>
        <w:t>Laboratoire de Recherches Intégratives en Neurosciences et Psychologie Cognitive, Institut National de la Santé et de la Recherche Médicale, Université Marie et Louis Pasteur</w:t>
      </w:r>
    </w:p>
    <w:p w14:paraId="3F92A3C2" w14:textId="77777777" w:rsidR="00D77EF5" w:rsidRPr="00D77EF5" w:rsidRDefault="00AF7F8F" w:rsidP="00D77EF5">
      <w:pPr>
        <w:spacing w:after="0"/>
        <w:jc w:val="center"/>
        <w:rPr>
          <w:rFonts w:eastAsia="SimSun"/>
          <w:color w:val="000000"/>
          <w:lang w:val="fr-FR" w:eastAsia="ja-JP"/>
        </w:rPr>
      </w:pPr>
      <w:r>
        <w:rPr>
          <w:rFonts w:eastAsia="SimSun"/>
          <w:color w:val="000000"/>
          <w:vertAlign w:val="superscript"/>
          <w:lang w:val="fr-FR" w:eastAsia="ja-JP"/>
        </w:rPr>
        <w:t>2</w:t>
      </w:r>
      <w:r w:rsidR="00D77EF5" w:rsidRPr="00D77EF5">
        <w:rPr>
          <w:rFonts w:eastAsia="SimSun"/>
          <w:vertAlign w:val="superscript"/>
          <w:lang w:val="fr-FR" w:eastAsia="ja-JP"/>
        </w:rPr>
        <w:t xml:space="preserve"> </w:t>
      </w:r>
      <w:r w:rsidR="00D77EF5" w:rsidRPr="00D77EF5">
        <w:rPr>
          <w:rFonts w:eastAsia="SimSun"/>
          <w:lang w:val="fr-FR" w:eastAsia="ja-JP"/>
        </w:rPr>
        <w:t>Centre de Recherche en Psychologie et Neuroscience, Centre National de la Recherche Scientifique, Aix-Marseille Université</w:t>
      </w:r>
    </w:p>
    <w:p w14:paraId="77A11C6B" w14:textId="77777777" w:rsidR="00E47408" w:rsidRPr="00D77EF5" w:rsidRDefault="00E47408" w:rsidP="003F39C0">
      <w:pPr>
        <w:rPr>
          <w:lang w:val="fr-FR"/>
        </w:rPr>
      </w:pPr>
    </w:p>
    <w:p w14:paraId="7ACC37FE" w14:textId="77777777" w:rsidR="00911A18" w:rsidRPr="00EF0399" w:rsidRDefault="00911A18" w:rsidP="00973A6A">
      <w:pPr>
        <w:spacing w:after="0" w:line="240" w:lineRule="auto"/>
        <w:rPr>
          <w:lang w:val="fr-FR"/>
        </w:rPr>
      </w:pPr>
    </w:p>
    <w:p w14:paraId="078D0689" w14:textId="77777777" w:rsidR="00662A1C" w:rsidRDefault="00E3156B" w:rsidP="00662A1C">
      <w:pPr>
        <w:spacing w:after="120" w:line="240" w:lineRule="auto"/>
      </w:pPr>
      <w:r w:rsidRPr="00514D69">
        <w:t>Abbreviated title:</w:t>
      </w:r>
      <w:r w:rsidR="00060629">
        <w:t xml:space="preserve"> </w:t>
      </w:r>
    </w:p>
    <w:p w14:paraId="4840619A" w14:textId="77777777" w:rsidR="00CF20D1" w:rsidRDefault="005B0941" w:rsidP="00662A1C">
      <w:pPr>
        <w:spacing w:after="120" w:line="240" w:lineRule="auto"/>
      </w:pPr>
      <w:r>
        <w:t>Perceptual Decisions over</w:t>
      </w:r>
      <w:r w:rsidR="00CF20D1" w:rsidRPr="00CF20D1">
        <w:t xml:space="preserve"> Short Delays</w:t>
      </w:r>
    </w:p>
    <w:p w14:paraId="68ED34BF" w14:textId="77777777" w:rsidR="00CF20D1" w:rsidRDefault="00CF20D1" w:rsidP="00662A1C">
      <w:pPr>
        <w:spacing w:after="120" w:line="240" w:lineRule="auto"/>
      </w:pPr>
    </w:p>
    <w:p w14:paraId="6F0D817D" w14:textId="77777777" w:rsidR="00E47408" w:rsidRDefault="00E47408" w:rsidP="00662A1C">
      <w:pPr>
        <w:spacing w:before="240"/>
      </w:pPr>
      <w:r>
        <w:t xml:space="preserve">Corresponding Author: </w:t>
      </w:r>
      <w:hyperlink r:id="rId11" w:history="1">
        <w:r w:rsidR="00D77B06" w:rsidRPr="00364A78">
          <w:rPr>
            <w:rStyle w:val="Lienhypertexte"/>
          </w:rPr>
          <w:t>mathieu.servant@umlp.fr</w:t>
        </w:r>
      </w:hyperlink>
    </w:p>
    <w:p w14:paraId="742D8D25" w14:textId="77777777" w:rsidR="00E47408" w:rsidRDefault="00E47408" w:rsidP="00E47408">
      <w:pPr>
        <w:pStyle w:val="Sansinterligne"/>
      </w:pPr>
      <w:r>
        <w:t>Number of pages:</w:t>
      </w:r>
      <w:r w:rsidR="002A741D">
        <w:t xml:space="preserve"> 43</w:t>
      </w:r>
    </w:p>
    <w:p w14:paraId="128CC47F" w14:textId="77777777" w:rsidR="00E47408" w:rsidRDefault="00E47408" w:rsidP="00E47408">
      <w:pPr>
        <w:pStyle w:val="Sansinterligne"/>
      </w:pPr>
      <w:r>
        <w:rPr>
          <w:color w:val="1F4E9E"/>
        </w:rPr>
        <w:t>Number of figures: 4 (plus 3 supplementary)</w:t>
      </w:r>
    </w:p>
    <w:p w14:paraId="3D5AFFF3" w14:textId="77777777" w:rsidR="00E47408" w:rsidRDefault="00E47408" w:rsidP="00E47408">
      <w:pPr>
        <w:pStyle w:val="Sansinterligne"/>
      </w:pPr>
      <w:r>
        <w:rPr>
          <w:color w:val="1F4E9E"/>
        </w:rPr>
        <w:t>Number of tables: 2 (plus 1 appendix table and 6 supplementary)</w:t>
      </w:r>
    </w:p>
    <w:p w14:paraId="6719CF83" w14:textId="77777777" w:rsidR="00E47408" w:rsidRDefault="00E47408" w:rsidP="00E47408">
      <w:pPr>
        <w:pStyle w:val="Sansinterligne"/>
      </w:pPr>
      <w:r w:rsidRPr="00E47408">
        <w:t>Number of multimedia and 3D models:</w:t>
      </w:r>
      <w:r w:rsidR="00911A18">
        <w:t xml:space="preserve"> 0</w:t>
      </w:r>
    </w:p>
    <w:p w14:paraId="643AC44E" w14:textId="77777777" w:rsidR="00E47408" w:rsidRDefault="00EF2883" w:rsidP="00E47408">
      <w:pPr>
        <w:pStyle w:val="Sansinterligne"/>
      </w:pPr>
      <w:r w:rsidRPr="00EF2883">
        <w:rPr>
          <w:color w:val="1F4E9E"/>
        </w:rPr>
        <w:t>Number of words for abstract: 248</w:t>
      </w:r>
    </w:p>
    <w:p w14:paraId="3D89DDDF" w14:textId="77777777" w:rsidR="00EF2883" w:rsidRDefault="00EF2883" w:rsidP="00E47408">
      <w:pPr>
        <w:pStyle w:val="Sansinterligne"/>
      </w:pPr>
      <w:r w:rsidRPr="00EF2883">
        <w:rPr>
          <w:color w:val="1F4E9E"/>
        </w:rPr>
        <w:t>Number of words for introduction: 648</w:t>
      </w:r>
    </w:p>
    <w:p w14:paraId="6D117F50" w14:textId="77777777" w:rsidR="00EF2883" w:rsidRDefault="00EF2883" w:rsidP="00E47408">
      <w:pPr>
        <w:pStyle w:val="Sansinterligne"/>
      </w:pPr>
      <w:r w:rsidRPr="00EF2883">
        <w:rPr>
          <w:color w:val="1F4E9E"/>
        </w:rPr>
        <w:t>Number of words for discussion: 1359</w:t>
      </w:r>
    </w:p>
    <w:p w14:paraId="534E0EF5" w14:textId="77777777" w:rsidR="00EF2883" w:rsidRDefault="00EF2883" w:rsidP="00E47408">
      <w:pPr>
        <w:pStyle w:val="Sansinterligne"/>
      </w:pPr>
    </w:p>
    <w:p w14:paraId="74A0A03F" w14:textId="77777777" w:rsidR="00E47408" w:rsidRDefault="00EF2883" w:rsidP="00E47408">
      <w:pPr>
        <w:pStyle w:val="Sansinterligne"/>
      </w:pPr>
      <w:r>
        <w:t>Conflic</w:t>
      </w:r>
      <w:r w:rsidRPr="00EF2883">
        <w:t>t</w:t>
      </w:r>
      <w:r>
        <w:t xml:space="preserve"> o</w:t>
      </w:r>
      <w:r w:rsidRPr="00EF2883">
        <w:t>f</w:t>
      </w:r>
      <w:r>
        <w:t xml:space="preserve"> interes</w:t>
      </w:r>
      <w:r w:rsidRPr="00EF2883">
        <w:t>t</w:t>
      </w:r>
      <w:r>
        <w:t xml:space="preserve"> statement</w:t>
      </w:r>
      <w:r w:rsidRPr="00EF2883">
        <w:t>:</w:t>
      </w:r>
      <w:r>
        <w:t xml:space="preserve"> Th</w:t>
      </w:r>
      <w:r w:rsidRPr="00EF2883">
        <w:t>e</w:t>
      </w:r>
      <w:r>
        <w:t xml:space="preserve"> author</w:t>
      </w:r>
      <w:r w:rsidRPr="00EF2883">
        <w:t>s</w:t>
      </w:r>
      <w:r>
        <w:t xml:space="preserve"> hav</w:t>
      </w:r>
      <w:r w:rsidRPr="00EF2883">
        <w:t>e</w:t>
      </w:r>
      <w:r>
        <w:t xml:space="preserve"> n</w:t>
      </w:r>
      <w:r w:rsidRPr="00EF2883">
        <w:t>o</w:t>
      </w:r>
      <w:r>
        <w:t xml:space="preserve"> conflic</w:t>
      </w:r>
      <w:r w:rsidRPr="00EF2883">
        <w:t>ts of</w:t>
      </w:r>
      <w:r>
        <w:t xml:space="preserve"> intere</w:t>
      </w:r>
      <w:r w:rsidRPr="00EF2883">
        <w:t>st to</w:t>
      </w:r>
      <w:r>
        <w:t xml:space="preserve"> </w:t>
      </w:r>
      <w:r w:rsidRPr="00EF2883">
        <w:t>declare.</w:t>
      </w:r>
    </w:p>
    <w:p w14:paraId="51308985" w14:textId="77777777" w:rsidR="00EF2883" w:rsidRDefault="00EF2883" w:rsidP="00E47408">
      <w:pPr>
        <w:pStyle w:val="Sansinterligne"/>
      </w:pPr>
    </w:p>
    <w:p w14:paraId="4E189E17" w14:textId="77777777" w:rsidR="00EF2883" w:rsidRDefault="00EF2883" w:rsidP="00EF2883">
      <w:pPr>
        <w:pStyle w:val="Sansinterligne"/>
      </w:pPr>
      <w:r>
        <w:t>Acknowledgments:  This work was funded by the European Union (ERC Starting Grant ITDA n°101039226 allocated to MS). Views and opinions expressed are however those of the author(s) only and do not necessarily reflect those of the European Union or the European Research Council. Neither the European Union nor the granting authority can be held responsible for them.</w:t>
      </w:r>
    </w:p>
    <w:p w14:paraId="2175ABFA" w14:textId="77777777" w:rsidR="00EF2883" w:rsidRDefault="00EF2883" w:rsidP="00E47408">
      <w:pPr>
        <w:pStyle w:val="Sansinterligne"/>
      </w:pPr>
    </w:p>
    <w:p w14:paraId="3A536492" w14:textId="77777777" w:rsidR="00F71D1E" w:rsidRPr="006C2D7D" w:rsidRDefault="00EF2883" w:rsidP="006C2D7D">
      <w:pPr>
        <w:pStyle w:val="Sansinterligne"/>
        <w:sectPr w:rsidR="00F71D1E" w:rsidRPr="006C2D7D">
          <w:footerReference w:type="default" r:id="rId12"/>
          <w:pgSz w:w="11906" w:h="16838"/>
          <w:pgMar w:top="1417" w:right="1417" w:bottom="1417" w:left="1417" w:header="708" w:footer="708" w:gutter="0"/>
          <w:cols w:space="708"/>
          <w:docGrid w:linePitch="360"/>
        </w:sectPr>
      </w:pPr>
      <w:r w:rsidRPr="00EF2883">
        <w:t xml:space="preserve">Data availability: </w:t>
      </w:r>
      <w:r w:rsidR="00E47408">
        <w:t xml:space="preserve">Empirical data and </w:t>
      </w:r>
      <w:r w:rsidR="00E4427A">
        <w:t>analysis code</w:t>
      </w:r>
      <w:r w:rsidR="00E47408">
        <w:t xml:space="preserve"> are freely available </w:t>
      </w:r>
      <w:r>
        <w:t>on the Open Science Framework</w:t>
      </w:r>
      <w:r w:rsidR="006C2D7D">
        <w:t xml:space="preserve"> </w:t>
      </w:r>
      <w:r w:rsidR="003C6696">
        <w:t>(</w:t>
      </w:r>
      <w:hyperlink r:id="rId13" w:history="1">
        <w:r w:rsidR="006C2D7D" w:rsidRPr="006C2D7D">
          <w:rPr>
            <w:rStyle w:val="Lienhypertexte"/>
            <w:sz w:val="22"/>
            <w:szCs w:val="22"/>
          </w:rPr>
          <w:t>https://osf.io/86cbw/overview?view_only=1f47b76612334dc082318a501fda5a4c</w:t>
        </w:r>
      </w:hyperlink>
      <w:r w:rsidR="006C2D7D" w:rsidRPr="006C2D7D">
        <w:rPr>
          <w:bCs/>
          <w:sz w:val="28"/>
        </w:rPr>
        <w:t>).</w:t>
      </w:r>
    </w:p>
    <w:p w14:paraId="2C460B35" w14:textId="77777777" w:rsidR="00205CBC" w:rsidRDefault="00000000">
      <w:r>
        <w:rPr>
          <w:b/>
          <w:color w:val="1F4E9E"/>
        </w:rPr>
        <w:lastRenderedPageBreak/>
        <w:t>Note on this working copy</w:t>
      </w:r>
    </w:p>
    <w:p w14:paraId="1628C5C0" w14:textId="77777777" w:rsidR="00205CBC" w:rsidRDefault="00000000">
      <w:r>
        <w:t>This version marks changes relative to Achard et al R1_v3.docx (the manuscript as it stood before the internal working-note integration passes). Text is colored black or red exactly as it was colored in that version, regardless of whether the passage has since been moved elsewhere in the document (red there generally marks a passage added in an earlier revision round, tracked by the authors at the time). Blue text is new: it does not appear anywhere in R1_v3.docx, whether because it was adapted from the internal working note “The extended evidence-accumulation model for delayed reports”, written as new connecting material, or is a corrected or updated value (for example in Table 2, Tables S2–S3 and Table A1). Red strikethrough marks text that was present in R1_v3.docx and that we propose to delete, kept visible here so that co-authors can see what is being removed; text introduced during these passes and later superseded has simply been deleted rather than struck. Color and strikethrough are direct character formatting, not Word revision marks, so this file will not open as a marked-up copy in Word’s reviewing pane; a clean copy, and a properly tracked copy if the journal requires one, will be produced separately at submission. This is a working draft for internal review, not the clean copy for resubmission.</w:t>
      </w:r>
    </w:p>
    <w:p w14:paraId="353713E4" w14:textId="77777777" w:rsidR="00205CBC" w:rsidRDefault="00205CBC"/>
    <w:p w14:paraId="1D02F410" w14:textId="77777777" w:rsidR="003F39C0" w:rsidRPr="00973A6A" w:rsidRDefault="001D3E97" w:rsidP="00973A6A">
      <w:pPr>
        <w:jc w:val="center"/>
        <w:rPr>
          <w:b/>
          <w:bCs/>
          <w:sz w:val="28"/>
        </w:rPr>
      </w:pPr>
      <w:r w:rsidRPr="001D3E97">
        <w:rPr>
          <w:b/>
          <w:sz w:val="28"/>
        </w:rPr>
        <w:t>Abstract</w:t>
      </w:r>
    </w:p>
    <w:p w14:paraId="1559C250" w14:textId="77777777" w:rsidR="003F39C0" w:rsidRDefault="00C619E9" w:rsidP="00F760EF">
      <w:pPr>
        <w:pStyle w:val="NormalWeb"/>
      </w:pPr>
      <w:r>
        <w:tab/>
      </w:r>
      <w:r w:rsidR="00FF0000">
        <w:t xml:space="preserve">In delayed perceptual reports, the decision is formed before action is permitted, yet response time from the </w:t>
      </w:r>
      <w:r w:rsidR="006F4AB6">
        <w:t xml:space="preserve">response signal still depends on sensory evidence. This paradox raises the possibility that evidence accumulation leaves a graded trace in motor preparatory circuits rather than ending in a discrete stored choice. We tested this hypothesis in 22 adults of both sexes (17 women) performing a response-signal random-dot motion task with electroencephalography and electromyography. Participants judged motion direction, withheld the selected response for 3 s, and executed it when the response signal was presented; motion coherence and duration were manipulated. Response time increased when </w:t>
      </w:r>
      <w:r w:rsidR="00F71BE7">
        <w:t>coherence or duration decreased.</w:t>
      </w:r>
      <w:r w:rsidR="006F4AB6">
        <w:t xml:space="preserve"> </w:t>
      </w:r>
      <w:r w:rsidR="00150A6A">
        <w:t>Fractionating response time at muscle-activation onset showed that these effects were confined to the premotor period</w:t>
      </w:r>
      <w:r w:rsidR="006F4AB6">
        <w:t xml:space="preserve">. Muscle activations that did not produce overt responses provided a peripheral readout of motor preparation: they were effector-selective, built up during stimulus presentation at a coherence-dependent rate, and </w:t>
      </w:r>
      <w:r w:rsidR="006F4AB6"/>
      <w:r w:rsidR="006F4AB6">
        <w:rPr>
          <w:color w:val="1F4E9E"/>
        </w:rPr>
        <w:t>continued to ramp during the stimulus-free delay, but no longer at a coherence-dependent build-up rate.</w:t>
      </w:r>
      <w:r w:rsidR="006F4AB6">
        <w:t xml:space="preserve"> These results support an account in which accumulated motion evidence is transmitted to motor preparatory circuits, transformed into a sustained state maintaining the selected response, and shaped by temporal preparat</w:t>
      </w:r>
      <w:r w:rsidR="006E6BEA">
        <w:t>ion before action is permitted. Electroencephalography revealed a hierarchy: mu–beta-band lateralization tracked motion-evidence accumulation and temporal preparation, whereas the lateralized readiness potential tracked temporal preparation and continued to build up toward the response</w:t>
      </w:r>
      <w:r w:rsidR="006F4AB6">
        <w:t>. Thus, delayed decisions are preserved not as discrete stored choices, but as graded motor-preparatory states that remain dynamically regulated until action is permitted.</w:t>
      </w:r>
    </w:p>
    <w:p w14:paraId="2F8028E4" w14:textId="77777777" w:rsidR="006E6BEA" w:rsidRDefault="006E6BEA" w:rsidP="00F760EF">
      <w:pPr>
        <w:pStyle w:val="NormalWeb"/>
      </w:pPr>
    </w:p>
    <w:p w14:paraId="62AD84A6" w14:textId="77777777" w:rsidR="00F71D1E" w:rsidRDefault="00F71D1E" w:rsidP="003F39C0"/>
    <w:p w14:paraId="35C6BBA2" w14:textId="77777777" w:rsidR="00973A6A" w:rsidRPr="00973A6A" w:rsidRDefault="001D3E97" w:rsidP="00973A6A">
      <w:pPr>
        <w:jc w:val="center"/>
        <w:rPr>
          <w:b/>
          <w:bCs/>
        </w:rPr>
      </w:pPr>
      <w:r w:rsidRPr="001D3E97">
        <w:rPr>
          <w:b/>
        </w:rPr>
        <w:t>Significance statement</w:t>
      </w:r>
    </w:p>
    <w:p w14:paraId="2418FBD6" w14:textId="77777777" w:rsidR="003F39C0" w:rsidRPr="001D3E97" w:rsidRDefault="00C619E9" w:rsidP="00973A6A">
      <w:r>
        <w:tab/>
      </w:r>
      <w:r w:rsidR="00364EF7" w:rsidRPr="00E01843">
        <w:t>Perceptual decisions often cannot be reported immediately, yet the brain must preserve them until action is allowed. By combining brain and muscle recordings in humans, we show that, over short delays, information extracted from a stimulus is not simply converted into a fixed choice and released later. Instead, it remains graded in motor preparatory circuits, where it is maintained and adjusted by expectations about when action can occur. Muscle activations too weak to produce overt responses provided an especially sensitive window onto these hidden preparatory states, offering a novel tool for studying how decisions are maintained and regulated before behavior.</w:t>
      </w:r>
    </w:p>
    <w:p w14:paraId="6D820D3E" w14:textId="77777777" w:rsidR="003F39C0" w:rsidRDefault="003F39C0" w:rsidP="003F39C0"/>
    <w:p w14:paraId="3142EED2" w14:textId="77777777" w:rsidR="003F39C0" w:rsidRDefault="003F39C0" w:rsidP="003F39C0"/>
    <w:p w14:paraId="6FD0CC52" w14:textId="77777777" w:rsidR="003F39C0" w:rsidRDefault="003F39C0" w:rsidP="003F39C0"/>
    <w:p w14:paraId="383B646B" w14:textId="77777777" w:rsidR="001D3E97" w:rsidRPr="001D3E97" w:rsidRDefault="001D3E97" w:rsidP="001D3E97"/>
    <w:p w14:paraId="598835A9" w14:textId="77777777" w:rsidR="00A32631" w:rsidRDefault="00A32631" w:rsidP="00A32631">
      <w:pPr>
        <w:pStyle w:val="Titre1"/>
        <w:sectPr w:rsidR="00A32631">
          <w:pgSz w:w="11906" w:h="16838"/>
          <w:pgMar w:top="1417" w:right="1417" w:bottom="1417" w:left="1417" w:header="708" w:footer="708" w:gutter="0"/>
          <w:cols w:space="708"/>
          <w:docGrid w:linePitch="360"/>
        </w:sectPr>
      </w:pPr>
    </w:p>
    <w:p w14:paraId="597F7799" w14:textId="77777777" w:rsidR="00D3407D" w:rsidRPr="000E5F17" w:rsidRDefault="00D3407D" w:rsidP="00AF4672">
      <w:pPr>
        <w:pStyle w:val="Titre1"/>
      </w:pPr>
      <w:r w:rsidRPr="00A32631">
        <w:lastRenderedPageBreak/>
        <w:t>Introduction</w:t>
      </w:r>
    </w:p>
    <w:p w14:paraId="0A1C154E" w14:textId="77777777" w:rsidR="00D3407D" w:rsidRDefault="00D3407D" w:rsidP="00D3407D">
      <w:r>
        <w:tab/>
      </w:r>
      <w:r w:rsidR="00A65CC8" w:rsidRPr="00A65CC8">
        <w:t>Perceptual decision-making transforms sensory information into choices that guide acti</w:t>
      </w:r>
      <w:r w:rsidR="00A65CC8">
        <w:t>on</w:t>
      </w:r>
      <w:r w:rsidR="0051687F">
        <w:t xml:space="preserve">. </w:t>
      </w:r>
      <w:r w:rsidR="00A65CC8" w:rsidRPr="00A65CC8">
        <w:t>Much of the human literature has used paradigms in which participants report a choice as soon as they commit to it</w:t>
      </w:r>
      <w:r w:rsidR="00A65CC8">
        <w:t xml:space="preserve"> </w:t>
      </w:r>
      <w:r w:rsidR="000C1183">
        <w:fldChar w:fldCharType="begin"/>
      </w:r>
      <w:r w:rsidR="00B23021">
        <w:instrText xml:space="preserve"> ADDIN ZOTERO_ITEM CSL_CITATION {"citationID":"79zP464D","properties":{"unsorted":false,"formattedCitation":"(Forstmann et al., 2016; O\\uc0\\u8217{}Connell &amp; Kelly, 2021)","plainCitation":"(Forstmann et al., 2016; O’Connell &amp; Kelly, 2021)","noteIndex":0},"citationItems":[{"id":408,"uris":["http://zotero.org/users/5679506/items/HGYTWAZY"],"itemData":{"id":408,"type":"article-journal","abstract":"Sequential sampling models assume that people make speeded decisions by gradually accumulating noisy information until a threshold of evidence is reached. In cognitive science, one such model--the diffusion decision model--is now regularly used to decompose task performance into underlying processes such as the quality of information processing, response caution, and a priori bias. In the cognitive neurosciences, the diffusion decision model has recently been adopted as a quantitative tool to study the neural basis of decision making under time pressure. We present a selective overview of several recent applications and extensions of the diffusion decision model in the cognitive neurosciences.","container-title":"Annual Review of Psychology","DOI":"10.1146/annurev-psych-122414-033645","ISSN":"1545-2085","journalAbbreviation":"Annu Rev Psychol","language":"eng","page":"641-666","PMID":"26393872","PMCID":"PMC5112760","source":"PubMed","title":"Sequential Sampling Models in Cognitive Neuroscience: Advantages, Applications, and Extensions","title-short":"Sequential Sampling Models in Cognitive Neuroscience","volume":"67","author":[{"family":"Forstmann","given":"Birte U."},{"family":"Ratcliff","given":"R."},{"family":"Wagenmakers","given":"E.-J."}],"issued":{"date-parts":[["2016"]]}}},{"id":1578,"uris":["http://zotero.org/users/5679506/items/YA98UV4L"],"itemData":{"id":1578,"type":"article-journal","abstract":"The discovery of neural signals that reflect the dynamics of perceptual decision formation has had a considerable impact. Not only do such signals enable detailed investigations of the neural implementation of the decision-making process but they also can expose key elements of the brain's decision algorithms. For a long time, such signals were only accessible through direct animal brain recordings, and progress in human neuroscience was hampered by the limitations of noninvasive recording techniques. However, recent methodological advances are increasingly enabling the study of human brain signals that finely trace the dynamics of the unfolding decision process. In this review, we highlight how human neurophysiological data are now being leveraged to furnish new insights into the multiple processing levels involved in forming decisions, to inform the construction and evaluation of mathematical models that can explain intra- and interindividual differences, and to examine how key ancillary processes interact with core decision circuits.","container-title":"Annual Review of Neuroscience","DOI":"10.1146/annurev-neuro-092019-100200","ISSN":"1545-4126","journalAbbreviation":"Annu Rev Neurosci","language":"eng","page":"495-516","PMID":"33945693","source":"PubMed","title":"Neurophysiology of Human Perceptual Decision-Making","volume":"44","author":[{"family":"O'Connell","given":"Redmond G."},{"family":"Kelly","given":"Simon P."}],"issued":{"date-parts":[["2021",7,8]]}}}],"schema":"https://github.com/citation-style-language/schema/raw/master/csl-citation.json"} </w:instrText>
      </w:r>
      <w:r w:rsidR="000C1183">
        <w:fldChar w:fldCharType="separate"/>
      </w:r>
      <w:r w:rsidR="00B23021" w:rsidRPr="00B23021">
        <w:t>(Forstmann et al., 2016; O’Connell &amp; Kelly, 2021)</w:t>
      </w:r>
      <w:r w:rsidR="000C1183">
        <w:fldChar w:fldCharType="end"/>
      </w:r>
      <w:r w:rsidR="006D19E4">
        <w:t xml:space="preserve">. </w:t>
      </w:r>
      <w:r w:rsidR="00A65CC8" w:rsidRPr="00A65CC8">
        <w:t xml:space="preserve">This work has motivated </w:t>
      </w:r>
      <w:proofErr w:type="spellStart"/>
      <w:r w:rsidR="00A65CC8" w:rsidRPr="00A65CC8">
        <w:t>neurally</w:t>
      </w:r>
      <w:proofErr w:type="spellEnd"/>
      <w:r w:rsidR="00A65CC8" w:rsidRPr="00A65CC8">
        <w:t xml:space="preserve"> informed models in which noisy sensory evidence is accumulated and continuously conveyed to the motor system, allowing candidate actions to be prepared in parallel</w:t>
      </w:r>
      <w:r w:rsidR="000C1183">
        <w:t xml:space="preserve"> </w:t>
      </w:r>
      <w:r w:rsidR="000C1183">
        <w:fldChar w:fldCharType="begin"/>
      </w:r>
      <w:r w:rsidR="00FE1AE4">
        <w:instrText xml:space="preserve"> ADDIN ZOTERO_ITEM CSL_CITATION {"citationID":"ysGNFnn3","properties":{"unsorted":false,"formattedCitation":"(Balsdon et al., 2023; Dendauw et al., 2024; Kelly et al., 2021)","plainCitation":"(Balsdon et al., 2023; Dendauw et al., 2024; Kelly et al., 2021)","noteIndex":0},"citationItems":[{"id":14313,"uris":["http://zotero.org/users/5679506/items/UUKX7Q24"],"itemData":{"id":14313,"type":"article-journal","abstract":"Sensorimotor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Biol","language":"eng","page":"e3002200","PMID":"37459392","PMCID":"PMC10393169","source":"PubMed","title":"Secondary motor integration as a final arbiter in sensorimotor decision-making","volume":"21","author":[{"family":"Balsdon","given":"Tarryn"},{"family":"Verdonck","given":"Stijn"},{"family":"Loossens","given":"Tim"},{"family":"Philiastides","given":"Marios G."}],"issued":{"date-parts":[["2023",7]]}}},{"id":"5Dh8hY9n/VjrPfJqm","uris":["http://zotero.org/users/5679506/items/83Q7PQC7"],"itemData":{"id":"iamwRdqK/iZXFhspU","type":"article-journal","abstract":"This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7289,"uris":["http://zotero.org/groups/4876799/items/97ERE8DL"],"itemData":{"id":7289,"type":"article-journal","abstract":"To interact successfully with diverse sensory environments, we must adapt our decision processes to account for time constraints and prior probabilities. The full set of decision-process parameters that undergo such flexible adaptation has proven to be difficult to establish using simplified models that are based on behaviour alone. Here, we utilize well-characterized human neurophysiological signatures of decision formation to construct and constrain a build-to-threshold decision model with multiple build-up (evidence accumulation and urgency) and delay components (pre- and post-decisional). The model indicates that all of these components were adapted in distinct ways and, in several instances, fundamentally differ from the conclusions of conventional diffusion modelling. The neurally informed model outcomes were corroborated by independent neural decision signal observations that were not used in the model's construction. These findings highlight the breadth of decision-process parameters that are amenable to strategic adjustment and the value in leveraging neurophysiological measurements to quantify these adjustments.","container-title":"Nature Human Behaviour","DOI":"10.1038/s41562-020-00967-9","ISSN":"2397-3374","issue":"4","journalAbbreviation":"Nat Hum Behav","language":"eng","page":"467-481","PMID":"33318661","source":"PubMed","title":"Neurocomputational mechanisms of prior-informed perceptual decision-making in humans","volume":"5","author":[{"family":"Kelly","given":"Simon P."},{"family":"Corbett","given":"Elaine A."},{"family":"O'Connell","given":"Redmond G."}],"issued":{"date-parts":[["2021",4]]}}}],"schema":"https://github.com/citation-style-language/schema/raw/master/csl-citation.json"} </w:instrText>
      </w:r>
      <w:r w:rsidR="000C1183">
        <w:fldChar w:fldCharType="separate"/>
      </w:r>
      <w:r w:rsidR="00665D44" w:rsidRPr="00665D44">
        <w:t>(Balsdon et al., 2023; Dendauw et al., 2024; Kelly et al., 2021)</w:t>
      </w:r>
      <w:r w:rsidR="000C1183">
        <w:fldChar w:fldCharType="end"/>
      </w:r>
      <w:r w:rsidR="00B508E7" w:rsidRPr="00454CFA">
        <w:t>.</w:t>
      </w:r>
      <w:r w:rsidR="001C3887" w:rsidRPr="00454CFA">
        <w:t xml:space="preserve"> </w:t>
      </w:r>
      <w:r w:rsidR="00A65CC8" w:rsidRPr="00A65CC8">
        <w:t>However, commitment and action are often separated in time, and it remains unclear how such models extend to decisions whose report must be withheld.</w:t>
      </w:r>
    </w:p>
    <w:p w14:paraId="726A1A50" w14:textId="77777777" w:rsidR="00B57C31" w:rsidRDefault="00636DD4">
      <w:r>
        <w:tab/>
      </w:r>
      <w:r w:rsidR="007814BE">
        <w:t>A canonical paradigm for studying perceptua</w:t>
      </w:r>
      <w:r w:rsidR="00105DB3">
        <w:t>l decision-making is the random-</w:t>
      </w:r>
      <w:r w:rsidR="007814BE">
        <w:t xml:space="preserve">dot motion discrimination task, </w:t>
      </w:r>
      <w:r w:rsidR="00B57C31" w:rsidRPr="00B57C31">
        <w:t>in which observers judge motion direction and report their choice with an eye or hand movement. Recent variants impose a delay between stimulus offset and a response signal (RS), requiring observers to withhold their report until prompted</w:t>
      </w:r>
      <w:r w:rsidR="00B57C31">
        <w:t xml:space="preserve"> </w:t>
      </w:r>
      <w:r w:rsidR="00A16460">
        <w:fldChar w:fldCharType="begin"/>
      </w:r>
      <w:r w:rsidR="00FE1AE4">
        <w:instrText xml:space="preserve"> ADDIN ZOTERO_ITEM CSL_CITATION {"citationID":"KIzzPpNl","properties":{"formattedCitation":"(Achard et al., 2025; Rogge et al., 2022)","plainCitation":"(Achard et al., 2025; Rogge et al., 2022)","noteIndex":0},"citationItems":[{"id":"5Dh8hY9n/drvJajsX","uris":["http://zotero.org/users/5679506/items/FA4V3FXD"],"itemData":{"id":13611,"type":"article-journal","abstract":"Continuous flow and evidence accumulation models have recently been combined to provide an integrated account of decision and motor mechanisms engaged in choice reaction time tasks. According to this account, muscle activation is essentially determined by the evidence accumulation decision variable through a continuous decision-to-motor transmission of information. However, it remains unclear whether and how this framework can be extended to situations that impose a time lag between the commitment to a choice and the expression of that choice through actions. Such situations have been studied using response signal (RS) decision tasks featuring a short delay between the offset of the stimulus and a signal to respond. The present work integrates recent developments in decision-making, working memory, and motor control research to extend models of immediate decision reports to delayed decision reports. We assumed that the evidence accumulation decision variable transitions to sustained activity after hitting a threshold to achieve the short-term maintenance of the selected choice. The level of sustained activity then constitutes the starting point for a second phase of accumulation, in which subjects sample evidence from the RS to activate the muscles. We tested predictions from the theory at the behavioral and muscle activation levels in three RS decision tasks featuring manipulations of stimulus duration, delay duration, and foreknowledge of the stimulus-response mapping. Muscle activation was measured using electromyography. The theory provided a unified account of empirical effects. (PsycInfo Database Record (c) 2025 APA, all rights reserved).","container-title":"Journal of Experimental Psychology. General","DOI":"10.1037/xge0001748","ISSN":"1939-2222","journalAbbreviation":"J Exp Psychol Gen","language":"eng","note":"PMID: 40208725","source":"PubMed","title":"Extending continuous flow models of immediate decision reports to delayed decision reports","author":[{"family":"Achard","given":"Johan A."},{"family":"Gajdos","given":"Thibault"},{"family":"Servant","given":"Mathieu"}],"issued":{"date-parts":[["2025",4,10]]}}},{"id":8488,"uris":["http://zotero.org/users/5679506/items/CDYN7F8M"],"itemData":{"id":8488,"type":"article-journal","abstract":"Decision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schema":"https://github.com/citation-style-language/schema/raw/master/csl-citation.json"} </w:instrText>
      </w:r>
      <w:r w:rsidR="00A16460">
        <w:fldChar w:fldCharType="separate"/>
      </w:r>
      <w:r w:rsidR="00A16460" w:rsidRPr="00A16460">
        <w:t>(Achard et al., 2025; Rogge et al., 2022)</w:t>
      </w:r>
      <w:r w:rsidR="00A16460">
        <w:fldChar w:fldCharType="end"/>
      </w:r>
      <w:r w:rsidR="00A16460">
        <w:t>.</w:t>
      </w:r>
      <w:r w:rsidR="00A16460" w:rsidRPr="00101709">
        <w:t xml:space="preserve"> </w:t>
      </w:r>
      <w:r w:rsidR="00B57C31" w:rsidRPr="00B57C31">
        <w:t xml:space="preserve">If sensory evidence were converted into a discrete choice that was stored and merely released at the RS, mean response time (RT; measured from RS onset) should be insensitive to earlier stimulus characteristics. Yet mean RT is longer with lower motion discriminability and shorter motion duration. </w:t>
      </w:r>
      <w:r w:rsidR="00112494" w:rsidRPr="00112494">
        <w:t>These RT effects persist across delays of up to seven seconds, making incomplete decision formation at RS onset unlikely.</w:t>
      </w:r>
    </w:p>
    <w:p w14:paraId="6B806C1E" w14:textId="77777777" w:rsidR="006610DE" w:rsidRDefault="00FE794C">
      <w:pPr>
        <w:rPr>
          <w:color w:val="1F4E9E"/>
        </w:rPr>
      </w:pPr>
      <w:r w:rsidRPr="008C2D8F">
        <w:tab/>
      </w:r>
      <w:r w:rsidR="003D3D7F" w:rsidRPr="003D3D7F">
        <w:rPr>
          <w:color w:val="FF0000"/>
        </w:rPr>
        <w:t xml:space="preserve">To explain delayed-report behavior, we formalized an extension of recent evidence-accumulation models linking decision </w:t>
      </w:r>
      <w:r w:rsidR="003D3D7F">
        <w:rPr>
          <w:color w:val="FF0000"/>
        </w:rPr>
        <w:t>and motor processes</w:t>
      </w:r>
      <w:r w:rsidR="003D3D7F" w:rsidRPr="003D3D7F">
        <w:rPr>
          <w:color w:val="FF0000"/>
        </w:rPr>
        <w:t xml:space="preserve"> in immediate-report tasks.</w:t>
      </w:r>
      <w:r w:rsidR="00902EC4">
        <w:t xml:space="preserve"> </w:t>
      </w:r>
      <w:r w:rsidR="003F6179" w:rsidRPr="003F6179">
        <w:rPr>
          <w:color w:val="FF0000"/>
        </w:rPr>
        <w:t>Building on empirical evidence that accumulation can terminate at a bound before externally controlled stim</w:t>
      </w:r>
      <w:r w:rsidR="003F6179">
        <w:rPr>
          <w:color w:val="FF0000"/>
        </w:rPr>
        <w:t xml:space="preserve">ulus </w:t>
      </w:r>
      <w:r w:rsidR="003F6179" w:rsidRPr="003F6179">
        <w:rPr>
          <w:color w:val="FF0000"/>
        </w:rPr>
        <w:t xml:space="preserve">offset </w:t>
      </w:r>
      <w:r w:rsidR="003F6179" w:rsidRPr="003F6179">
        <w:rPr>
          <w:color w:val="1F4E9E"/>
        </w:rPr>
        <w:fldChar w:fldCharType="begin"/>
      </w:r>
      <w:r w:rsidR="003F6179" w:rsidRPr="003F6179">
        <w:rPr>
          <w:color w:val="1F4E9E"/>
        </w:rPr>
        <w:instrText xml:space="preserve"> ADDIN ZOTERO_ITEM CSL_CITATION {"citationID":"F6ub7WNU","properties":{"unsorted":false,"formattedCitation":"(Kiani et al., 2008)","plainCitation":"(Kiani et al., 2008)","noteIndex":0},"citationItems":[{"id":8725,"uris":["http://zotero.org/users/5679506/items/IRDHSPHC"],"itemData":{"id":8725,"type":"article-journal","abstract":"Decisions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Neurosci","language":"eng","page":"3017-3029","PMID":"18354005","PMCID":"PMC6670720","source":"PubMed","title":"Bounded integration in parietal cortex underlies decisions even when viewing duration is dictated by the environment","volume":"28","author":[{"family":"Kiani","given":"Roozbeh"},{"family":"Hanks","given":"Timothy D."},{"family":"Shadlen","given":"Michael N."}],"issued":{"date-parts":[["2008",3,19]]}}}],"schema":"https://github.com/citation-style-language/schema/raw/master/csl-citation.json"} </w:instrText>
      </w:r>
      <w:r w:rsidR="003F6179" w:rsidRPr="003F6179">
        <w:rPr>
          <w:color w:val="1F4E9E"/>
        </w:rPr>
        <w:fldChar w:fldCharType="separate"/>
      </w:r>
      <w:r w:rsidR="003F6179" w:rsidRPr="003F6179">
        <w:rPr>
          <w:color w:val="FF0000"/>
        </w:rPr>
        <w:t>(Kiani et al., 2008)</w:t>
      </w:r>
      <w:r w:rsidR="003F6179" w:rsidRPr="003F6179">
        <w:rPr>
          <w:color w:val="1F4E9E"/>
        </w:rPr>
        <w:fldChar w:fldCharType="end"/>
      </w:r>
      <w:r w:rsidR="003F6179" w:rsidRPr="003F6179">
        <w:rPr>
          <w:color w:val="FF0000"/>
        </w:rPr>
        <w:t xml:space="preserve"> and on neural-integrator models in which accumulated information can persist </w:t>
      </w:r>
      <w:r w:rsidR="003F6179">
        <w:rPr>
          <w:color w:val="FF0000"/>
        </w:rPr>
        <w:t xml:space="preserve">over </w:t>
      </w:r>
      <w:r w:rsidR="003F6179" w:rsidRPr="003F6179">
        <w:rPr>
          <w:color w:val="FF0000"/>
        </w:rPr>
        <w:t xml:space="preserve">time </w:t>
      </w:r>
      <w:r w:rsidR="003F6179" w:rsidRPr="003F6179">
        <w:rPr>
          <w:color w:val="1F4E9E"/>
        </w:rPr>
        <w:fldChar w:fldCharType="begin"/>
      </w:r>
      <w:r w:rsidR="003F6179" w:rsidRPr="003F6179">
        <w:rPr>
          <w:color w:val="1F4E9E"/>
        </w:rPr>
        <w:instrText xml:space="preserve"> ADDIN ZOTERO_ITEM CSL_CITATION {"citationID":"oQf8w2AE","properties":{"unsorted":false,"formattedCitation":"(Mazurek et al., 2003)","plainCitation":"(Mazurek et al., 2003)","noteIndex":0},"citationItems":[{"id":13300,"uris":["http://zotero.org/groups/4999940/items/TZK2XQCW"],"itemData":{"id":13300,"type":"article-journal","container-title":"Cerebral Cortex","DOI":"10.1093/cercor/bhg097","ISSN":"1460-2199, 1047-3211","issue":"11","language":"en","page":"1257-1269","source":"DOI.org (Crossref)","title":"A Role for Neural Integrators in Perceptual Decision Making","volume":"13","author":[{"family":"Mazurek","given":"Mark E."},{"family":"Roitman","given":"Jamie D."},{"family":"Ditterich","given":"Jochen"},{"family":"Shadlen","given":"Michael N."}],"issued":{"date-parts":[["2003",11,1]]}}}],"schema":"https://github.com/citation-style-language/schema/raw/master/csl-citation.json"} </w:instrText>
      </w:r>
      <w:r w:rsidR="003F6179" w:rsidRPr="003F6179">
        <w:rPr>
          <w:color w:val="1F4E9E"/>
        </w:rPr>
        <w:fldChar w:fldCharType="separate"/>
      </w:r>
      <w:r w:rsidR="003F6179" w:rsidRPr="003F6179">
        <w:rPr>
          <w:color w:val="FF0000"/>
        </w:rPr>
        <w:t>(Mazurek et al., 2003)</w:t>
      </w:r>
      <w:r w:rsidR="003F6179" w:rsidRPr="003F6179">
        <w:rPr>
          <w:color w:val="1F4E9E"/>
        </w:rPr>
        <w:fldChar w:fldCharType="end"/>
      </w:r>
      <w:r w:rsidR="003F6179" w:rsidRPr="003F6179">
        <w:rPr>
          <w:color w:val="FF0000"/>
        </w:rPr>
        <w:t xml:space="preserve">, the model sustains the selected motor-preparatory state once an internal threshold is reached. When motion </w:t>
      </w:r>
      <w:r w:rsidR="003F6179" w:rsidRPr="003F6179">
        <w:rPr>
          <w:color w:val="FF0000"/>
        </w:rPr>
        <w:lastRenderedPageBreak/>
        <w:t xml:space="preserve">processing ends before threshold crossing, it instead sustains the graded state reached at that time. </w:t>
      </w:r>
      <w:r w:rsidR="004863FA" w:rsidRPr="004863FA">
        <w:rPr>
          <w:color w:val="FF0000"/>
        </w:rPr>
        <w:t xml:space="preserve">This account is consistent with recurrent-circuit theories linking evidence accumulation and working-memory </w:t>
      </w:r>
      <w:r w:rsidR="004863FA" w:rsidRPr="002F3CE4">
        <w:rPr>
          <w:color w:val="FF0000"/>
        </w:rPr>
        <w:t>maintenance</w:t>
      </w:r>
      <w:r w:rsidR="002F3CE4" w:rsidRPr="002F3CE4">
        <w:t xml:space="preserve"> </w:t>
      </w:r>
      <w:r w:rsidR="002F3CE4" w:rsidRPr="002F3CE4">
        <w:rPr>
          <w:color w:val="1F4E9E"/>
        </w:rPr>
        <w:fldChar w:fldCharType="begin"/>
      </w:r>
      <w:r w:rsidR="002F3CE4" w:rsidRPr="002F3CE4">
        <w:rPr>
          <w:color w:val="1F4E9E"/>
        </w:rPr>
        <w:instrText xml:space="preserve"> ADDIN ZOTERO_ITEM CSL_CITATION {"citationID":"mNkFB036","properties":{"unsorted":false,"formattedCitation":"(Wang, 2008)","plainCitation":"(Wang, 2008)","noteIndex":0},"citationItems":[{"id":8496,"uris":["http://zotero.org/users/5679506/items/KFHH3AKL"],"itemData":{"id":8496,"type":"article-journal","abstract":"Decision making has recently emerged as a central theme in neurophysiological studies of cognition, and experimental and computational work has led to the proposal of a cortical circuit mechanism of elemental decision computations. This mechanism depends on slow recurrent synaptic excitation balanced by fast feedback inhibition, which not only instantiates attractor states for forming categorical choices but also long transients for gradually accumulating evidence in favor of or against alternative options. Such a circuit endowed with reward-dependent synaptic plasticity is able to produce adaptive choice behavior. While decision threshold is a core concept for reaction time tasks, it can be dissociated from a general decision rule. Moreover, perceptual decisions and value-based economic choices are described within a unified framework in which probabilistic choices result from irregular neuronal activity as well as iterative interactions of a decision maker with an uncertain environment or other unpredictable decision makers in a social group.","container-title":"Neuron","DOI":"10.1016/j.neuron.2008.09.034","ISSN":"1097-4199","issue":"2","journalAbbreviation":"Neuron","language":"eng","page":"215-234","PMID":"18957215","PMCID":"PMC2710297","source":"PubMed","title":"Decision making in recurrent neuronal circuits","volume":"60","author":[{"family":"Wang","given":"Xiao-Jing"}],"issued":{"date-parts":[["2008",10,23]]}}}],"schema":"https://github.com/citation-style-language/schema/raw/master/csl-citation.json"} </w:instrText>
      </w:r>
      <w:r w:rsidR="002F3CE4" w:rsidRPr="002F3CE4">
        <w:rPr>
          <w:color w:val="1F4E9E"/>
        </w:rPr>
        <w:fldChar w:fldCharType="separate"/>
      </w:r>
      <w:r w:rsidR="002F3CE4" w:rsidRPr="002F3CE4">
        <w:rPr>
          <w:color w:val="FF0000"/>
        </w:rPr>
        <w:t>(Wang, 2008)</w:t>
      </w:r>
      <w:r>
        <w:rPr>
          <w:color w:val="1F4E9E"/>
        </w:rPr>
        <w:t>, and more broadly with accounts of working memory as action-oriented (van Ede &amp; Nobre, 2023)</w:t>
      </w:r>
      <w:r w:rsidR="002F3CE4" w:rsidRPr="002F3CE4">
        <w:rPr>
          <w:color w:val="1F4E9E"/>
        </w:rPr>
        <w:fldChar w:fldCharType="end"/>
      </w:r>
      <w:r w:rsidR="003F6179" w:rsidRPr="002F3CE4">
        <w:rPr>
          <w:color w:val="1F4E9E"/>
        </w:rPr>
        <w:t xml:space="preserve">. </w:t>
      </w:r>
      <w:r w:rsidR="00335261" w:rsidRPr="00335261">
        <w:rPr>
          <w:color w:val="FF0000"/>
        </w:rPr>
        <w:t xml:space="preserve">During the delay, learned temporal regularities can </w:t>
      </w:r>
      <w:r w:rsidR="003338EC">
        <w:rPr>
          <w:color w:val="FF0000"/>
        </w:rPr>
        <w:t>progressively shape</w:t>
      </w:r>
      <w:r w:rsidR="00335261" w:rsidRPr="00335261">
        <w:rPr>
          <w:color w:val="FF0000"/>
        </w:rPr>
        <w:t xml:space="preserve"> motor preparation as an </w:t>
      </w:r>
      <w:r w:rsidR="00335261" w:rsidRPr="006D463E">
        <w:rPr>
          <w:color w:val="FF0000"/>
        </w:rPr>
        <w:t xml:space="preserve">anticipated opportunity to act approaches </w:t>
      </w:r>
      <w:r w:rsidR="00A374D5" w:rsidRPr="006D463E">
        <w:rPr>
          <w:color w:val="1F4E9E"/>
        </w:rPr>
        <w:fldChar w:fldCharType="begin"/>
      </w:r>
      <w:r w:rsidR="006D463E" w:rsidRPr="006D463E">
        <w:rPr>
          <w:color w:val="1F4E9E"/>
        </w:rPr>
        <w:instrText xml:space="preserve"> ADDIN ZOTERO_ITEM CSL_CITATION {"citationID":"qzZRAODR","properties":{"unsorted":false,"formattedCitation":"(Heideman et al., 2018; Li et al., 2026; Ramayya et al., 2025)","plainCitation":"(Heideman et al., 2018; Li et al., 2026; Ramayya et al., 2025)","noteIndex":0},"citationItems":[{"id":16430,"uris":["http://zotero.org/users/5679506/items/G8RUJYMQ"],"itemData":{"id":16430,"type":"article-journal","abstract":"Performance improves when participants respond to events that are structured in repeating sequences, suggesting that learning can lead to proactive anticipatory preparation. Whereas most sequence‐learning studies have emphasised spatial structure, most sequences also contain a prominent temporal structure. We used MEG to investigate spatial and temporal anticipatory neural dynamics in a modified serial reaction time (SRT) task. Performance and brain activity were compared between blocks with learned spatial‐temporal sequences and blocks with new sequences. After confirming a strong behavioural benefit of spatial‐temporal predictability, we show lateralisation of beta oscillations in anticipation of the response associated with the upcoming target location and show that this also aligns to the expected timing of these forthcoming events. This effect was found both when comparing between repeated (learned) and new (unlearned) sequences, as well as when comparing targets that were expected after short vs. long intervals within the repeated (learned) sequence. Our findings suggest that learning of spatial‐temporal structure leads to proactive and dynamic modulation of motor cortical excitability in anticipation of both the location and timing of events that are relevant to guide action.","container-title":"The European Journal of Neuroscience","DOI":"10.1111/ejn.13700","ISSN":"0953-816X","issue":"8","journalAbbreviation":"Eur J Neurosci","page":"2684-2695","PMID":"28921756","PMCID":"PMC6220967","source":"PubMed Central","title":"Temporal alignment of anticipatory motor cortical beta lateralisation in hidden visual‐motor sequences","volume":"48","author":[{"family":"Heideman","given":"Simone G."},{"family":"Ede","given":"Freek","non-dropping-particle":"van"},{"family":"Nobre","given":"Anna C."}],"issued":{"date-parts":[["2018",10]]}}},{"id":16756,"uris":["http://zotero.org/users/5679506/items/DL8V7XX9"],"itemData":{"id":16756,"type":"article-journal","abstract":"Anticipating when and where an event will occur can facilitate motor preparation, yet the independent role of temporal predictability-and its neural basis-remains unclear. This study tested the hypothesis that motor-related beta oscillations reflect an internal timing process sensitive to the regularity of stimulus timing. We recorded EEG while 28 participants performed a modified serial reaction time task in which spatial and temporal predictability were orthogonally manipulated. Spatial predictability was set at three levels (high, medium, low) by varying the regularity of target location sequences. Temporal predictability was manipulated via response-stimulus intervals (RSIs) that were either fixed at 700, 1200, or 1700 ms throughout a block or randomly selected from these three intervals on each trial. Behaviorally, temporal predictability significantly improved reaction times (RTs), even in the absence of spatial regularities. When both types of predictability were present, their facilitative effects were additive, especially at shorter intervals. Neurally, temporal predictability modulated beta-band (13-30 Hz) activity during the post-movement phase. In fixed-RSI conditions, beta power declined gradually and independently of upcoming stimulus onset during the movement-related beta desynchronization (MRBD) phase, suggesting reliance on internal timing. In contrast, under random-RSI conditions, beta power showed a sharper decline after stimulus onset, indicating increased reliance on external sensory input. These results support the view that beta oscillations serve as a flexible internal timer, adapting to the temporal structure of the environment to support anticipatory motor control.","container-title":"Psychophysiology","DOI":"10.1111/psyp.70249","ISSN":"1469-8986","issue":"2","journalAbbreviation":"Psychophysiology","language":"eng","page":"e70249","PMID":"41709474","source":"PubMed","title":"Beta Oscillations as Internal Timers: Independent Contributions of Temporal Predictability to Motor Preparation","title-short":"Beta Oscillations as Internal Timers","volume":"63","author":[{"family":"Li","given":"Junhui"},{"family":"Zhai","given":"Mengdie"},{"family":"Liu","given":"Lizi"},{"family":"Qian","given":"Yuchen"},{"family":"Liao","given":"Yu"}],"issued":{"date-parts":[["2026",2]]}}},{"id":16428,"uris":["http://zotero.org/users/5679506/items/T2MCZXNF"],"itemData":{"id":16428,"type":"article-journal","abstract":"Human behavior is strongly influenced by anticipation, but the underlying neural mechanisms are poorly understood. We obtained intracranial electrocephalography (iEEG) measurements in neurosurgical patients as they performed a simple sensory-motor task with variable (short or long) foreperiod delays that affected anticipation of the cue to respond. Participants showed two forms of anticipatory response biases, distinguished by more premature false alarms (FAs) or faster response times (RTs) on long-delay trials. These biases had distinct neural signatures in prestimulus neural activity modulations that were distributed and intermixed across the brain: the FA bias was most evident in preparatory motor activity immediately prior to response-cue presentation, whereas the RT bias was most evident in visuospatial activity at the beginning of the foreperiod. These results suggest that human anticipatory behavior emerges from a combination of motor-preparatory and attention-like modulations of neural activity, implemented by anatomically widespread and intermixed, but functionally identifiable, brain networks.","container-title":"Communications Biology","DOI":"10.1038/s42003-025-07516-y","ISSN":"2399-3642","issue":"1","journalAbbreviation":"Commun Biol","language":"en","license":"2025 The Author(s)","page":"124","publisher":"Nature Publishing Group","source":"www.nature.com","title":"Human response times are governed by dual anticipatory processes with distinct neural signatures","volume":"8","author":[{"family":"Ramayya","given":"Ashwin G."},{"family":"Buch","given":"Vivek"},{"family":"Richardson","given":"Andrew"},{"family":"Lucas","given":"Timothy"},{"family":"Gold","given":"Joshua I."}],"issued":{"date-parts":[["2025",1,26]]}}}],"schema":"https://github.com/citation-style-language/schema/raw/master/csl-citation.json"} </w:instrText>
      </w:r>
      <w:r w:rsidR="00A374D5" w:rsidRPr="006D463E">
        <w:rPr>
          <w:color w:val="1F4E9E"/>
        </w:rPr>
        <w:fldChar w:fldCharType="separate"/>
      </w:r>
      <w:r w:rsidR="006D463E" w:rsidRPr="006D463E">
        <w:rPr>
          <w:color w:val="FF0000"/>
        </w:rPr>
        <w:t>(Heideman et al., 2018; Li et al., 2026; Ramayya et al., 2025)</w:t>
      </w:r>
      <w:r w:rsidR="00A374D5" w:rsidRPr="006D463E">
        <w:rPr>
          <w:color w:val="1F4E9E"/>
        </w:rPr>
        <w:fldChar w:fldCharType="end"/>
      </w:r>
      <w:r w:rsidR="00A374D5" w:rsidRPr="006D463E">
        <w:rPr>
          <w:color w:val="1F4E9E"/>
        </w:rPr>
        <w:t>.</w:t>
      </w:r>
      <w:r w:rsidR="00B57C31" w:rsidRPr="006D463E">
        <w:t xml:space="preserve"> </w:t>
      </w:r>
      <w:r w:rsidR="00341C5C" w:rsidRPr="00341C5C">
        <w:rPr>
          <w:color w:val="FF0000"/>
        </w:rPr>
        <w:t>We therefore considered two models: Model 1 includes only the maintained evidence-dependent motor state, whereas Model 2 additionally in</w:t>
      </w:r>
      <w:r w:rsidR="00341C5C">
        <w:rPr>
          <w:color w:val="FF0000"/>
        </w:rPr>
        <w:t>corporates temporal preparation</w:t>
      </w:r>
      <w:r w:rsidR="00A779C4" w:rsidRPr="00A779C4">
        <w:rPr>
          <w:color w:val="1F4E9E"/>
        </w:rPr>
        <w:t xml:space="preserve">. </w:t>
      </w:r>
      <w:r w:rsidR="00335261" w:rsidRPr="00335261">
        <w:rPr>
          <w:color w:val="FF0000"/>
        </w:rPr>
        <w:t xml:space="preserve">Downstream gating operates throughout the trial, preventing </w:t>
      </w:r>
      <w:r w:rsidR="00922471" w:rsidRPr="00922471">
        <w:rPr>
          <w:color w:val="FF0000"/>
        </w:rPr>
        <w:t xml:space="preserve">motor-preparatory activity </w:t>
      </w:r>
      <w:r w:rsidR="00335261" w:rsidRPr="00335261">
        <w:rPr>
          <w:color w:val="FF0000"/>
        </w:rPr>
        <w:t>from producing overt action</w:t>
      </w:r>
      <w:r w:rsidR="00335261">
        <w:t xml:space="preserve"> </w:t>
      </w:r>
      <w:r w:rsidR="006610DE" w:rsidRPr="00335261">
        <w:rPr>
          <w:color w:val="1F4E9E"/>
        </w:rPr>
        <w:fldChar w:fldCharType="begin"/>
      </w:r>
      <w:r w:rsidR="00FE1AE4">
        <w:rPr>
          <w:color w:val="1F4E9E"/>
        </w:rPr>
        <w:instrText xml:space="preserve"> ADDIN ZOTERO_ITEM CSL_CITATION {"citationID":"oDX8PXyq","properties":{"unsorted":false,"formattedCitation":"(Dendauw et al., 2024)","plainCitation":"(Dendauw et al., 2024)","noteIndex":0},"citationItems":[{"id":"5Dh8hY9n/VjrPfJqm","uris":["http://zotero.org/users/5679506/items/83Q7PQC7"],"itemData":{"id":"kg7r0UY5/8D5bfaim","type":"article-journal","abstract":"This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schema":"https://github.com/citation-style-language/schema/raw/master/csl-citation.json"} </w:instrText>
      </w:r>
      <w:r w:rsidR="006610DE" w:rsidRPr="00335261">
        <w:rPr>
          <w:color w:val="1F4E9E"/>
        </w:rPr>
        <w:fldChar w:fldCharType="separate"/>
      </w:r>
      <w:r w:rsidR="00335261" w:rsidRPr="00335261">
        <w:rPr>
          <w:color w:val="FF0000"/>
        </w:rPr>
        <w:t>(Dendauw et al., 2024)</w:t>
      </w:r>
      <w:r w:rsidR="006610DE" w:rsidRPr="00335261">
        <w:rPr>
          <w:color w:val="1F4E9E"/>
        </w:rPr>
        <w:fldChar w:fldCharType="end"/>
      </w:r>
      <w:r w:rsidR="00644023" w:rsidRPr="00335261">
        <w:rPr>
          <w:color w:val="1F4E9E"/>
        </w:rPr>
        <w:t xml:space="preserve">. </w:t>
      </w:r>
      <w:r w:rsidR="009B1FFC" w:rsidRPr="009B1FFC">
        <w:rPr>
          <w:color w:val="FF0000"/>
        </w:rPr>
        <w:t>The RS engages a distinct stochastic process that accumulates noisy evidence that the signal is present</w:t>
      </w:r>
      <w:r w:rsidR="009B1FFC">
        <w:rPr>
          <w:color w:val="1F4E9E"/>
        </w:rPr>
        <w:t xml:space="preserve">. </w:t>
      </w:r>
      <w:r w:rsidR="00C314D0" w:rsidRPr="00C314D0">
        <w:rPr>
          <w:color w:val="FF0000"/>
        </w:rPr>
        <w:t xml:space="preserve">The plausibility of noisy temporal integration for an unambiguous signal is supported by accumulator accounts of one-choice </w:t>
      </w:r>
      <w:r w:rsidR="00C314D0" w:rsidRPr="00D10DAE">
        <w:rPr>
          <w:color w:val="FF0000"/>
        </w:rPr>
        <w:t>RT</w:t>
      </w:r>
      <w:r w:rsidR="009B1FFC" w:rsidRPr="00D10DAE">
        <w:t xml:space="preserve"> </w:t>
      </w:r>
      <w:r w:rsidR="009B1FFC" w:rsidRPr="00D10DAE">
        <w:rPr>
          <w:color w:val="1F4E9E"/>
        </w:rPr>
        <w:fldChar w:fldCharType="begin"/>
      </w:r>
      <w:r w:rsidR="00D10DAE" w:rsidRPr="00D10DAE">
        <w:rPr>
          <w:color w:val="1F4E9E"/>
        </w:rPr>
        <w:instrText xml:space="preserve"> ADDIN ZOTERO_ITEM CSL_CITATION {"citationID":"RjYa23sD","properties":{"unsorted":false,"formattedCitation":"(Ratcliff &amp; Van Dongen, 2011; Smith, 1995)","plainCitation":"(Ratcliff &amp; Van Dongen, 2011; Smith, 1995)","noteIndex":0},"citationItems":[{"id":11886,"uris":["http://zotero.org/users/5679506/items/26KZ7MM8"],"itemData":{"id":11886,"type":"article-journal","abstract":"One-choice reaction-time (RT) tasks are used in many domains, including assessments of motor vehicle driving and assessments of the cognitive/behavioral consequences of sleep deprivation. In such tasks, subjects are asked to respond when they detect the onset of a stimulus; the dependent variable is RT. We present a cognitive model for one-choice RT tasks that uses a one-boundary diffusion process to represent the accumulation of stimulus information. When the accumulated evidence reaches a decision criterion, a response is initiated. This model is distinct in accounting for the RT distributions observed for one-choice RT tasks, which can have long tails that have not been accurately captured by earlier cognitive modeling approaches. We show that the model explains performance on a brightness-detection task (a \"simple RT task\") and on a psychomotor vigilance test. The latter is used extensively to examine the clinical and behavioral effects of sleep deprivation. For the brightness-detection task, the model explains the behavior of RT distributions as a function of brightness. For the psychomotor vigilance test, it accounts for lapses in performance under conditions of sleep deprivation and for changes in the shapes of RT distributions over the course of sleep deprivation. The model also successfully maps the rate of accumulation of stimulus information onto independently derived predictions of alertness. The model is a unified, mechanistic account of one-choice RT under conditions of sleep deprivation.","container-title":"Proceedings of the National Academy of Sciences of the United States of America","DOI":"10.1073/pnas.1100483108","ISSN":"1091-6490","issue":"27","journalAbbreviation":"Proc Natl Acad Sci U S A","language":"eng","page":"11285-11290","PMID":"21690336","PMCID":"PMC3131321","source":"PubMed","title":"Diffusion model for one-choice reaction-time tasks and the cognitive effects of sleep deprivation","volume":"108","author":[{"family":"Ratcliff","given":"Roger"},{"family":"Van Dongen","given":"Hans P. A."}],"issued":{"date-parts":[["2011",7,5]]}}},{"id":709,"uris":["http://zotero.org/users/5679506/items/E3EFBJ9W"],"itemData":{"id":709,"type":"article-journal","abstract":"Visual psychophysics has shown that the perceptual representation of a stimulus has complex time-varying properties that depend on the response characteristics of the channel on which it is encoded. A fundamental expression of these properties is the distinction between sustained and transient processing channels. A theoretical and mathematical framework is introduced that allows such properties to be incorporated into fully stochastic models of simple reaction time (RT). These models, the multichannel leaky stochastic integrators, combine a linear filter model of stimulus encoding with an accumulative decision process and yield a stimulus representation described by a time-inhomogeneous Ornstein-Uhlenbeck diffusion process. Methods for obtaining RT distributions for these models are described, together with comparative fits to luminance-increment data obtained under conditions of channel pooling and channel independence. (PsycINFO Database Record (c) 2016 APA, all rights reserved)","container-title":"Psychological Review","DOI":"10.1037/0033-295X.102.3.567","ISSN":"1939-1471(Electronic),0033-295X(Print)","issue":"3","note":"publisher-place: US","page":"567-593","publisher":"American Psychological Association","source":"APA PsycNET","title":"Psychophysically principled models of visual simple reaction time","volume":"102","author":[{"family":"Smith","given":"Philip L."}],"issued":{"date-parts":[["1995"]]}}}],"schema":"https://github.com/citation-style-language/schema/raw/master/csl-citation.json"} </w:instrText>
      </w:r>
      <w:r w:rsidR="009B1FFC" w:rsidRPr="00D10DAE">
        <w:rPr>
          <w:color w:val="1F4E9E"/>
        </w:rPr>
        <w:fldChar w:fldCharType="separate"/>
      </w:r>
      <w:r w:rsidR="00D10DAE" w:rsidRPr="00D10DAE">
        <w:rPr>
          <w:color w:val="FF0000"/>
        </w:rPr>
        <w:t>(Ratcliff &amp; Van Dongen, 2011; Smith, 1995)</w:t>
      </w:r>
      <w:r w:rsidR="009B1FFC" w:rsidRPr="00D10DAE">
        <w:rPr>
          <w:color w:val="1F4E9E"/>
        </w:rPr>
        <w:fldChar w:fldCharType="end"/>
      </w:r>
      <w:r w:rsidR="009B1FFC" w:rsidRPr="00D10DAE">
        <w:rPr>
          <w:color w:val="FF0000"/>
        </w:rPr>
        <w:t xml:space="preserve"> and by electroencephalographic (EEG) signatures of evidence </w:t>
      </w:r>
      <w:r w:rsidR="009B1FFC" w:rsidRPr="009B1FFC">
        <w:rPr>
          <w:color w:val="FF0000"/>
        </w:rPr>
        <w:t>accumulation under near-ceiling target-detection conditions</w:t>
      </w:r>
      <w:r w:rsidR="009B1FFC">
        <w:t xml:space="preserve"> </w:t>
      </w:r>
      <w:r w:rsidR="00864CF9" w:rsidRPr="00864CF9">
        <w:rPr>
          <w:color w:val="1F4E9E"/>
        </w:rPr>
        <w:fldChar w:fldCharType="begin"/>
      </w:r>
      <w:r w:rsidR="00864CF9" w:rsidRPr="00864CF9">
        <w:rPr>
          <w:color w:val="1F4E9E"/>
        </w:rPr>
        <w:instrText xml:space="preserve"> ADDIN ZOTERO_ITEM CSL_CITATION {"citationID":"5g58D7Bh","properties":{"unsorted":false,"formattedCitation":"(O\\uc0\\u8217{}Connell et al., 2012)","plainCitation":"(O’Connell et al., 2012)","noteIndex":0},"citationItems":[{"id":754,"uris":["http://zotero.org/users/5679506/items/F3IPA6WY"],"itemData":{"id":754,"type":"article-journal","abstract":"In theoretical accounts of perceptual decision-making, a decision variable integrates noisy sensory evidence and determines action through a boundary-crossing criterion. Signals bearing these very properties have been characterized in single neurons in monkeys, but have yet to be directly identified in humans. Using a gradual target detection task, we isolated a freely evolving decision variable signal in human subjects that exhibited every aspect of the dynamics observed in its single-neuron counterparts. This signal could be continuously tracked in parallel with fully dissociable sensory encoding and motor preparation signals, and could be systematically perturbed mid-flight during decision formation. Furthermore, we found that the signal was completely domain general: it exhibited the same decision-predictive dynamics regardless of sensory modality and stimulus features and tracked cumulative evidence even in the absence of overt action. These findings provide a uniquely clear view on the neural determinants of simple perceptual decisions in humans.","container-title":"Nature Neuroscience","DOI":"10.1038/nn.3248","ISSN":"1546-1726","issue":"12","journalAbbreviation":"Nat. Neurosci.","language":"eng","page":"1729-1735","PMID":"23103963","source":"PubMed","title":"A supramodal accumulation-to-bound signal that determines perceptual decisions in humans","volume":"15","author":[{"family":"O'Connell","given":"Redmond G."},{"family":"Dockree","given":"Paul M."},{"family":"Kelly","given":"Simon P."}],"issued":{"date-parts":[["2012",12]]}}}],"schema":"https://github.com/citation-style-language/schema/raw/master/csl-citation.json"} </w:instrText>
      </w:r>
      <w:r w:rsidR="00864CF9" w:rsidRPr="00864CF9">
        <w:rPr>
          <w:color w:val="1F4E9E"/>
        </w:rPr>
        <w:fldChar w:fldCharType="separate"/>
      </w:r>
      <w:r w:rsidR="00864CF9" w:rsidRPr="00864CF9">
        <w:rPr>
          <w:color w:val="FF0000"/>
        </w:rPr>
        <w:t>(O’Connell et al., 2012)</w:t>
      </w:r>
      <w:r w:rsidR="00864CF9" w:rsidRPr="00864CF9">
        <w:rPr>
          <w:color w:val="1F4E9E"/>
        </w:rPr>
        <w:fldChar w:fldCharType="end"/>
      </w:r>
      <w:r w:rsidR="00644023" w:rsidRPr="00864CF9">
        <w:rPr>
          <w:color w:val="1F4E9E"/>
        </w:rPr>
        <w:t xml:space="preserve">. </w:t>
      </w:r>
      <w:r w:rsidR="00E7246A" w:rsidRPr="00E7246A">
        <w:rPr>
          <w:color w:val="FF0000"/>
        </w:rPr>
        <w:t>Continuous transmission of the accumulated evidence progressively increases the selected motor state until it overcomes the gate and triggers the response.</w:t>
      </w:r>
      <w:r w:rsidR="00E7246A">
        <w:t xml:space="preserve"> </w:t>
      </w:r>
      <w:r w:rsidR="006610DE" w:rsidRPr="006610DE">
        <w:rPr>
          <w:color w:val="FF0000"/>
        </w:rPr>
        <w:t>This distinction between maintaining and initiating a motor plan has plausible circuit-level analogues. In mice, subcortical control signals can reshape motor-planning dynamics and promote transitions toward movement</w:t>
      </w:r>
      <w:r w:rsidR="003D61C2">
        <w:rPr>
          <w:color w:val="FF0000"/>
        </w:rPr>
        <w:t xml:space="preserve"> execution </w:t>
      </w:r>
      <w:r w:rsidR="003D61C2" w:rsidRPr="003D61C2">
        <w:rPr>
          <w:color w:val="1F4E9E"/>
        </w:rPr>
        <w:fldChar w:fldCharType="begin"/>
      </w:r>
      <w:r w:rsidR="003D61C2" w:rsidRPr="003D61C2">
        <w:rPr>
          <w:color w:val="1F4E9E"/>
        </w:rPr>
        <w:instrText xml:space="preserve"> ADDIN ZOTERO_ITEM CSL_CITATION {"citationID":"e2zBkumq","properties":{"unsorted":false,"formattedCitation":"(Inagaki et al., 2022)","plainCitation":"(Inagaki et al., 2022)","noteIndex":0},"citationItems":[{"id":16754,"uris":["http://zotero.org/users/5679506/items/TZIPKA4Z"],"itemData":{"id":16754,"type":"article-journal","abstract":"The brain plans and executes volitional movements. The underlying patterns of neural population activity have been explored in the context of movements of the eyes, limbs, tongue, and head in nonhuman primates and rodents. How do networks of neurons produce the slow neural dynamics that prepare specific movements and the fast dynamics that ultimately initiate these movements? Recent work exploits rapid and calibrated perturbations of neural activity to test specific dynamical systems models that are capable of producing the observed neural activity. These joint experimental and computational studies show that cortical dynamics during motor planning reflect fixed points of neural activity (attractors). Subcortical control signals reshape and move attractors over multiple timescales, causing commitment to specific actions and rapid transitions to movement execution. Experiments in rodents are beginning to reveal how these algorithms are implemented at the level of brain-wide neural circuits.","container-title":"Annual Review of Neuroscience","DOI":"10.1146/annurev-neuro-092021-121730","ISSN":"1545-4126","journalAbbreviation":"Annu Rev Neurosci","language":"eng","page":"249-271","PMID":"35316610","source":"PubMed","title":"Neural Algorithms and Circuits for Motor Planning","volume":"45","author":[{"family":"Inagaki","given":"Hidehiko K."},{"family":"Chen","given":"Susu"},{"family":"Daie","given":"Kayvon"},{"family":"Finkelstein","given":"Arseny"},{"family":"Fontolan","given":"Lorenzo"},{"family":"Romani","given":"Sandro"},{"family":"Svoboda","given":"Karel"}],"issued":{"date-parts":[["2022",7,8]]}}}],"schema":"https://github.com/citation-style-language/schema/raw/master/csl-citation.json"} </w:instrText>
      </w:r>
      <w:r w:rsidR="003D61C2" w:rsidRPr="003D61C2">
        <w:rPr>
          <w:color w:val="1F4E9E"/>
        </w:rPr>
        <w:fldChar w:fldCharType="separate"/>
      </w:r>
      <w:r w:rsidR="003D61C2" w:rsidRPr="003D61C2">
        <w:rPr>
          <w:color w:val="FF0000"/>
        </w:rPr>
        <w:t>(Inagaki et al., 2022)</w:t>
      </w:r>
      <w:r w:rsidR="003D61C2" w:rsidRPr="003D61C2">
        <w:rPr>
          <w:color w:val="1F4E9E"/>
        </w:rPr>
        <w:fldChar w:fldCharType="end"/>
      </w:r>
      <w:r w:rsidR="006610DE" w:rsidRPr="003D61C2">
        <w:rPr>
          <w:color w:val="1F4E9E"/>
        </w:rPr>
        <w:t xml:space="preserve">, </w:t>
      </w:r>
      <w:r w:rsidR="006610DE" w:rsidRPr="006610DE">
        <w:rPr>
          <w:color w:val="FF0000"/>
        </w:rPr>
        <w:t xml:space="preserve">whereas primate population studies indicate that </w:t>
      </w:r>
      <w:r w:rsidR="006610DE" w:rsidRPr="003D61C2">
        <w:rPr>
          <w:color w:val="FF0000"/>
        </w:rPr>
        <w:t>preparatory activity can occupy output-null dimensions that do not immediately drive mo</w:t>
      </w:r>
      <w:r w:rsidR="003D61C2" w:rsidRPr="003D61C2">
        <w:rPr>
          <w:color w:val="FF0000"/>
        </w:rPr>
        <w:t xml:space="preserve">tor output </w:t>
      </w:r>
      <w:r w:rsidR="003D61C2" w:rsidRPr="003D61C2">
        <w:rPr>
          <w:color w:val="1F4E9E"/>
        </w:rPr>
        <w:fldChar w:fldCharType="begin"/>
      </w:r>
      <w:r w:rsidR="003D61C2" w:rsidRPr="003D61C2">
        <w:rPr>
          <w:color w:val="1F4E9E"/>
        </w:rPr>
        <w:instrText xml:space="preserve"> ADDIN ZOTERO_ITEM CSL_CITATION {"citationID":"lc52hBfM","properties":{"unsorted":false,"formattedCitation":"(Churchland &amp; Shenoy, 2024)","plainCitation":"(Churchland &amp; Shenoy, 2024)","noteIndex":0},"citationItems":[{"id":16752,"uris":["http://zotero.org/users/5679506/items/EJDNSM6I"],"itemData":{"id":16752,"type":"article-journal","abstract":"The study of the cortical control of movement experienced a conceptual shift over recent decades, as the basic currency of understanding shifted from single-neuron tuning towards population-level factors and their dynamics. This transition was informed by a maturing understanding of recurrent networks, where mechanism is often characterized in terms of population-level factors. By estimating factors from data, experimenters could test network-inspired hypotheses. Central to such hypotheses are 'output-null' factors that do not directly drive motor outputs yet are essential to the overall computation. In this Review, we highlight how the hypothesis of output-null factors was motivated by the venerable observation that motor-cortex neurons are active during movement preparation, well before movement begins. We discuss how output-null factors then became similarly central to understanding neural activity during movement. We discuss how this conceptual framework provided key analysis tools, making it possible for experimenters to address long-standing questions regarding motor control. We highlight an intriguing trend: as experimental and theoretical discoveries accumulate, the range of computational roles hypothesized to be subserved by output-null factors continues to expand.","container-title":"Nature Reviews. Neuroscience","DOI":"10.1038/s41583-024-00796-z","ISSN":"1471-0048","issue":"4","journalAbbreviation":"Nat Rev Neurosci","language":"eng","page":"213-236","PMID":"38443626","PMCID":"PMC13271173","source":"PubMed","title":"Preparatory activity and the expansive null-space","volume":"25","author":[{"family":"Churchland","given":"Mark M."},{"family":"Shenoy","given":"Krishna V."}],"issued":{"date-parts":[["2024",4]]}}}],"schema":"https://github.com/citation-style-language/schema/raw/master/csl-citation.json"} </w:instrText>
      </w:r>
      <w:r w:rsidR="003D61C2" w:rsidRPr="003D61C2">
        <w:rPr>
          <w:color w:val="1F4E9E"/>
        </w:rPr>
        <w:fldChar w:fldCharType="separate"/>
      </w:r>
      <w:r w:rsidR="003D61C2" w:rsidRPr="003D61C2">
        <w:rPr>
          <w:color w:val="FF0000"/>
        </w:rPr>
        <w:t>(Churchland &amp; Shenoy, 2024)</w:t>
      </w:r>
      <w:r w:rsidR="003D61C2" w:rsidRPr="003D61C2">
        <w:rPr>
          <w:color w:val="1F4E9E"/>
        </w:rPr>
        <w:fldChar w:fldCharType="end"/>
      </w:r>
      <w:r w:rsidR="006610DE" w:rsidRPr="003D61C2">
        <w:rPr>
          <w:color w:val="1F4E9E"/>
        </w:rPr>
        <w:t>.</w:t>
      </w:r>
      <w:r w:rsidR="0095290C" w:rsidRPr="003D61C2">
        <w:rPr>
          <w:color w:val="FF0000"/>
        </w:rPr>
        <w:t xml:space="preserve"> This </w:t>
      </w:r>
      <w:r w:rsidR="0095290C" w:rsidRPr="004D146B">
        <w:rPr>
          <w:color w:val="FF0000"/>
        </w:rPr>
        <w:t>organization can keep a selected action prepared without immediate execution, a separation our model represents in reduced form</w:t>
      </w:r>
      <w:r w:rsidR="0095290C" w:rsidRPr="004D146B">
        <w:rPr>
          <w:color w:val="1F4E9E"/>
        </w:rPr>
        <w:t>.</w:t>
      </w:r>
    </w:p>
    <w:p w14:paraId="38C09AE2" w14:textId="77777777" w:rsidR="00101709" w:rsidRDefault="00F94195">
      <w:r>
        <w:rPr>
          <w:color w:val="1F4E9E"/>
        </w:rPr>
        <w:t xml:space="preserve">Both models predict the same qualitative ordering of mean RT with motion coherence and with stimulus duration, because it follows directly from the shared architecture: the second accumulation’s drift is fixed across conditions, </w:t>
      </w:r>
      <w:r>
        <w:rPr>
          <w:color w:val="1F4E9E"/>
        </w:rPr>
        <w:t>so coherence and duration act on RT only through the level maintained at the end of the first stage, which both raise. Behavior alone therefore cannot distinguish the two models’ internal dynamics, and we used EEG measures of effector-selective motor preparation, alongside surface electromyographic (EMG) measures of muscle activation, as additional constraints.</w:t>
      </w:r>
    </w:p>
    <w:p w14:paraId="50029DCD" w14:textId="77777777" w:rsidR="005C639F" w:rsidRPr="005C639F" w:rsidRDefault="00473CA0" w:rsidP="00970F5F">
      <w:pPr>
        <w:pStyle w:val="Titre1"/>
        <w:spacing w:before="360"/>
      </w:pPr>
      <w:r w:rsidRPr="009C1EF3">
        <w:t>Materials and Methods</w:t>
      </w:r>
    </w:p>
    <w:p w14:paraId="1D3B74B7" w14:textId="77777777" w:rsidR="00205CBC" w:rsidRDefault="00000000">
      <w:pPr>
        <w:pStyle w:val="Titre2"/>
      </w:pPr>
      <w:r>
        <w:rPr>
          <w:color w:val="1F4E9E"/>
        </w:rPr>
        <w:t>Experimental Procedures</w:t>
      </w:r>
    </w:p>
    <w:p w14:paraId="0CF954D2" w14:textId="77777777" w:rsidR="003A0E94" w:rsidRDefault="00546FAA" w:rsidP="003A0E94">
      <w:pPr>
        <w:pStyle w:val="Titre3"/>
      </w:pPr>
      <w:r>
        <w:t>Participants</w:t>
      </w:r>
      <w:r w:rsidR="005A1453">
        <w:t xml:space="preserve"> </w:t>
      </w:r>
    </w:p>
    <w:p w14:paraId="5437A294" w14:textId="77777777" w:rsidR="003F3AA7" w:rsidRDefault="00D70887" w:rsidP="001721C3">
      <w:pPr>
        <w:ind w:firstLine="708"/>
      </w:pPr>
      <w:r w:rsidRPr="00D70887">
        <w:t>Twenty-two participants</w:t>
      </w:r>
      <w:r w:rsidR="0059284F">
        <w:t xml:space="preserve"> (</w:t>
      </w:r>
      <w:r w:rsidR="0059284F" w:rsidRPr="0059284F">
        <w:t>17 women; mean age = 20.08; range 18</w:t>
      </w:r>
      <w:r w:rsidR="007A5A58">
        <w:t>–</w:t>
      </w:r>
      <w:r w:rsidR="0059284F" w:rsidRPr="0059284F">
        <w:t>24</w:t>
      </w:r>
      <w:r w:rsidR="0059284F">
        <w:t>)</w:t>
      </w:r>
      <w:r w:rsidRPr="00D70887">
        <w:t xml:space="preserve"> took part in the experiment in exchange for a €20 gift card.</w:t>
      </w:r>
      <w:r>
        <w:t xml:space="preserve"> </w:t>
      </w:r>
      <w:r w:rsidR="006B5499">
        <w:t xml:space="preserve">The sample size </w:t>
      </w:r>
      <w:r w:rsidR="00230694">
        <w:t>was based on</w:t>
      </w:r>
      <w:r w:rsidR="00467EE2" w:rsidRPr="00467EE2">
        <w:t xml:space="preserve"> our previous study</w:t>
      </w:r>
      <w:r w:rsidR="002463B5" w:rsidRPr="002463B5">
        <w:t xml:space="preserve"> (Achard et al., 2025, Experiment 2), which </w:t>
      </w:r>
      <w:r w:rsidR="00230694">
        <w:t>provided</w:t>
      </w:r>
      <w:r w:rsidR="002463B5">
        <w:t xml:space="preserve"> </w:t>
      </w:r>
      <w:r w:rsidR="002463B5" w:rsidRPr="002463B5">
        <w:t>strong Bayesian evidence (</w:t>
      </w:r>
      <w:r w:rsidR="003C4B23">
        <w:t>inclusion Bayes f</w:t>
      </w:r>
      <w:r w:rsidR="002463B5" w:rsidRPr="002463B5">
        <w:t xml:space="preserve">actor &gt; 10) </w:t>
      </w:r>
      <w:r w:rsidR="00230694">
        <w:t>that</w:t>
      </w:r>
      <w:r w:rsidR="002463B5" w:rsidRPr="002463B5">
        <w:t xml:space="preserve"> </w:t>
      </w:r>
      <w:r w:rsidR="006759EB">
        <w:t>stimulus discriminability</w:t>
      </w:r>
      <w:r w:rsidR="00230694">
        <w:t xml:space="preserve"> and duration affect delayed-report latency</w:t>
      </w:r>
      <w:r w:rsidR="002463B5" w:rsidRPr="002463B5">
        <w:t>.</w:t>
      </w:r>
      <w:r w:rsidR="006B7DD8">
        <w:t xml:space="preserve"> </w:t>
      </w:r>
      <w:r w:rsidR="00103207">
        <w:t>Participants were students at</w:t>
      </w:r>
      <w:r w:rsidR="00262E1C">
        <w:t xml:space="preserve"> </w:t>
      </w:r>
      <w:r w:rsidRPr="00D70887">
        <w:t>Université Marie et Louis Pasteur</w:t>
      </w:r>
      <w:r w:rsidR="002018A2">
        <w:t xml:space="preserve"> (France)</w:t>
      </w:r>
      <w:r w:rsidRPr="00D70887">
        <w:t xml:space="preserve"> recruited through</w:t>
      </w:r>
      <w:r w:rsidR="00103207">
        <w:t xml:space="preserve"> online advertisement</w:t>
      </w:r>
      <w:r w:rsidR="003C4B23">
        <w:t>s</w:t>
      </w:r>
      <w:r w:rsidR="00103207">
        <w:t xml:space="preserve">. </w:t>
      </w:r>
      <w:r w:rsidR="00C0119C" w:rsidRPr="00C0119C">
        <w:t xml:space="preserve">All were right-handed, had normal or corrected-to-normal vision, and </w:t>
      </w:r>
      <w:r w:rsidR="00C0119C" w:rsidRPr="00C0119C">
        <w:lastRenderedPageBreak/>
        <w:t>reported no history of motor, psychiatric, or neurological disorders</w:t>
      </w:r>
      <w:r w:rsidR="00C0119C">
        <w:t>. Participants</w:t>
      </w:r>
      <w:r w:rsidRPr="00D70887">
        <w:t xml:space="preserve"> were unaware of the </w:t>
      </w:r>
      <w:r w:rsidR="00C0119C">
        <w:t>study purpose</w:t>
      </w:r>
      <w:r w:rsidR="00262E1C">
        <w:t xml:space="preserve"> and provided</w:t>
      </w:r>
      <w:r w:rsidRPr="00D70887">
        <w:t xml:space="preserve"> written </w:t>
      </w:r>
      <w:r w:rsidR="00262E1C">
        <w:t xml:space="preserve">informed </w:t>
      </w:r>
      <w:r w:rsidR="003C4B23">
        <w:t>consent</w:t>
      </w:r>
      <w:r w:rsidRPr="00D70887">
        <w:t xml:space="preserve">. </w:t>
      </w:r>
      <w:r w:rsidR="00FE022D">
        <w:t>The university research ethics committee approved the study</w:t>
      </w:r>
      <w:r w:rsidRPr="00D70887">
        <w:t xml:space="preserve"> (Agreement CERUBFC-2022-01-18-002). </w:t>
      </w:r>
    </w:p>
    <w:p w14:paraId="7564DAA2" w14:textId="77777777" w:rsidR="003A0E94" w:rsidRDefault="00546FAA" w:rsidP="003A0E94">
      <w:pPr>
        <w:pStyle w:val="Titre3"/>
      </w:pPr>
      <w:r>
        <w:t>Experimental task</w:t>
      </w:r>
      <w:r w:rsidR="005A1453">
        <w:t xml:space="preserve"> </w:t>
      </w:r>
    </w:p>
    <w:p w14:paraId="39247502" w14:textId="77777777" w:rsidR="00105DB3" w:rsidRDefault="009A5D76" w:rsidP="001721C3">
      <w:pPr>
        <w:ind w:firstLine="708"/>
      </w:pPr>
      <w:r>
        <w:t>Participants performed a</w:t>
      </w:r>
      <w:r w:rsidR="00C352DC">
        <w:rPr>
          <w:color w:val="1F4E9E"/>
        </w:rPr>
        <w:t xml:space="preserve"> response-signal (RS) variant of the </w:t>
      </w:r>
      <w:r w:rsidR="007755D4">
        <w:t>random-dot</w:t>
      </w:r>
      <w:r w:rsidR="00105DB3">
        <w:t xml:space="preserve"> motion discrimination task. They judged</w:t>
      </w:r>
      <w:r w:rsidR="00C352DC">
        <w:t xml:space="preserve"> </w:t>
      </w:r>
      <w:r w:rsidR="00105DB3" w:rsidRPr="00105DB3">
        <w:t>whether motion was leftward or rightward, maintained the selected response during a 3-s delay</w:t>
      </w:r>
      <w:r w:rsidR="00ED4F44" w:rsidRPr="00ED4F44">
        <w:t>, and reported it</w:t>
      </w:r>
      <w:r w:rsidR="00105DB3">
        <w:rPr>
          <w:color w:val="1F4E9E"/>
        </w:rPr>
        <w:t xml:space="preserve"> when the RS</w:t>
      </w:r>
      <w:r w:rsidR="00105DB3" w:rsidRPr="00105DB3">
        <w:t xml:space="preserve"> appeared</w:t>
      </w:r>
      <w:r w:rsidR="00105DB3">
        <w:t xml:space="preserve">. </w:t>
      </w:r>
      <w:r w:rsidR="00105DB3" w:rsidRPr="00105DB3">
        <w:t>Leftward and rightward judgments were reported with the corresponding thumb using two buttons mounted in a rubberized ergonomic grip (Black Box Toolkit).</w:t>
      </w:r>
      <w:r w:rsidR="00105DB3">
        <w:t xml:space="preserve"> </w:t>
      </w:r>
      <w:r w:rsidR="00105DB3" w:rsidRPr="00105DB3">
        <w:t xml:space="preserve">Motion duration (0.3 or 2 s) and coherence (0%, 12%, or 50%) varied factorially. The 0% condition contained no net directional evidence and therefore indexed chance-level choices; 12% and 50% coherence provided intermediate and high discriminability, respectively. </w:t>
      </w:r>
    </w:p>
    <w:p w14:paraId="46A9A6D1" w14:textId="77777777" w:rsidR="00251368" w:rsidRDefault="006B6A61" w:rsidP="001721C3">
      <w:pPr>
        <w:ind w:firstLine="708"/>
      </w:pPr>
      <w:r>
        <w:t>The stimulus contained</w:t>
      </w:r>
      <w:r w:rsidR="00E92DB7">
        <w:t xml:space="preserve"> white dots (</w:t>
      </w:r>
      <w:r w:rsidR="00E67DAC" w:rsidRPr="00E67DAC">
        <w:t>0.05° in diameter;</w:t>
      </w:r>
      <w:r w:rsidR="00E67DAC">
        <w:t xml:space="preserve"> </w:t>
      </w:r>
      <w:r w:rsidR="00471B42">
        <w:t>71 dots per frame on average</w:t>
      </w:r>
      <w:r w:rsidR="00E92DB7">
        <w:t xml:space="preserve">) presented within a </w:t>
      </w:r>
      <w:r w:rsidR="00B86884">
        <w:t xml:space="preserve">virtual </w:t>
      </w:r>
      <w:r w:rsidR="00E92DB7">
        <w:t>circular aperture</w:t>
      </w:r>
      <w:r w:rsidR="00877734">
        <w:t xml:space="preserve"> </w:t>
      </w:r>
      <w:r w:rsidR="00877734" w:rsidRPr="00877734">
        <w:t>(</w:t>
      </w:r>
      <w:r w:rsidR="00E67DAC" w:rsidRPr="00E67DAC">
        <w:t>11.78° in diameter</w:t>
      </w:r>
      <w:r w:rsidR="00877734" w:rsidRPr="00877734">
        <w:t>)</w:t>
      </w:r>
      <w:r w:rsidR="00B86884" w:rsidRPr="00877734">
        <w:t xml:space="preserve"> </w:t>
      </w:r>
      <w:r w:rsidR="00251368" w:rsidRPr="00251368">
        <w:t>on a black background. On each frame, a proportion of dots moved coherently leftward or rightward at 10.5°/s, whereas the remaining dots were repositioned randomly. Stimuli were displayed on a 34.42 × 19.36 cm LCD monitor (1920 × 1080; 60 Hz) viewed from 75 cm in a dimly lit room. Participants rested their hands on a cushion to minimize incidental muscle activity.</w:t>
      </w:r>
    </w:p>
    <w:p w14:paraId="757178A3" w14:textId="77777777" w:rsidR="005C639F" w:rsidRDefault="00BA07E2" w:rsidP="00473CA0">
      <w:r>
        <w:tab/>
      </w:r>
      <w:r w:rsidR="00F30E4C">
        <w:t>Participants</w:t>
      </w:r>
      <w:r w:rsidR="006D0BB8">
        <w:t xml:space="preserve"> compl</w:t>
      </w:r>
      <w:r w:rsidR="00F30E4C">
        <w:t>eted 10 blocks of 96 trials</w:t>
      </w:r>
      <w:r w:rsidR="006D0BB8">
        <w:t xml:space="preserve">, with self-paced breaks between blocks. </w:t>
      </w:r>
      <w:r w:rsidR="00316644">
        <w:t xml:space="preserve">Within each </w:t>
      </w:r>
      <w:r w:rsidR="00BD43B7">
        <w:t xml:space="preserve">block, trials were defined by the </w:t>
      </w:r>
      <w:r w:rsidR="00316644">
        <w:t>factorial c</w:t>
      </w:r>
      <w:r w:rsidR="00255BF9">
        <w:t>ombination of motion direction</w:t>
      </w:r>
      <w:r w:rsidR="00316644">
        <w:t xml:space="preserve">, </w:t>
      </w:r>
      <w:r w:rsidR="00255BF9">
        <w:t>motion coherence</w:t>
      </w:r>
      <w:r w:rsidR="00316644" w:rsidRPr="00316644">
        <w:t>, and</w:t>
      </w:r>
      <w:r w:rsidR="006B31CE">
        <w:t xml:space="preserve"> motion</w:t>
      </w:r>
      <w:r w:rsidR="00316644" w:rsidRPr="00316644">
        <w:t xml:space="preserve"> duration (0.3 </w:t>
      </w:r>
      <w:r w:rsidR="00CE0FC8">
        <w:t>vs</w:t>
      </w:r>
      <w:r w:rsidR="00316644" w:rsidRPr="00316644">
        <w:t xml:space="preserve"> 2</w:t>
      </w:r>
      <w:r w:rsidR="001721C3">
        <w:t xml:space="preserve"> </w:t>
      </w:r>
      <w:r w:rsidR="00316644" w:rsidRPr="00316644">
        <w:t>s)</w:t>
      </w:r>
      <w:r w:rsidR="00EF0399">
        <w:t>. E</w:t>
      </w:r>
      <w:r w:rsidR="006D0BB8">
        <w:t xml:space="preserve">ach trial type </w:t>
      </w:r>
      <w:r w:rsidR="00255BF9">
        <w:t>was presented eight</w:t>
      </w:r>
      <w:r w:rsidR="006D0BB8">
        <w:t xml:space="preserve"> times </w:t>
      </w:r>
      <w:r w:rsidR="00EF0399">
        <w:t xml:space="preserve">per block </w:t>
      </w:r>
      <w:r w:rsidR="006D0BB8">
        <w:t>in random</w:t>
      </w:r>
      <w:r w:rsidR="00EF0399">
        <w:t>ized</w:t>
      </w:r>
      <w:r w:rsidR="006D0BB8">
        <w:t xml:space="preserve"> order</w:t>
      </w:r>
      <w:r w:rsidR="00255BF9">
        <w:t>, resulting in</w:t>
      </w:r>
      <w:r w:rsidR="00255BF9" w:rsidRPr="00255BF9">
        <w:t xml:space="preserve"> 160 trials per coherence × duration condition</w:t>
      </w:r>
      <w:r w:rsidR="00255BF9">
        <w:t xml:space="preserve"> across the experiment</w:t>
      </w:r>
      <w:r w:rsidR="00316644">
        <w:t>.</w:t>
      </w:r>
      <w:r w:rsidR="00EF0399">
        <w:t xml:space="preserve"> </w:t>
      </w:r>
      <w:r w:rsidR="00E6094D">
        <w:t>The time course of each tri</w:t>
      </w:r>
      <w:r w:rsidR="004041BE">
        <w:t xml:space="preserve">al is illustrated in </w:t>
      </w:r>
      <w:r w:rsidR="004041BE" w:rsidRPr="00A4050D">
        <w:t>Figure 2A</w:t>
      </w:r>
      <w:r w:rsidR="004041BE">
        <w:t xml:space="preserve">. </w:t>
      </w:r>
      <w:r w:rsidR="002303D9">
        <w:t xml:space="preserve">A colored fixation cross remained at the center of the screen for the duration of the trial. </w:t>
      </w:r>
      <w:r w:rsidR="00F30E4C" w:rsidRPr="00F30E4C">
        <w:t xml:space="preserve">After a variable </w:t>
      </w:r>
      <w:proofErr w:type="spellStart"/>
      <w:r w:rsidR="00F30E4C" w:rsidRPr="00F30E4C">
        <w:lastRenderedPageBreak/>
        <w:t>prestimulus</w:t>
      </w:r>
      <w:proofErr w:type="spellEnd"/>
      <w:r w:rsidR="00F30E4C" w:rsidRPr="00F30E4C">
        <w:t xml:space="preserve"> interval</w:t>
      </w:r>
      <w:r w:rsidR="004041BE">
        <w:t xml:space="preserve"> (</w:t>
      </w:r>
      <w:r w:rsidR="004041BE" w:rsidRPr="000871DE">
        <w:t>0.6</w:t>
      </w:r>
      <w:r w:rsidR="00B61CAD">
        <w:t>, 0.8</w:t>
      </w:r>
      <w:r w:rsidR="004041BE">
        <w:t>, or 1</w:t>
      </w:r>
      <w:r w:rsidR="00A4050D">
        <w:t xml:space="preserve"> </w:t>
      </w:r>
      <w:r w:rsidR="004041BE">
        <w:t xml:space="preserve">s, randomly selected </w:t>
      </w:r>
      <w:r w:rsidR="00F30E4C">
        <w:t>on a trial-by-trial basis), the motion</w:t>
      </w:r>
      <w:r w:rsidR="00E52370">
        <w:t xml:space="preserve"> </w:t>
      </w:r>
      <w:r w:rsidR="00F30E4C">
        <w:t>stimulus appeared and was</w:t>
      </w:r>
      <w:r w:rsidR="00024E65">
        <w:t xml:space="preserve"> followed by a</w:t>
      </w:r>
      <w:r w:rsidR="004041BE">
        <w:t xml:space="preserve"> </w:t>
      </w:r>
      <w:r w:rsidR="00F30E4C">
        <w:t>3-</w:t>
      </w:r>
      <w:r w:rsidR="002303D9" w:rsidRPr="00DC0A92">
        <w:t xml:space="preserve">s </w:t>
      </w:r>
      <w:r w:rsidR="00F30E4C">
        <w:t>delay</w:t>
      </w:r>
      <w:r w:rsidR="004041BE">
        <w:t xml:space="preserve">. </w:t>
      </w:r>
      <w:r w:rsidR="00F30E4C">
        <w:t>A change in</w:t>
      </w:r>
      <w:r w:rsidR="00E52370">
        <w:t xml:space="preserve"> fixation </w:t>
      </w:r>
      <w:r w:rsidR="00F30E4C">
        <w:t>color</w:t>
      </w:r>
      <w:r w:rsidR="00E52370">
        <w:t xml:space="preserve"> from blue to yellow served as the RS. </w:t>
      </w:r>
      <w:r w:rsidR="006D0BB8" w:rsidRPr="006D0BB8">
        <w:t>Participants were instruct</w:t>
      </w:r>
      <w:r w:rsidR="0010212E">
        <w:t xml:space="preserve">ed to respond as quickly and </w:t>
      </w:r>
      <w:r w:rsidR="006D0BB8" w:rsidRPr="006D0BB8">
        <w:t xml:space="preserve">accurately </w:t>
      </w:r>
      <w:r w:rsidR="00024E65">
        <w:t>as possible after this change</w:t>
      </w:r>
      <w:r w:rsidR="006D0BB8">
        <w:t xml:space="preserve">. </w:t>
      </w:r>
      <w:r w:rsidR="00255BF9">
        <w:t>If no response was</w:t>
      </w:r>
      <w:r w:rsidR="000A284A">
        <w:t xml:space="preserve"> made within</w:t>
      </w:r>
      <w:r w:rsidR="00E610E7">
        <w:t xml:space="preserve"> 4 s of RS onset, the feedback message "</w:t>
      </w:r>
      <w:r w:rsidR="000A284A">
        <w:t>Too late, please respo</w:t>
      </w:r>
      <w:r w:rsidR="00E610E7">
        <w:t>nd faster"</w:t>
      </w:r>
      <w:r w:rsidR="004670DC">
        <w:t xml:space="preserve"> was displayed for 2</w:t>
      </w:r>
      <w:r w:rsidR="00A4050D">
        <w:t xml:space="preserve"> </w:t>
      </w:r>
      <w:r w:rsidR="004670DC">
        <w:t>s</w:t>
      </w:r>
      <w:r w:rsidR="000A284A">
        <w:t xml:space="preserve">. </w:t>
      </w:r>
      <w:r w:rsidR="004670DC">
        <w:t xml:space="preserve">If a response </w:t>
      </w:r>
      <w:r w:rsidR="008C744C">
        <w:t>occurred b</w:t>
      </w:r>
      <w:r w:rsidR="004670DC" w:rsidRPr="004670DC">
        <w:t xml:space="preserve">efore the RS, the feedback </w:t>
      </w:r>
      <w:r w:rsidR="00E610E7">
        <w:t>message "</w:t>
      </w:r>
      <w:r w:rsidR="004670DC" w:rsidRPr="004670DC">
        <w:t xml:space="preserve">Too early! Please wait </w:t>
      </w:r>
      <w:r w:rsidR="004670DC">
        <w:t>for the color chang</w:t>
      </w:r>
      <w:r w:rsidR="008C744C">
        <w:t>e o</w:t>
      </w:r>
      <w:r w:rsidR="004670DC">
        <w:t>f the fixation cross</w:t>
      </w:r>
      <w:r w:rsidR="00E610E7">
        <w:t>"</w:t>
      </w:r>
      <w:r w:rsidR="004670DC">
        <w:t xml:space="preserve"> was displayed</w:t>
      </w:r>
      <w:r w:rsidR="008C744C">
        <w:t xml:space="preserve"> for 2</w:t>
      </w:r>
      <w:r w:rsidR="00A4050D">
        <w:t xml:space="preserve"> </w:t>
      </w:r>
      <w:r w:rsidR="00497E07">
        <w:t>s. F</w:t>
      </w:r>
      <w:r w:rsidR="00520F1C" w:rsidRPr="00A4050D">
        <w:t>eedback</w:t>
      </w:r>
      <w:r w:rsidR="00E610E7">
        <w:t xml:space="preserve"> messages</w:t>
      </w:r>
      <w:r w:rsidR="00497E07">
        <w:t xml:space="preserve"> or</w:t>
      </w:r>
      <w:r w:rsidR="008C744C">
        <w:t xml:space="preserve"> valid r</w:t>
      </w:r>
      <w:r w:rsidR="000711AF">
        <w:t>esponses were followed by a 1.5</w:t>
      </w:r>
      <w:r w:rsidR="00B50AAD">
        <w:t xml:space="preserve"> </w:t>
      </w:r>
      <w:r w:rsidR="008C744C">
        <w:t xml:space="preserve">s inter-trial interval, during which a schematic </w:t>
      </w:r>
      <w:r w:rsidR="00255BF9">
        <w:t xml:space="preserve">image </w:t>
      </w:r>
      <w:r w:rsidR="008C744C">
        <w:t>of an eye was displayed. Participants were instructed to</w:t>
      </w:r>
      <w:r w:rsidR="001738DE">
        <w:t xml:space="preserve"> maintain fixation</w:t>
      </w:r>
      <w:r w:rsidR="008C744C">
        <w:t xml:space="preserve"> on the </w:t>
      </w:r>
      <w:r w:rsidR="00CE1551">
        <w:t xml:space="preserve">central </w:t>
      </w:r>
      <w:r w:rsidR="00255BF9">
        <w:t>cross and refrain from</w:t>
      </w:r>
      <w:r w:rsidR="008C744C">
        <w:t xml:space="preserve"> blinking</w:t>
      </w:r>
      <w:r w:rsidR="00CE1551">
        <w:t xml:space="preserve"> </w:t>
      </w:r>
      <w:r w:rsidR="008C744C">
        <w:t xml:space="preserve">until the </w:t>
      </w:r>
      <w:r w:rsidR="001738DE">
        <w:t xml:space="preserve">eye </w:t>
      </w:r>
      <w:r w:rsidR="008C744C">
        <w:t>schematic</w:t>
      </w:r>
      <w:r w:rsidR="00CE1551">
        <w:t xml:space="preserve"> appeared</w:t>
      </w:r>
      <w:r w:rsidR="009771DF">
        <w:t>.</w:t>
      </w:r>
      <w:r w:rsidR="008C744C">
        <w:t xml:space="preserve"> </w:t>
      </w:r>
      <w:r w:rsidR="00A26D06" w:rsidRPr="00C42023">
        <w:t xml:space="preserve">Trials </w:t>
      </w:r>
      <w:r w:rsidR="00444103">
        <w:t>with no response</w:t>
      </w:r>
      <w:r w:rsidR="00A26D06" w:rsidRPr="002A27D6">
        <w:t xml:space="preserve"> </w:t>
      </w:r>
      <w:r w:rsidR="00C42023" w:rsidRPr="002A27D6">
        <w:t>(0.</w:t>
      </w:r>
      <w:r w:rsidR="00002660" w:rsidRPr="002A27D6">
        <w:t>28</w:t>
      </w:r>
      <w:r w:rsidR="00444103">
        <w:t>%;</w:t>
      </w:r>
      <w:r w:rsidR="00C42023" w:rsidRPr="002A27D6">
        <w:t xml:space="preserve"> </w:t>
      </w:r>
      <w:r w:rsidR="00444103">
        <w:t xml:space="preserve">participant </w:t>
      </w:r>
      <w:r w:rsidR="00C42023" w:rsidRPr="002A27D6">
        <w:t>range</w:t>
      </w:r>
      <w:r w:rsidR="00444103">
        <w:t>,</w:t>
      </w:r>
      <w:r w:rsidR="00C42023" w:rsidRPr="002A27D6">
        <w:t xml:space="preserve"> 0</w:t>
      </w:r>
      <w:r w:rsidR="00A618BD" w:rsidRPr="002A27D6">
        <w:t>–</w:t>
      </w:r>
      <w:r w:rsidR="00002660" w:rsidRPr="002A27D6">
        <w:t>3.34</w:t>
      </w:r>
      <w:r w:rsidR="00A26D06" w:rsidRPr="002A27D6">
        <w:t>%)</w:t>
      </w:r>
      <w:r w:rsidR="00444103">
        <w:t>, a response</w:t>
      </w:r>
      <w:r w:rsidR="00A26D06" w:rsidRPr="002A27D6">
        <w:t xml:space="preserve"> before the RS (1.</w:t>
      </w:r>
      <w:r w:rsidR="00872122" w:rsidRPr="002A27D6">
        <w:t>37</w:t>
      </w:r>
      <w:r w:rsidR="00444103">
        <w:t>%;</w:t>
      </w:r>
      <w:r w:rsidR="00A26D06" w:rsidRPr="002A27D6">
        <w:t xml:space="preserve"> range</w:t>
      </w:r>
      <w:r w:rsidR="00444103">
        <w:t>,</w:t>
      </w:r>
      <w:r w:rsidR="00A26D06" w:rsidRPr="002A27D6">
        <w:t xml:space="preserve"> 0.21</w:t>
      </w:r>
      <w:r w:rsidR="00AF5EAE" w:rsidRPr="002A27D6">
        <w:t>–</w:t>
      </w:r>
      <w:r w:rsidR="00872122" w:rsidRPr="002A27D6">
        <w:t>3.33</w:t>
      </w:r>
      <w:r w:rsidR="00A26D06" w:rsidRPr="002A27D6">
        <w:t>%)</w:t>
      </w:r>
      <w:r w:rsidR="00444103">
        <w:t>, or a RT shorter than</w:t>
      </w:r>
      <w:r w:rsidR="00A26D06" w:rsidRPr="002A27D6">
        <w:t xml:space="preserve"> </w:t>
      </w:r>
      <w:r w:rsidR="00444103">
        <w:t xml:space="preserve">0.2 s </w:t>
      </w:r>
      <w:r w:rsidR="00A26D06" w:rsidRPr="002A27D6">
        <w:t>(0.3</w:t>
      </w:r>
      <w:r w:rsidR="00872122" w:rsidRPr="002A27D6">
        <w:t>2</w:t>
      </w:r>
      <w:r w:rsidR="00444103">
        <w:t xml:space="preserve">%; </w:t>
      </w:r>
      <w:r w:rsidR="00A26D06" w:rsidRPr="002A27D6">
        <w:t>range</w:t>
      </w:r>
      <w:r w:rsidR="00444103">
        <w:t>,</w:t>
      </w:r>
      <w:r w:rsidR="00A26D06" w:rsidRPr="002A27D6">
        <w:t xml:space="preserve"> 0</w:t>
      </w:r>
      <w:r w:rsidR="00AF5EAE" w:rsidRPr="002A27D6">
        <w:t>–</w:t>
      </w:r>
      <w:r w:rsidR="00A26D06" w:rsidRPr="002A27D6">
        <w:t>2.92%)</w:t>
      </w:r>
      <w:r w:rsidR="00444103">
        <w:t xml:space="preserve"> were excluded.</w:t>
      </w:r>
    </w:p>
    <w:p w14:paraId="1D2E07D1" w14:textId="77777777" w:rsidR="003A0E94" w:rsidRPr="00AB4996" w:rsidRDefault="003F3AA7" w:rsidP="00902EC4">
      <w:pPr>
        <w:pStyle w:val="Titre3"/>
      </w:pPr>
      <w:r w:rsidRPr="00AB4996">
        <w:t>EM</w:t>
      </w:r>
      <w:r w:rsidR="00546FAA" w:rsidRPr="00AB4996">
        <w:t>G acquisition and preprocessing</w:t>
      </w:r>
    </w:p>
    <w:p w14:paraId="09EEA77C" w14:textId="77777777" w:rsidR="00FE1AE4" w:rsidRDefault="00B346E2" w:rsidP="00520F1C">
      <w:pPr>
        <w:ind w:firstLine="708"/>
      </w:pPr>
      <w:r>
        <w:t>EMG activity from</w:t>
      </w:r>
      <w:r w:rsidR="008915C4" w:rsidRPr="000871DE">
        <w:t xml:space="preserve"> </w:t>
      </w:r>
      <w:r w:rsidR="008915C4">
        <w:t xml:space="preserve">the </w:t>
      </w:r>
      <w:r w:rsidR="008915C4" w:rsidRPr="00C66526">
        <w:rPr>
          <w:i/>
        </w:rPr>
        <w:t>flexor pollicis brevis</w:t>
      </w:r>
      <w:r w:rsidR="008915C4" w:rsidRPr="00A1748F">
        <w:t xml:space="preserve">, </w:t>
      </w:r>
      <w:r w:rsidR="00866E24" w:rsidRPr="00A1748F">
        <w:t>which flexes the thumb at the metacarpophalangeal joint and contributes to flexion at the carpometacarpal joint</w:t>
      </w:r>
      <w:r w:rsidR="008915C4" w:rsidRPr="00A1748F">
        <w:t xml:space="preserve">, </w:t>
      </w:r>
      <w:r w:rsidR="008915C4" w:rsidRPr="000871DE">
        <w:t xml:space="preserve">was </w:t>
      </w:r>
      <w:r w:rsidR="008915C4">
        <w:t xml:space="preserve">continuously </w:t>
      </w:r>
      <w:r w:rsidR="008915C4" w:rsidRPr="000871DE">
        <w:t>recorded</w:t>
      </w:r>
      <w:r w:rsidR="008915C4">
        <w:t xml:space="preserve"> during task </w:t>
      </w:r>
      <w:r w:rsidR="008915C4" w:rsidRPr="00C11B37">
        <w:t xml:space="preserve">performance </w:t>
      </w:r>
      <w:r w:rsidR="008915C4" w:rsidRPr="000871DE">
        <w:t>using t</w:t>
      </w:r>
      <w:r w:rsidR="008915C4">
        <w:t>wo active Ag/</w:t>
      </w:r>
      <w:r w:rsidR="00ED7B10">
        <w:t>Ag</w:t>
      </w:r>
      <w:r w:rsidR="008915C4">
        <w:t>Cl electrodes placed</w:t>
      </w:r>
      <w:r w:rsidR="00F50678">
        <w:t xml:space="preserve"> 1 cm apart on the skin over</w:t>
      </w:r>
      <w:r w:rsidR="008915C4" w:rsidRPr="000871DE">
        <w:t xml:space="preserve"> the thenar eminence of each hand.</w:t>
      </w:r>
      <w:r w:rsidR="008915C4" w:rsidRPr="001418F3">
        <w:t xml:space="preserve"> </w:t>
      </w:r>
      <w:r w:rsidR="00F50678">
        <w:t>The</w:t>
      </w:r>
      <w:r w:rsidR="008915C4">
        <w:t xml:space="preserve"> e</w:t>
      </w:r>
      <w:r w:rsidR="008915C4" w:rsidRPr="000871DE">
        <w:t xml:space="preserve">lectrodes were connected to a </w:t>
      </w:r>
      <w:proofErr w:type="spellStart"/>
      <w:r w:rsidR="00947AD5">
        <w:t>BioSemi</w:t>
      </w:r>
      <w:proofErr w:type="spellEnd"/>
      <w:r w:rsidR="008915C4" w:rsidRPr="000871DE">
        <w:t xml:space="preserve"> Active</w:t>
      </w:r>
      <w:r w:rsidR="008915C4">
        <w:t xml:space="preserve"> </w:t>
      </w:r>
      <w:r w:rsidR="008915C4" w:rsidRPr="000871DE">
        <w:t>Two Mk2 biopotential measur</w:t>
      </w:r>
      <w:r w:rsidR="00F50678">
        <w:t>ement system (sampling rate</w:t>
      </w:r>
      <w:r w:rsidR="008915C4" w:rsidRPr="000871DE">
        <w:t xml:space="preserve"> = 1024 Hz).</w:t>
      </w:r>
      <w:r w:rsidR="008915C4">
        <w:t xml:space="preserve"> </w:t>
      </w:r>
      <w:r w:rsidR="00F50678">
        <w:t xml:space="preserve">After </w:t>
      </w:r>
      <w:r w:rsidR="008915C4" w:rsidRPr="000871DE">
        <w:t>acquisition, the voltage</w:t>
      </w:r>
      <w:r w:rsidR="008915C4">
        <w:t xml:space="preserve"> difference</w:t>
      </w:r>
      <w:r w:rsidR="008915C4" w:rsidRPr="000871DE">
        <w:t xml:space="preserve"> between each </w:t>
      </w:r>
      <w:r w:rsidR="00F50678">
        <w:t>electrode pair</w:t>
      </w:r>
      <w:r w:rsidR="008915C4" w:rsidRPr="000871DE">
        <w:t xml:space="preserve"> was computed. Left</w:t>
      </w:r>
      <w:r w:rsidR="00FE1AE4">
        <w:t>-</w:t>
      </w:r>
      <w:r w:rsidR="008915C4" w:rsidRPr="000871DE">
        <w:t xml:space="preserve"> and right</w:t>
      </w:r>
      <w:r w:rsidR="00FE1AE4">
        <w:t>-hand</w:t>
      </w:r>
      <w:r w:rsidR="00F50678">
        <w:t xml:space="preserve"> </w:t>
      </w:r>
      <w:r w:rsidR="008915C4" w:rsidRPr="000871DE">
        <w:t>bipolar EM</w:t>
      </w:r>
      <w:r w:rsidR="008915C4">
        <w:t xml:space="preserve">G signals were then </w:t>
      </w:r>
      <w:r w:rsidR="00F50678">
        <w:t xml:space="preserve">high-pass filtered </w:t>
      </w:r>
      <w:r w:rsidR="008915C4">
        <w:t>a</w:t>
      </w:r>
      <w:r w:rsidR="00F50678">
        <w:t>t</w:t>
      </w:r>
      <w:r w:rsidR="008915C4">
        <w:t xml:space="preserve"> </w:t>
      </w:r>
      <w:r w:rsidR="008915C4" w:rsidRPr="000871DE">
        <w:t>10 H</w:t>
      </w:r>
      <w:r w:rsidR="00F50678">
        <w:t>z using a third-</w:t>
      </w:r>
      <w:r w:rsidR="008915C4" w:rsidRPr="000871DE">
        <w:t>order</w:t>
      </w:r>
      <w:r w:rsidR="008915C4">
        <w:t xml:space="preserve"> Butterworth</w:t>
      </w:r>
      <w:r w:rsidR="00F50678">
        <w:t xml:space="preserve"> filter</w:t>
      </w:r>
      <w:r w:rsidR="008915C4" w:rsidRPr="000871DE">
        <w:t xml:space="preserve"> to remove slow drifts</w:t>
      </w:r>
      <w:r w:rsidR="008915C4">
        <w:t xml:space="preserve"> unrelated to muscle activity</w:t>
      </w:r>
      <w:r w:rsidR="008915C4" w:rsidRPr="000871DE">
        <w:t xml:space="preserve">, </w:t>
      </w:r>
      <w:r w:rsidR="008915C4">
        <w:t xml:space="preserve">full-wave </w:t>
      </w:r>
      <w:r w:rsidR="008915C4" w:rsidRPr="000871DE">
        <w:t>rectified, and segmented from</w:t>
      </w:r>
      <w:r w:rsidR="008915C4">
        <w:t xml:space="preserve"> -</w:t>
      </w:r>
      <w:r>
        <w:t>0.3</w:t>
      </w:r>
      <w:r w:rsidR="008915C4" w:rsidRPr="000871DE">
        <w:t xml:space="preserve"> to 9 s relative to stimulus onset.</w:t>
      </w:r>
      <w:r w:rsidR="008915C4" w:rsidRPr="00CA077E">
        <w:t xml:space="preserve"> </w:t>
      </w:r>
    </w:p>
    <w:p w14:paraId="239BE942" w14:textId="77777777" w:rsidR="003E6341" w:rsidRPr="00A72D2C" w:rsidRDefault="008915C4" w:rsidP="00520F1C">
      <w:pPr>
        <w:ind w:firstLine="708"/>
        <w:rPr>
          <w:color w:val="1F4E9E"/>
        </w:rPr>
      </w:pPr>
      <w:r>
        <w:t>Muscle activation onsets</w:t>
      </w:r>
      <w:r w:rsidR="00A41379">
        <w:t xml:space="preserve"> and offsets</w:t>
      </w:r>
      <w:r>
        <w:t xml:space="preserve"> were detected using the three-step semi-automatic procedure described in Achard et al. (2025). </w:t>
      </w:r>
      <w:r w:rsidR="002C61C6" w:rsidRPr="002C61C6">
        <w:rPr>
          <w:color w:val="FF0000"/>
        </w:rPr>
        <w:t xml:space="preserve">For each trial and EMG channel, the mean and </w:t>
      </w:r>
      <w:r w:rsidR="002C61C6" w:rsidRPr="002C61C6">
        <w:rPr>
          <w:color w:val="FF0000"/>
        </w:rPr>
        <w:lastRenderedPageBreak/>
        <w:t xml:space="preserve">standard deviation of the full-wave rectified signal were computed during the 300-ms </w:t>
      </w:r>
      <w:proofErr w:type="spellStart"/>
      <w:r w:rsidR="002C61C6" w:rsidRPr="002C61C6">
        <w:rPr>
          <w:color w:val="FF0000"/>
        </w:rPr>
        <w:t>prestimulus</w:t>
      </w:r>
      <w:proofErr w:type="spellEnd"/>
      <w:r w:rsidR="002C61C6" w:rsidRPr="002C61C6">
        <w:rPr>
          <w:color w:val="FF0000"/>
        </w:rPr>
        <w:t xml:space="preserve"> period. Candidate muscle-activity periods were identified when signal amplitude exceeded the mean by seven standard deviations. </w:t>
      </w:r>
      <w:r w:rsidR="001A4D52" w:rsidRPr="001A4D52">
        <w:rPr>
          <w:color w:val="FF0000"/>
        </w:rPr>
        <w:t xml:space="preserve">At this initial detection stage, threshold-defined periods separated by less than 25 </w:t>
      </w:r>
      <w:proofErr w:type="spellStart"/>
      <w:r w:rsidR="001A4D52" w:rsidRPr="001A4D52">
        <w:rPr>
          <w:color w:val="FF0000"/>
        </w:rPr>
        <w:t>ms</w:t>
      </w:r>
      <w:proofErr w:type="spellEnd"/>
      <w:r w:rsidR="001A4D52" w:rsidRPr="001A4D52">
        <w:rPr>
          <w:color w:val="FF0000"/>
        </w:rPr>
        <w:t xml:space="preserve"> were merged into a single candidate burst to prevent brief within-burst drops below the conservative detection threshold from artificially splitting a single activation.</w:t>
      </w:r>
      <w:r w:rsidR="001A4D52">
        <w:t xml:space="preserve"> </w:t>
      </w:r>
      <w:r w:rsidR="00A41379" w:rsidRPr="00A41379">
        <w:rPr>
          <w:color w:val="FF0000"/>
        </w:rPr>
        <w:t xml:space="preserve">Candidate bursts were then filtered to limit false detections arising from background noise. Specifically, candidate bursts containing </w:t>
      </w:r>
      <w:r w:rsidR="00AE7CFA">
        <w:rPr>
          <w:color w:val="FF0000"/>
        </w:rPr>
        <w:t>at most</w:t>
      </w:r>
      <w:r w:rsidR="00A41379" w:rsidRPr="00A41379">
        <w:rPr>
          <w:color w:val="FF0000"/>
        </w:rPr>
        <w:t xml:space="preserve"> six above-threshold samples were counted</w:t>
      </w:r>
      <w:r w:rsidR="00AE7CFA">
        <w:rPr>
          <w:color w:val="FF0000"/>
        </w:rPr>
        <w:t xml:space="preserve"> across the epoch</w:t>
      </w:r>
      <w:r w:rsidR="00A41379" w:rsidRPr="00A41379">
        <w:rPr>
          <w:color w:val="FF0000"/>
        </w:rPr>
        <w:t>, and their occurrence rate per second was added to a base minimum of three</w:t>
      </w:r>
      <w:r w:rsidR="00AE7CFA">
        <w:rPr>
          <w:color w:val="FF0000"/>
        </w:rPr>
        <w:t xml:space="preserve"> above-threshold</w:t>
      </w:r>
      <w:r w:rsidR="00A41379" w:rsidRPr="00A41379">
        <w:rPr>
          <w:color w:val="FF0000"/>
        </w:rPr>
        <w:t xml:space="preserve"> samples. Candidate bursts not meeting this adaptive criterion were discarded.</w:t>
      </w:r>
      <w:r w:rsidR="00A41379">
        <w:t xml:space="preserve"> </w:t>
      </w:r>
      <w:r w:rsidR="00F776DE">
        <w:rPr>
          <w:color w:val="1F4E9E"/>
        </w:rPr>
        <w:t>T</w:t>
      </w:r>
      <w:r w:rsidR="00B31965" w:rsidRPr="00B31965">
        <w:rPr>
          <w:color w:val="FF0000"/>
        </w:rPr>
        <w:t xml:space="preserve">he onset and offset of each </w:t>
      </w:r>
      <w:r w:rsidR="00A41379">
        <w:rPr>
          <w:color w:val="FF0000"/>
        </w:rPr>
        <w:t xml:space="preserve">retained </w:t>
      </w:r>
      <w:r w:rsidR="00B31965" w:rsidRPr="00B31965">
        <w:rPr>
          <w:color w:val="FF0000"/>
        </w:rPr>
        <w:t>candidate burst were then refined using the integrated-profile method</w:t>
      </w:r>
      <w:r w:rsidR="00B31965">
        <w:t xml:space="preserve"> </w:t>
      </w:r>
      <w:r w:rsidR="00FE1AE4" w:rsidRPr="006B588A">
        <w:rPr>
          <w:color w:val="1F4E9E"/>
        </w:rPr>
        <w:fldChar w:fldCharType="begin"/>
      </w:r>
      <w:r w:rsidR="00FE1AE4" w:rsidRPr="006B588A">
        <w:rPr>
          <w:color w:val="1F4E9E"/>
        </w:rPr>
        <w:instrText xml:space="preserve"> ADDIN ZOTERO_ITEM CSL_CITATION {"citationID":"U3NUdW2i","properties":{"unsorted":false,"formattedCitation":"(Liu &amp; Liu, 2016; Santello &amp; McDonagh, 1998)","plainCitation":"(Liu &amp; Liu, 2016; Santello &amp; McDonagh, 1998)","noteIndex":0},"citationItems":[{"id":830,"uris":["http://zotero.org/users/5679506/items/W38I3PJ5"],"itemData":{"id":830,"type":"article-journal","abstract":"Following neurological injuries, such as spinal cord injury (SCI), voluntary muscle activity detection from electromyography (EMG) signals can be problematic due to spurious involuntary spikes produced by physiological and extrinsic/accidental origins. The purpose of this study was to demonstrate the usefulness of the integrated profile for voluntary muscle activity detection in the presence of spurious background spikes for SCI patients. Two onset detection methods (the sample entropy analysis and the integrated profile) were evaluated using both semi-synthetic and experimental surface EMG signals with spurious background spikes recorded from SCI patients. For all the examined signal to noise ratios, the integrated profile method was able to achieve comparable performance with the sample entropy analysis-based method but while taking significantly shorter running time (P&lt;0.001). The findings suggest the integrated profile method is robust with large involuntary spikes in the baseline signal and can highlight voluntary muscle contractions.","container-title":"Biomedical Signal Processing and Control","DOI":"10.1016/j.bspc.2015.09.004","ISSN":"1746-8094","journalAbbreviation":"Biomedical Signal Processing and Control","language":"en","page":"19-24","source":"ScienceDirect","title":"Use of the integrated profile for voluntary muscle activity detection using EMG signals with spurious background spikes: A study with incomplete spinal cord injury","title-short":"Use of the integrated profile for voluntary muscle activity detection using EMG signals with spurious background spikes","volume":"24","author":[{"family":"Liu","given":"Jie"},{"family":"Liu","given":"Qiuping"}],"issued":{"date-parts":[["2016",2,1]]}}},{"id":827,"uris":["http://zotero.org/users/5679506/items/G6JQ8YRV"],"itemData":{"id":827,"type":"article-journal","abstract":"The control of self-initiated falls from different heights was studied. The objective of the study was to investigate in a quantitative manner the modulation of EMG timing (i.e. onset from take-off and duration from onset to touch-down) and amplitude (before and after foot contact) as a function of fall height. The muscles studied were m. soleus and m. tibialis anterior. Kinematic (ankle joint angle) and kinetic (ground reaction force) variables were also measured. Six subjects took part in the experiments that consisted of ten landings from each of five heights (0.2, 0.4, 0.6, 0.8 and 1 m) onto a force platform. We found a consistent pattern of co-contraction before and after touch-down across the fall heights studied. In both muscles, the onset of pre-landing EMG activity occurred at a longer latency following take-off when landing from greater heights. The absolute EMG duration was affected to a lesser extent by increasing fall height. These findings suggest that the onset of muscle activity of the muscles studied prior to foot contact is timed relative to the expected time of foot contact. Pre- and post-landing EMG amplitude tended to increase with height. Despite a doubling in the magnitude of ground reaction force, the amplitude of ankle joint rotation caused by the impact remained constant across heights. These findings suggest that the observed pattern of co-contraction is responsible for increasing ankle joint stiffness as fall height is increased. The attainment of an appropriate level of EMG amplitude seems to be controlled by (a) timing muscle activation at a latency timed from the expected instant of foot contact and (b) varying the rate at which EMG builds up.","container-title":"Experimental Physiology","DOI":"10.1113/expphysiol.1998.sp004165","ISSN":"0958-0670","issue":"6","journalAbbreviation":"Exp. Physiol.","language":"eng","page":"857-874","PMID":"9782194","source":"PubMed","title":"The control of timing and amplitude of EMG activity in landing movements in humans","volume":"83","author":[{"family":"Santello","given":"M."},{"family":"McDonagh","given":"M. J."}],"issued":{"date-parts":[["1998",11]]}}}],"schema":"https://github.com/citation-style-language/schema/raw/master/csl-citation.json"} </w:instrText>
      </w:r>
      <w:r w:rsidR="00FE1AE4" w:rsidRPr="006B588A">
        <w:rPr>
          <w:color w:val="1F4E9E"/>
        </w:rPr>
        <w:fldChar w:fldCharType="separate"/>
      </w:r>
      <w:r w:rsidR="00FE1AE4" w:rsidRPr="006B588A">
        <w:rPr>
          <w:color w:val="FF0000"/>
        </w:rPr>
        <w:t>(Liu &amp; Liu, 2016; Santello &amp; McDonagh, 1998)</w:t>
      </w:r>
      <w:r w:rsidR="00FE1AE4" w:rsidRPr="006B588A">
        <w:rPr>
          <w:color w:val="1F4E9E"/>
        </w:rPr>
        <w:fldChar w:fldCharType="end"/>
      </w:r>
      <w:r w:rsidR="00B31965">
        <w:rPr>
          <w:color w:val="1F4E9E"/>
        </w:rPr>
        <w:t>.</w:t>
      </w:r>
      <w:r w:rsidR="00F776DE">
        <w:t xml:space="preserve"> </w:t>
      </w:r>
      <w:r w:rsidR="00AE7CFA" w:rsidRPr="00AE7CFA">
        <w:rPr>
          <w:color w:val="FF0000"/>
        </w:rPr>
        <w:t xml:space="preserve">For each burst, the integrated profile was computed from the cumulative rectified EMG in a window encompassing the burst and adjacent background activity, supplemented with additional </w:t>
      </w:r>
      <w:r w:rsidR="00D835C9" w:rsidRPr="00AE7CFA">
        <w:rPr>
          <w:color w:val="FF0000"/>
        </w:rPr>
        <w:t>background</w:t>
      </w:r>
      <w:r w:rsidR="00D835C9" w:rsidRPr="00AE7CFA">
        <w:t xml:space="preserve"> </w:t>
      </w:r>
      <w:r w:rsidR="00AE7CFA" w:rsidRPr="00AE7CFA">
        <w:rPr>
          <w:color w:val="FF0000"/>
        </w:rPr>
        <w:t>EMG from the beginning and end of the epoch. The overall linear trend of this cumulative signal was then removed; inclusion of the additional background activity reduced the influence of the burst itself on the trend estimate. The resulting profile was smoothed using a 15-ms moving average, and its minimum and subsequent maximum were taken as estimates of burst</w:t>
      </w:r>
      <w:r w:rsidR="00AE7CFA">
        <w:rPr>
          <w:color w:val="FF0000"/>
        </w:rPr>
        <w:t xml:space="preserve"> onset and offset, respectively</w:t>
      </w:r>
      <w:r w:rsidR="00AE7CFA" w:rsidRPr="00AE7CFA">
        <w:rPr>
          <w:color w:val="1F4E9E"/>
        </w:rPr>
        <w:t>.</w:t>
      </w:r>
      <w:r w:rsidR="00E86BD0">
        <w:t xml:space="preserve"> </w:t>
      </w:r>
      <w:r w:rsidR="00A41379" w:rsidRPr="00A41379">
        <w:rPr>
          <w:color w:val="FF0000"/>
        </w:rPr>
        <w:t>The search for the</w:t>
      </w:r>
      <w:r w:rsidR="00AE7CFA">
        <w:rPr>
          <w:color w:val="FF0000"/>
        </w:rPr>
        <w:t>se extrema</w:t>
      </w:r>
      <w:r w:rsidR="00A41379" w:rsidRPr="00A41379">
        <w:rPr>
          <w:color w:val="FF0000"/>
        </w:rPr>
        <w:t xml:space="preserve"> extended up to 50 </w:t>
      </w:r>
      <w:proofErr w:type="spellStart"/>
      <w:r w:rsidR="00A41379" w:rsidRPr="00A41379">
        <w:rPr>
          <w:color w:val="FF0000"/>
        </w:rPr>
        <w:t>ms</w:t>
      </w:r>
      <w:proofErr w:type="spellEnd"/>
      <w:r w:rsidR="00A41379" w:rsidRPr="00A41379">
        <w:rPr>
          <w:color w:val="FF0000"/>
        </w:rPr>
        <w:t xml:space="preserve"> before the threshold-defined onset and 50 </w:t>
      </w:r>
      <w:proofErr w:type="spellStart"/>
      <w:r w:rsidR="00A41379" w:rsidRPr="00A41379">
        <w:rPr>
          <w:color w:val="FF0000"/>
        </w:rPr>
        <w:t>ms</w:t>
      </w:r>
      <w:proofErr w:type="spellEnd"/>
      <w:r w:rsidR="00A41379" w:rsidRPr="00A41379">
        <w:rPr>
          <w:color w:val="FF0000"/>
        </w:rPr>
        <w:t xml:space="preserve"> aft</w:t>
      </w:r>
      <w:r w:rsidR="00A41379">
        <w:rPr>
          <w:color w:val="FF0000"/>
        </w:rPr>
        <w:t>er the threshold-defined offset</w:t>
      </w:r>
      <w:r w:rsidR="003A24A8" w:rsidRPr="003A24A8">
        <w:rPr>
          <w:color w:val="1F4E9E"/>
        </w:rPr>
        <w:t xml:space="preserve">. </w:t>
      </w:r>
      <w:r w:rsidR="00AE7CFA" w:rsidRPr="00AE7CFA">
        <w:rPr>
          <w:color w:val="FF0000"/>
        </w:rPr>
        <w:t>For neighboring candidate bursts, the search ranges were truncated at the midpoint of the interval between the threshold-defined offset of the first burst and the threshold-defined onset of the next, preventing overlap</w:t>
      </w:r>
      <w:r w:rsidR="003A24A8" w:rsidRPr="003A24A8">
        <w:rPr>
          <w:color w:val="1F4E9E"/>
        </w:rPr>
        <w:t xml:space="preserve">. </w:t>
      </w:r>
      <w:r w:rsidR="00CF307D" w:rsidRPr="00CF307D">
        <w:rPr>
          <w:color w:val="FF0000"/>
        </w:rPr>
        <w:t>The integrated-profile method improved the temporal localization of burst boundaries relative to the initial high-threshold detection, yielding more precis</w:t>
      </w:r>
      <w:r w:rsidR="00CF307D">
        <w:rPr>
          <w:color w:val="FF0000"/>
        </w:rPr>
        <w:t>e estimates of onset and offset</w:t>
      </w:r>
      <w:r w:rsidR="00EB33DD" w:rsidRPr="00EB33DD">
        <w:rPr>
          <w:color w:val="1F4E9E"/>
        </w:rPr>
        <w:t>.</w:t>
      </w:r>
      <w:r w:rsidR="00EB33DD">
        <w:t xml:space="preserve"> </w:t>
      </w:r>
      <w:r w:rsidR="00A72D2C" w:rsidRPr="00A72D2C">
        <w:rPr>
          <w:color w:val="FF0000"/>
        </w:rPr>
        <w:t xml:space="preserve">Finally, every trial was visually inspected and erroneous </w:t>
      </w:r>
      <w:r w:rsidR="00A72D2C" w:rsidRPr="00A72D2C">
        <w:rPr>
          <w:color w:val="FF0000"/>
        </w:rPr>
        <w:lastRenderedPageBreak/>
        <w:t>onset markers were manually corrected.</w:t>
      </w:r>
      <w:r w:rsidR="00A72D2C">
        <w:t xml:space="preserve"> </w:t>
      </w:r>
      <w:r w:rsidR="00A72D2C" w:rsidRPr="00A72D2C">
        <w:t>Trials for which excessive noise prevented reliable onset detection were excluded from the analyses</w:t>
      </w:r>
      <w:r w:rsidRPr="00A72D2C">
        <w:t xml:space="preserve"> (0.18%, range 0</w:t>
      </w:r>
      <w:r w:rsidR="000D770A" w:rsidRPr="00A72D2C">
        <w:t>–</w:t>
      </w:r>
      <w:r w:rsidRPr="00A72D2C">
        <w:t>1.0</w:t>
      </w:r>
      <w:r w:rsidR="00A72D2C" w:rsidRPr="00A72D2C">
        <w:t>4%).</w:t>
      </w:r>
    </w:p>
    <w:p w14:paraId="2F505F12" w14:textId="77777777" w:rsidR="00205CBC" w:rsidRDefault="00000000">
      <w:r>
        <w:rPr>
          <w:color w:val="1F4E9E"/>
        </w:rPr>
        <w:t>Two further properties of this procedure matter for how partial muscle activations are counted and interpreted below. Because the integrated-profile refinement can only move a burst’s boundaries earlier relative to the initial high-threshold detection, the final event list can contain activations separated by less than the 25-ms merge interval even though the merge rule was applied; this does not affect the reported counts, since the refinement relocates boundaries but does not change the number of intervals (27% of consecutive activation pairs in the exported event list are separated by less than 25 ms). In addition, because a partial muscle activation is defined as any detected interval other than the one immediately preceding the button press, its classification is sensitive to how closely activations are segmented near the response: 18.5% of trials contained an activation ending within 25 ms of the response-related burst, and 9.3% would be absorbed into that burst under a strict application of the merge rule. The response-period results (see Results) should be read with this possibility of segmentation in mind.</w:t>
      </w:r>
    </w:p>
    <w:p w14:paraId="395C0411" w14:textId="77777777" w:rsidR="003A0E94" w:rsidRDefault="001C7F43" w:rsidP="003A0E94">
      <w:pPr>
        <w:pStyle w:val="Titre3"/>
      </w:pPr>
      <w:r w:rsidRPr="001C7F43">
        <w:t>EMG-derived measures</w:t>
      </w:r>
    </w:p>
    <w:p w14:paraId="1A14C171" w14:textId="77777777" w:rsidR="001C7F43" w:rsidRPr="005B28F6" w:rsidRDefault="001C7F43" w:rsidP="00D3380F">
      <w:pPr>
        <w:ind w:firstLine="708"/>
        <w:rPr>
          <w:color w:val="1F4E9E"/>
        </w:rPr>
      </w:pPr>
      <w:r w:rsidRPr="0089074A">
        <w:rPr>
          <w:color w:val="FF0000"/>
        </w:rPr>
        <w:t>We focused on three measures derived from the EMG signal: pre-motor execution time, motor execution time, and partial muscle activations. This choice builds on previous work in immediate-report decision tasks showing that the</w:t>
      </w:r>
      <w:r w:rsidR="0089074A" w:rsidRPr="0089074A">
        <w:rPr>
          <w:color w:val="FF0000"/>
        </w:rPr>
        <w:t xml:space="preserve">se measures provide strong constraints on models linking evidence accumulation to </w:t>
      </w:r>
      <w:r w:rsidR="001B4AFB">
        <w:rPr>
          <w:color w:val="FF0000"/>
        </w:rPr>
        <w:t>muscle activity</w:t>
      </w:r>
      <w:r w:rsidR="0089074A" w:rsidRPr="0089074A">
        <w:t xml:space="preserve"> </w:t>
      </w:r>
      <w:r w:rsidRPr="0089074A">
        <w:rPr>
          <w:color w:val="1F4E9E"/>
        </w:rPr>
        <w:fldChar w:fldCharType="begin"/>
      </w:r>
      <w:r w:rsidRPr="0089074A">
        <w:rPr>
          <w:color w:val="1F4E9E"/>
        </w:rPr>
        <w:instrText xml:space="preserve"> ADDIN ZOTERO_ITEM CSL_CITATION {"citationID":"I5Af6wXZ","properties":{"unsorted":false,"formattedCitation":"(e.g., Dendauw et al., 2024, 2026)","plainCitation":"(e.g., Dendauw et al., 2024, 2026)","noteIndex":0},"citationItems":[{"id":"5Dh8hY9n/VjrPfJqm","uris":["http://zotero.org/users/5679506/items/83Q7PQC7"],"itemData":{"id":"5Dh8hY9n/VjrPfJqm","type":"article-journal","abstract":"This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D."},{"family":"Haffen","given":"Emmanuel"},{"family":"Bennabi","given":"Djamila"},{"family":"Gajdos","given":"Thibault"},{"family":"Servant","given":"Mathieu"}],"issued":{"date-parts":[["2024",2,22]]}},"prefix":"e.g., "},{"id":16537,"uris":["http://zotero.org/users/5679506/items/7AU6A24S"],"itemData":{"id":16537,"type":"article-journal","abstract":"Stimulus probability manipulations typically increase the proportion of responses associated with the more likely stimulus and reduce response times, especially when stimulus discriminability is low. Sequential sampling models primarily attribute these asymmetries to shifts in the starting point of evidence accumulation, but possible modulations at the motor execution stage and their links to upstream processing remain poorly understood. To address this gap, we conducted electromyographic recordings of muscle activity during a random dot motion task with manual responses, varying stimulus probability and stimulus discriminability. We then used a computational framework linking decision and motor processes, the gated cascade diffusion model, to account for behavior and muscle activity. Stimulus probability strongly modulated the time from stimulus onset to response-related muscle activation: on correct trials, muscle onsets occurred earlier for expected than unexpected stimuli, whereas this pattern reversed on incorrect trials. By contrast, it had little impact on the time from muscle activation to response completion. Stimulus probability also modulated subthreshold muscle activations: when the first activation occurred in the response channel, accuracy was higher for expected than unexpected stimuli, whereas this effect reversed when the first activation occurred in the opposite channel. The model accounted for these effects through an additive bias to the rate of evidence accumulation that favored expected stimuli, and an evidence-independent urgency signal at the motor preparation level that was engaged earlier for the response alternative linked to expected stimuli. These analyses advance our understanding of how stimulus probability influences processing across the decision-motor cascade.","container-title":"Cognitive Psychology","DOI":"10.1016/j.cogpsych.2026.101818","ISSN":"0010-0285","journalAbbreviation":"Cognitive Psychology","page":"101818","source":"ScienceDirect","title":"Separating decision and motor contributions to behavioral biases induced by manipulating stimulus probability","volume":"165","author":[{"family":"Dendauw","given":"Edouard"},{"family":"Logan","given":"Gordon D."},{"family":"Schall","given":"Jeffrey D."},{"family":"Gajdos Preuss","given":"Thibault"},{"family":"Servant","given":"Mathieu"}],"issued":{"date-parts":[["2026",7,1]]}}}],"schema":"https://github.com/citation-style-language/schema/raw/master/csl-citation.json"} </w:instrText>
      </w:r>
      <w:r w:rsidRPr="0089074A">
        <w:rPr>
          <w:color w:val="1F4E9E"/>
        </w:rPr>
        <w:fldChar w:fldCharType="separate"/>
      </w:r>
      <w:r w:rsidRPr="0089074A">
        <w:rPr>
          <w:color w:val="FF0000"/>
        </w:rPr>
        <w:t>(e.g., Dendauw et al., 2024, 2026)</w:t>
      </w:r>
      <w:r w:rsidRPr="0089074A">
        <w:rPr>
          <w:color w:val="1F4E9E"/>
        </w:rPr>
        <w:fldChar w:fldCharType="end"/>
      </w:r>
      <w:r w:rsidRPr="0089074A">
        <w:rPr>
          <w:color w:val="1F4E9E"/>
        </w:rPr>
        <w:t>.</w:t>
      </w:r>
      <w:r w:rsidR="0089074A" w:rsidRPr="0089074A">
        <w:t xml:space="preserve"> </w:t>
      </w:r>
      <w:r w:rsidR="004C536B">
        <w:rPr>
          <w:color w:val="FF0000"/>
        </w:rPr>
        <w:t>RT</w:t>
      </w:r>
      <w:r w:rsidR="0089074A" w:rsidRPr="0089074A">
        <w:rPr>
          <w:color w:val="FF0000"/>
        </w:rPr>
        <w:t xml:space="preserve"> was fractionated according to the onset of the muscle activation leading to the button press (</w:t>
      </w:r>
      <w:r w:rsidR="0089074A" w:rsidRPr="0089074A">
        <w:rPr>
          <w:color w:val="1F4E9E"/>
        </w:rPr>
        <w:t>Fig. 2</w:t>
      </w:r>
      <w:r w:rsidR="0089074A" w:rsidRPr="0089074A">
        <w:rPr>
          <w:color w:val="FF0000"/>
        </w:rPr>
        <w:t xml:space="preserve">). Pre-motor execution time (PMET) was defined as the interval between RS onset and the onset of this response-related muscle activation, whereas motor execution time (MET) was the interval between muscle-activation onset and the button press. </w:t>
      </w:r>
      <w:r w:rsidR="008C0FDE" w:rsidRPr="008C0FDE">
        <w:rPr>
          <w:color w:val="FF0000"/>
        </w:rPr>
        <w:lastRenderedPageBreak/>
        <w:t>Partial muscle activations (PMAs) were defined as discrete muscle-activation episodes whose onset occurred after stimulus onset and before the button press but that did not constitute the fi</w:t>
      </w:r>
      <w:r w:rsidR="008C0FDE">
        <w:rPr>
          <w:color w:val="FF0000"/>
        </w:rPr>
        <w:t>nal response-related activation</w:t>
      </w:r>
      <w:r w:rsidR="0089074A" w:rsidRPr="0089074A">
        <w:rPr>
          <w:color w:val="1F4E9E"/>
        </w:rPr>
        <w:t xml:space="preserve">. </w:t>
      </w:r>
      <w:r w:rsidR="00FA4412" w:rsidRPr="00FA4412">
        <w:rPr>
          <w:color w:val="FF0000"/>
        </w:rPr>
        <w:t xml:space="preserve">Because partial muscle activations are discrete events, temporal binning provides a simple way to characterize how their occurrence evolves over the course of a trial. </w:t>
      </w:r>
      <w:r w:rsidR="00C75EB9" w:rsidRPr="00C75EB9">
        <w:rPr>
          <w:color w:val="FF0000"/>
        </w:rPr>
        <w:t>Each partial muscle activation was assigned to a 0.1-s bin according to its onset, and we computed the mean number of partial muscle activations per bin for each participant, condition, and EMG channel.</w:t>
      </w:r>
      <w:r w:rsidR="00C75EB9">
        <w:rPr>
          <w:color w:val="1F4E9E"/>
        </w:rPr>
        <w:t xml:space="preserve"> T</w:t>
      </w:r>
      <w:r w:rsidR="00FA4412" w:rsidRPr="00FA4412">
        <w:rPr>
          <w:color w:val="FF0000"/>
        </w:rPr>
        <w:t>he 0.1-s bin width chosen as a compromise between temporal resolution and stability of the estimated event rate</w:t>
      </w:r>
      <w:r w:rsidR="0089074A" w:rsidRPr="00FA4412">
        <w:rPr>
          <w:color w:val="1F4E9E"/>
        </w:rPr>
        <w:t xml:space="preserve">. </w:t>
      </w:r>
      <w:r w:rsidR="0089074A" w:rsidRPr="00925226">
        <w:t xml:space="preserve">Channels were coded according to whether they corresponded to the selected or </w:t>
      </w:r>
      <w:proofErr w:type="spellStart"/>
      <w:r w:rsidR="0089074A" w:rsidRPr="00925226">
        <w:t>nonselected</w:t>
      </w:r>
      <w:proofErr w:type="spellEnd"/>
      <w:r w:rsidR="0089074A" w:rsidRPr="00925226">
        <w:t xml:space="preserve"> response.</w:t>
      </w:r>
    </w:p>
    <w:p w14:paraId="294DC78C" w14:textId="77777777" w:rsidR="003A0E94" w:rsidRDefault="005C639F" w:rsidP="003A0E94">
      <w:pPr>
        <w:pStyle w:val="Titre3"/>
      </w:pPr>
      <w:r w:rsidRPr="005C639F">
        <w:t>EEG</w:t>
      </w:r>
      <w:r w:rsidR="00E15A9D">
        <w:t xml:space="preserve"> acquisition and preprocessing</w:t>
      </w:r>
    </w:p>
    <w:p w14:paraId="27ED01E1" w14:textId="77777777" w:rsidR="007941C3" w:rsidRDefault="009C131D" w:rsidP="00441592">
      <w:pPr>
        <w:spacing w:after="120"/>
        <w:ind w:firstLine="708"/>
      </w:pPr>
      <w:r w:rsidRPr="007E22F4">
        <w:t xml:space="preserve">EEG signals were recorded continuously during task performance from 64 active </w:t>
      </w:r>
      <w:r w:rsidR="00F07580">
        <w:t>Ag/</w:t>
      </w:r>
      <w:r w:rsidRPr="007E22F4">
        <w:t>AgCl electrodes positioned according to the international 1</w:t>
      </w:r>
      <w:r w:rsidR="00947AD5">
        <w:t>0</w:t>
      </w:r>
      <w:r w:rsidR="000B50BA">
        <w:t>–</w:t>
      </w:r>
      <w:r w:rsidR="00947AD5">
        <w:t xml:space="preserve">20 system, using the same </w:t>
      </w:r>
      <w:proofErr w:type="spellStart"/>
      <w:r w:rsidR="00947AD5">
        <w:t>BioSemi</w:t>
      </w:r>
      <w:proofErr w:type="spellEnd"/>
      <w:r w:rsidRPr="007E22F4">
        <w:t xml:space="preserve"> </w:t>
      </w:r>
      <w:proofErr w:type="spellStart"/>
      <w:r w:rsidRPr="007E22F4">
        <w:t>ActiveTwo</w:t>
      </w:r>
      <w:proofErr w:type="spellEnd"/>
      <w:r w:rsidRPr="007E22F4">
        <w:t xml:space="preserve"> system and sampling ra</w:t>
      </w:r>
      <w:r w:rsidR="00947AD5">
        <w:t>te as</w:t>
      </w:r>
      <w:r w:rsidRPr="007E22F4">
        <w:t xml:space="preserve"> the</w:t>
      </w:r>
      <w:r w:rsidRPr="00B116BC">
        <w:t xml:space="preserve"> EMG recordings.</w:t>
      </w:r>
      <w:r w:rsidR="00F85C8C">
        <w:t xml:space="preserve"> </w:t>
      </w:r>
      <w:r w:rsidR="0095010D" w:rsidRPr="0095010D">
        <w:t>Vertical and horizontal eye movements were record</w:t>
      </w:r>
      <w:r w:rsidR="00255AD8">
        <w:t>ed using electro-oculogram</w:t>
      </w:r>
      <w:r w:rsidR="0095010D" w:rsidRPr="0095010D">
        <w:t xml:space="preserve"> electrodes: two placed above and below the right eye to measure vertical movements, and two p</w:t>
      </w:r>
      <w:r w:rsidR="00947AD5">
        <w:t>laced at the outer canthi of the</w:t>
      </w:r>
      <w:r w:rsidR="0095010D" w:rsidRPr="0095010D">
        <w:t xml:space="preserve"> eyes to </w:t>
      </w:r>
      <w:r w:rsidR="003A798C">
        <w:t>measure</w:t>
      </w:r>
      <w:r w:rsidR="0095010D" w:rsidRPr="0095010D">
        <w:t xml:space="preserve"> horizontal movements. </w:t>
      </w:r>
      <w:r w:rsidR="0095010D">
        <w:t>The</w:t>
      </w:r>
      <w:r w:rsidR="0095010D" w:rsidRPr="00063F7D">
        <w:t xml:space="preserve"> data were prepr</w:t>
      </w:r>
      <w:r w:rsidR="00947AD5">
        <w:t>ocessed using custom scripts together with</w:t>
      </w:r>
      <w:r w:rsidR="0095010D" w:rsidRPr="00063F7D">
        <w:t xml:space="preserve"> functions from t</w:t>
      </w:r>
      <w:r w:rsidR="0095010D">
        <w:t xml:space="preserve">he MNE-Python toolbox (v1.9.0). </w:t>
      </w:r>
      <w:r w:rsidR="0095010D" w:rsidRPr="0095010D">
        <w:t xml:space="preserve">Horizontal and vertical </w:t>
      </w:r>
      <w:r w:rsidR="00255AD8" w:rsidRPr="0095010D">
        <w:t>electro-oculogram</w:t>
      </w:r>
      <w:r w:rsidR="0095010D" w:rsidRPr="0095010D">
        <w:t xml:space="preserve"> signals were derived by computing the voltage difference between the corresponding electrode pairs.</w:t>
      </w:r>
      <w:r w:rsidR="0095010D">
        <w:t xml:space="preserve"> EEG channels exhibiting</w:t>
      </w:r>
      <w:r w:rsidR="00063F7D" w:rsidRPr="00063F7D">
        <w:t xml:space="preserve"> </w:t>
      </w:r>
      <w:r w:rsidR="0095010D">
        <w:t>excessive variance or</w:t>
      </w:r>
      <w:r w:rsidR="00063F7D">
        <w:t xml:space="preserve"> drifts</w:t>
      </w:r>
      <w:r w:rsidR="00063F7D" w:rsidRPr="00063F7D">
        <w:t xml:space="preserve"> were interpolated using the spherical spline method</w:t>
      </w:r>
      <w:r w:rsidR="0095010D">
        <w:t>, and the data</w:t>
      </w:r>
      <w:r w:rsidR="00063F7D" w:rsidRPr="00063F7D">
        <w:t xml:space="preserve"> were re-referenced t</w:t>
      </w:r>
      <w:r w:rsidR="00063F7D">
        <w:t>o the average of all electrodes.</w:t>
      </w:r>
      <w:r w:rsidR="00F027B2">
        <w:t xml:space="preserve"> </w:t>
      </w:r>
      <w:r w:rsidR="0018779D">
        <w:t xml:space="preserve">Ocular artifacts were corrected </w:t>
      </w:r>
      <w:r w:rsidR="003B40F4">
        <w:t>using</w:t>
      </w:r>
      <w:r w:rsidR="0018779D">
        <w:t xml:space="preserve"> independent component analysis</w:t>
      </w:r>
      <w:r w:rsidR="003B40F4">
        <w:t xml:space="preserve">. For </w:t>
      </w:r>
      <w:r w:rsidR="00255AD8">
        <w:t>independent component analysis</w:t>
      </w:r>
      <w:r w:rsidR="003B40F4">
        <w:t xml:space="preserve"> decomposition only, the continuous EEG data were high-pass filtered at 1 Hz to remove slow drifts and low-frequency noise that could impair artifact isolation, and then </w:t>
      </w:r>
      <w:proofErr w:type="spellStart"/>
      <w:r w:rsidR="003B40F4">
        <w:t>epoched</w:t>
      </w:r>
      <w:proofErr w:type="spellEnd"/>
      <w:r w:rsidR="003B40F4">
        <w:t xml:space="preserve"> from −0.6 to 9 s relative to stimulus onset. I</w:t>
      </w:r>
      <w:r w:rsidR="00255AD8">
        <w:t>ndependent component analysis</w:t>
      </w:r>
      <w:r w:rsidR="003B40F4">
        <w:t xml:space="preserve"> was implemented using the</w:t>
      </w:r>
      <w:r w:rsidR="00255AD8">
        <w:t xml:space="preserve"> default parameters of MNE’s independent </w:t>
      </w:r>
      <w:r w:rsidR="00255AD8">
        <w:lastRenderedPageBreak/>
        <w:t>component analysis</w:t>
      </w:r>
      <w:r w:rsidR="003B40F4">
        <w:t xml:space="preserve"> function. C</w:t>
      </w:r>
      <w:r w:rsidR="0095010D">
        <w:t>omponents associated with eye movements were identified using MNE's</w:t>
      </w:r>
      <w:r w:rsidR="003B3620" w:rsidRPr="00D5625D">
        <w:t xml:space="preserve"> </w:t>
      </w:r>
      <w:proofErr w:type="spellStart"/>
      <w:r w:rsidR="003B3620" w:rsidRPr="00D5625D">
        <w:rPr>
          <w:rStyle w:val="CodeHTML"/>
          <w:rFonts w:ascii="Times New Roman" w:eastAsiaTheme="minorHAnsi" w:hAnsi="Times New Roman" w:cs="Times New Roman"/>
          <w:i/>
          <w:sz w:val="24"/>
        </w:rPr>
        <w:t>find_bads_eog</w:t>
      </w:r>
      <w:proofErr w:type="spellEnd"/>
      <w:r w:rsidR="003B3620" w:rsidRPr="00D5625D">
        <w:rPr>
          <w:sz w:val="32"/>
        </w:rPr>
        <w:t xml:space="preserve"> </w:t>
      </w:r>
      <w:r w:rsidR="003B3620" w:rsidRPr="00D5625D">
        <w:t xml:space="preserve">function, which detects </w:t>
      </w:r>
      <w:r w:rsidR="00255AD8" w:rsidRPr="0095010D">
        <w:t>electro-oculogram</w:t>
      </w:r>
      <w:r w:rsidR="001A1DF0">
        <w:t>-relate</w:t>
      </w:r>
      <w:r w:rsidR="003B40F4">
        <w:t>d components based on a z-score-</w:t>
      </w:r>
      <w:r w:rsidR="001A1DF0">
        <w:t>transformed</w:t>
      </w:r>
      <w:r w:rsidR="003B3620" w:rsidRPr="00D5625D">
        <w:t xml:space="preserve"> Pearson correla</w:t>
      </w:r>
      <w:r w:rsidR="0018779D">
        <w:t xml:space="preserve">tion between </w:t>
      </w:r>
      <w:r w:rsidR="00255AD8">
        <w:t>independent component analysis</w:t>
      </w:r>
      <w:r w:rsidR="00280F29">
        <w:t xml:space="preserve"> </w:t>
      </w:r>
      <w:r w:rsidR="0018779D">
        <w:t xml:space="preserve">components and </w:t>
      </w:r>
      <w:r w:rsidR="00255AD8" w:rsidRPr="0095010D">
        <w:t>electro-oculogram</w:t>
      </w:r>
      <w:r w:rsidR="0018779D">
        <w:t xml:space="preserve"> signals</w:t>
      </w:r>
      <w:r w:rsidR="003B3620" w:rsidRPr="00D5625D">
        <w:t xml:space="preserve"> filtered</w:t>
      </w:r>
      <w:r w:rsidR="003358EE" w:rsidRPr="00D5625D">
        <w:t xml:space="preserve"> in the 1</w:t>
      </w:r>
      <w:r w:rsidR="00947AD5">
        <w:t>–</w:t>
      </w:r>
      <w:r w:rsidR="003B3620" w:rsidRPr="00D5625D">
        <w:t>10 Hz</w:t>
      </w:r>
      <w:r w:rsidR="00573484" w:rsidRPr="00D5625D">
        <w:t xml:space="preserve"> range</w:t>
      </w:r>
      <w:r w:rsidR="003B3620" w:rsidRPr="00D5625D">
        <w:t xml:space="preserve">. </w:t>
      </w:r>
      <w:r w:rsidR="00445A88" w:rsidRPr="00D5625D">
        <w:t>Components with z-scores exceedin</w:t>
      </w:r>
      <w:r w:rsidR="00947AD5">
        <w:t>g a threshold of 3 were</w:t>
      </w:r>
      <w:r w:rsidR="008B0F54">
        <w:t xml:space="preserve"> masked at</w:t>
      </w:r>
      <w:r w:rsidR="00445A88" w:rsidRPr="00D5625D">
        <w:t xml:space="preserve"> </w:t>
      </w:r>
      <w:r w:rsidR="00947AD5">
        <w:t>each iteration, and z-scores were</w:t>
      </w:r>
      <w:r w:rsidR="00445A88" w:rsidRPr="00D5625D">
        <w:t xml:space="preserve"> recalculated on the remaining components. </w:t>
      </w:r>
      <w:r w:rsidR="0018779D">
        <w:t>This iterative procedure en</w:t>
      </w:r>
      <w:r w:rsidR="001A1DF0">
        <w:t>ables</w:t>
      </w:r>
      <w:r w:rsidR="00947AD5">
        <w:t xml:space="preserve"> </w:t>
      </w:r>
      <w:r w:rsidR="0018779D">
        <w:t>adaptive ide</w:t>
      </w:r>
      <w:r w:rsidR="008B0F54">
        <w:t>ntification of ocular artifacts</w:t>
      </w:r>
      <w:r w:rsidR="0018779D">
        <w:t xml:space="preserve"> and</w:t>
      </w:r>
      <w:r w:rsidR="008B0F54">
        <w:t>,</w:t>
      </w:r>
      <w:r w:rsidR="00033AC6">
        <w:t xml:space="preserve"> together with visual inspection, ensured</w:t>
      </w:r>
      <w:r w:rsidR="0018779D">
        <w:t xml:space="preserve"> r</w:t>
      </w:r>
      <w:r w:rsidR="008B0F54">
        <w:t>obust detection of eye-movement-</w:t>
      </w:r>
      <w:r w:rsidR="00033AC6">
        <w:t>related components. U</w:t>
      </w:r>
      <w:r w:rsidR="0018779D">
        <w:t xml:space="preserve">p to four components </w:t>
      </w:r>
      <w:r w:rsidR="00033AC6">
        <w:t>were removed per participant</w:t>
      </w:r>
      <w:r w:rsidR="00584708" w:rsidRPr="00584708">
        <w:t>.</w:t>
      </w:r>
      <w:r w:rsidR="00584708">
        <w:t xml:space="preserve"> </w:t>
      </w:r>
      <w:r w:rsidR="00F33797">
        <w:t xml:space="preserve">The resulting </w:t>
      </w:r>
      <w:r w:rsidR="005C5694">
        <w:t>independent component analysis</w:t>
      </w:r>
      <w:r w:rsidR="00F33797">
        <w:t xml:space="preserve"> </w:t>
      </w:r>
      <w:r w:rsidR="00037A4D">
        <w:t>weights were then applied to</w:t>
      </w:r>
      <w:r w:rsidR="00033AC6">
        <w:t xml:space="preserve"> </w:t>
      </w:r>
      <w:r w:rsidR="00037A4D">
        <w:t xml:space="preserve">EEG </w:t>
      </w:r>
      <w:r w:rsidR="00F33797">
        <w:t xml:space="preserve">data </w:t>
      </w:r>
      <w:r w:rsidR="00037A4D">
        <w:t xml:space="preserve">that had been </w:t>
      </w:r>
      <w:r w:rsidR="00F33797">
        <w:t>filtered between 0.1 an</w:t>
      </w:r>
      <w:r w:rsidR="00037A4D">
        <w:t>d 40 Hz before segmentation</w:t>
      </w:r>
      <w:r w:rsidR="00F33797">
        <w:t xml:space="preserve">. All EEG and </w:t>
      </w:r>
      <w:r w:rsidR="005C5694" w:rsidRPr="0095010D">
        <w:t>electro-oculogram</w:t>
      </w:r>
      <w:r w:rsidR="005C5694">
        <w:t xml:space="preserve"> </w:t>
      </w:r>
      <w:r w:rsidR="00F33797">
        <w:t>pr</w:t>
      </w:r>
      <w:r w:rsidR="004F2DE1">
        <w:t xml:space="preserve">eprocessing filters were finite impulse </w:t>
      </w:r>
      <w:r w:rsidR="00F33797">
        <w:t>response filters with a Hamming window</w:t>
      </w:r>
      <w:r w:rsidR="00FE0B10" w:rsidRPr="00FE0B10">
        <w:t>.</w:t>
      </w:r>
      <w:r w:rsidR="004F1FA1">
        <w:t xml:space="preserve"> The </w:t>
      </w:r>
      <w:proofErr w:type="spellStart"/>
      <w:r w:rsidR="004F1FA1">
        <w:t>epoched</w:t>
      </w:r>
      <w:proofErr w:type="spellEnd"/>
      <w:r w:rsidR="004F1FA1">
        <w:t xml:space="preserve"> data were</w:t>
      </w:r>
      <w:r w:rsidR="00F31629">
        <w:t xml:space="preserve"> basel</w:t>
      </w:r>
      <w:r w:rsidR="004F1FA1">
        <w:t>ine-corrected using</w:t>
      </w:r>
      <w:r w:rsidR="00F31629">
        <w:t xml:space="preserve"> </w:t>
      </w:r>
      <w:r w:rsidR="00F31629" w:rsidRPr="00BB2FC7">
        <w:t>the 0.1</w:t>
      </w:r>
      <w:r w:rsidR="00F33797">
        <w:t xml:space="preserve"> </w:t>
      </w:r>
      <w:r w:rsidR="00F31629" w:rsidRPr="00BB2FC7">
        <w:t>s w</w:t>
      </w:r>
      <w:r w:rsidR="004F1FA1">
        <w:t>indow preceding stimulus onset, and epochs were excluded from further analysis</w:t>
      </w:r>
      <w:r w:rsidR="00F31629">
        <w:t xml:space="preserve"> if </w:t>
      </w:r>
      <w:r w:rsidR="00F31629" w:rsidRPr="00B116BC">
        <w:t>any scalp channel exceeded</w:t>
      </w:r>
      <w:r w:rsidR="004F1FA1">
        <w:t xml:space="preserve"> an absolute amplitude of</w:t>
      </w:r>
      <w:r w:rsidR="00F31629" w:rsidRPr="00B116BC">
        <w:t xml:space="preserve"> 150</w:t>
      </w:r>
      <w:r w:rsidR="00F31629">
        <w:t xml:space="preserve"> </w:t>
      </w:r>
      <w:r w:rsidR="004F1FA1">
        <w:t>µV</w:t>
      </w:r>
      <w:r w:rsidR="00F31629" w:rsidRPr="00B116BC">
        <w:t xml:space="preserve"> </w:t>
      </w:r>
      <w:r w:rsidR="00F31629" w:rsidRPr="00C93DCC">
        <w:t>(</w:t>
      </w:r>
      <w:r w:rsidR="00F31629" w:rsidRPr="00C93DCC">
        <w:rPr>
          <w:i/>
        </w:rPr>
        <w:t>M</w:t>
      </w:r>
      <w:r w:rsidR="00F31629" w:rsidRPr="00C93DCC">
        <w:t xml:space="preserve"> = </w:t>
      </w:r>
      <w:r w:rsidR="00F82582" w:rsidRPr="002A27D6">
        <w:t>10.1</w:t>
      </w:r>
      <w:r w:rsidR="006059BC" w:rsidRPr="002A27D6">
        <w:t xml:space="preserve">%, range </w:t>
      </w:r>
      <w:r w:rsidR="00F82582" w:rsidRPr="002A27D6">
        <w:t>1.35</w:t>
      </w:r>
      <w:r w:rsidR="00E7726B" w:rsidRPr="002A27D6">
        <w:t>–</w:t>
      </w:r>
      <w:r w:rsidR="00ED62E2" w:rsidRPr="002A27D6">
        <w:t>21.98</w:t>
      </w:r>
      <w:r w:rsidR="00F31629" w:rsidRPr="002A27D6">
        <w:t xml:space="preserve">%). </w:t>
      </w:r>
      <w:r w:rsidR="00E44D36" w:rsidRPr="002A27D6">
        <w:t>Finally, the EEG data were transformed to current source density using the corresponding MNE function with</w:t>
      </w:r>
      <w:r w:rsidR="00F33797" w:rsidRPr="002A27D6">
        <w:t xml:space="preserve"> default parameters</w:t>
      </w:r>
      <w:r w:rsidR="00E44D36" w:rsidRPr="002A27D6">
        <w:t xml:space="preserve">, </w:t>
      </w:r>
      <w:r w:rsidR="004F1FA1" w:rsidRPr="002A27D6">
        <w:t xml:space="preserve">to reduce the spatial blurring effects of volume conduction </w:t>
      </w:r>
      <w:r w:rsidR="004F1FA1" w:rsidRPr="002A27D6">
        <w:fldChar w:fldCharType="begin"/>
      </w:r>
      <w:r w:rsidR="001217D5" w:rsidRPr="002A27D6">
        <w:instrText xml:space="preserve"> ADDIN ZOTERO_ITEM CSL_CITATION {"citationID":"yP66qVSQ","properties":{"formattedCitation":"(e.g., Kelly et al., 2021; Kelly &amp; O\\uc0\\u8217{}Connell, 2013; Twomey et al., 2016)","plainCitation":"(e.g., Kelly et al., 2021; Kelly &amp; O’Connell, 2013; Twomey et al., 2016)","noteIndex":0},"citationItems":[{"id":7289,"uris":["http://zotero.org/groups/4876799/items/97ERE8DL"],"itemData":{"id":7289,"type":"article-journal","abstract":"To interact successfully with diverse sensory environments, we must adapt our decision processes to account for time constraints and prior probabilities. The full set of decision-process parameters that undergo such flexible adaptation has proven to be difficult to establish using simplified models that are based on behaviour alone. Here, we utilize well-characterized human neurophysiological signatures of decision formation to construct and constrain a build-to-threshold decision model with multiple build-up (evidence accumulation and urgency) and delay components (pre- and post-decisional). The model indicates that all of these components were adapted in distinct ways and, in several instances, fundamentally differ from the conclusions of conventional diffusion modelling. The neurally informed model outcomes were corroborated by independent neural decision signal observations that were not used in the model's construction. These findings highlight the breadth of decision-process parameters that are amenable to strategic adjustment and the value in leveraging neurophysiological measurements to quantify these adjustments.","container-title":"Nature Human Behaviour","DOI":"10.1038/s41562-020-00967-9","ISSN":"2397-3374","issue":"4","journalAbbreviation":"Nat Hum Behav","language":"eng","page":"467-481","PMID":"33318661","source":"PubMed","title":"Neurocomputational mechanisms of prior-informed perceptual decision-making in humans","volume":"5","author":[{"family":"Kelly","given":"Simon P."},{"family":"Corbett","given":"Elaine A."},{"family":"O'Connell","given":"Redmond G."}],"issued":{"date-parts":[["2021",4]]}},"prefix":"e.g., "},{"id":253,"uris":["http://zotero.org/users/5679506/items/BMCU23CK"],"itemData":{"id":253,"type":"article-journal","abstract":"We frequently need to make timely decisions based on sensory evidence that is weak, ambiguous, or noisy resulting from conditions in the external environment (e.g., a cluttered visual scene) or within the brain itself (e.g., inattention, neural noise). Here we examine how externally and internally driven variations in the quality of sensory evidence affect the build-to-threshold dynamics of a supramodal “decision variable” signal and, hence, the timing and accuracy of decision reports in humans. Observers performed a continuous-monitoring version of the prototypical two-alternative dot-motion discrimination task, which is known to strongly benefit from sequential sampling and temporal accumulation of evidence. A centroparietal positive potential (CPP), which we previously established as a supramodal decision signal based on its invariance to motor or sensory parameters, exhibited two key identifying properties associated with the “decision variable” long described in sequential sampling models: (1) its buildup rate systematically scaled with sensory evidence strength across four levels of motion coherence, consistent with temporal integration; and (2) its amplitude reached a stereotyped level at the moment of perceptual report executions, consistent with a boundary-crossing stopping criterion. The buildup rate of the CPP also strongly predicted reaction time within coherence levels (i.e., independent of physical evidence strength), and this endogenous variation was linked with attentional fluctuations indexed by the level of parieto-occipital α-band activity preceding target onset. In tandem with the CPP, build-to-threshold dynamics were also observed in an effector-selective motor preparation signal; however, the buildup of this motor-specific process significantly lagged that of the supramodal process.","container-title":"Journal of Neuroscience","DOI":"10.1523/JNEUROSCI.3355-13.2013","ISSN":"0270-6474, 1529-2401","issue":"50","journalAbbreviation":"J. Neurosci.","language":"en","license":"Copyright © 2013 the authors 0270-6474/13/3319434-08$15.00/0","page":"19434-19441","PMID":"24336710","source":"www.jneurosci.org","title":"Internal and External Influences on the Rate of Sensory Evidence Accumulation in the Human Brain","volume":"33","author":[{"family":"Kelly","given":"Simon P."},{"family":"O'Connell","given":"Redmond G."}],"issued":{"date-parts":[["2013",12,11]]}}},{"id":14432,"uris":["http://zotero.org/groups/4876799/items/XYENCHIR"],"itemData":{"id":14432,"type":"article-journal","abstract":"Electrophysiological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Neurosci","language":"eng","page":"7346-7352","PMID":"27413146","PMCID":"PMC4945659","source":"PubMed","title":"Abstract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4F1FA1" w:rsidRPr="002A27D6">
        <w:fldChar w:fldCharType="separate"/>
      </w:r>
      <w:r w:rsidR="00FF232B" w:rsidRPr="002A27D6">
        <w:t>(e.g., Kelly et al., 2021; Kelly &amp; O’Connell, 2013; Twomey et al., 2016)</w:t>
      </w:r>
      <w:r w:rsidR="004F1FA1" w:rsidRPr="002A27D6">
        <w:fldChar w:fldCharType="end"/>
      </w:r>
      <w:r w:rsidR="004F1FA1" w:rsidRPr="002A27D6">
        <w:t xml:space="preserve">. </w:t>
      </w:r>
      <w:r w:rsidR="006059BC" w:rsidRPr="002A27D6">
        <w:t>After applying</w:t>
      </w:r>
      <w:r w:rsidR="004F2DE1" w:rsidRPr="002A27D6">
        <w:t xml:space="preserve"> EEG, EMG, and behavioral trial </w:t>
      </w:r>
      <w:r w:rsidR="006059BC" w:rsidRPr="002A27D6">
        <w:t>exclusion criteria, an average of 8</w:t>
      </w:r>
      <w:r w:rsidR="004E24C4" w:rsidRPr="002A27D6">
        <w:t>4</w:t>
      </w:r>
      <w:r w:rsidR="006059BC" w:rsidRPr="002A27D6">
        <w:t xml:space="preserve">.52% of trials </w:t>
      </w:r>
      <w:r w:rsidR="00337CC2" w:rsidRPr="002A27D6">
        <w:t xml:space="preserve">remained for analysis </w:t>
      </w:r>
      <w:r w:rsidR="006059BC" w:rsidRPr="002A27D6">
        <w:t>(</w:t>
      </w:r>
      <w:r w:rsidR="006C2A71" w:rsidRPr="002A27D6">
        <w:t>r</w:t>
      </w:r>
      <w:r w:rsidR="00337CC2" w:rsidRPr="002A27D6">
        <w:t>ange</w:t>
      </w:r>
      <w:r w:rsidR="002F0445" w:rsidRPr="002A27D6">
        <w:t xml:space="preserve"> </w:t>
      </w:r>
      <w:r w:rsidR="006059BC" w:rsidRPr="002A27D6">
        <w:t>48.4</w:t>
      </w:r>
      <w:r w:rsidR="004E24C4" w:rsidRPr="002A27D6">
        <w:t>4</w:t>
      </w:r>
      <w:r w:rsidR="004F2DE1" w:rsidRPr="002A27D6">
        <w:t>–</w:t>
      </w:r>
      <w:r w:rsidR="00F33797" w:rsidRPr="002A27D6">
        <w:t>98.33%</w:t>
      </w:r>
      <w:r w:rsidR="002F0445" w:rsidRPr="002A27D6">
        <w:t>,</w:t>
      </w:r>
      <w:r w:rsidR="006C2A71" w:rsidRPr="002A27D6">
        <w:t xml:space="preserve"> </w:t>
      </w:r>
      <w:r w:rsidR="00337CC2" w:rsidRPr="002A27D6">
        <w:t xml:space="preserve">SD = </w:t>
      </w:r>
      <w:r w:rsidR="006C2A71" w:rsidRPr="002A27D6">
        <w:t>11.35</w:t>
      </w:r>
      <w:r w:rsidR="00F33797" w:rsidRPr="002A27D6">
        <w:t>)</w:t>
      </w:r>
      <w:r w:rsidR="006059BC" w:rsidRPr="002A27D6">
        <w:t>.</w:t>
      </w:r>
    </w:p>
    <w:p w14:paraId="4A6DDB2C" w14:textId="77777777" w:rsidR="003A0E94" w:rsidRDefault="00324970" w:rsidP="003A0E94">
      <w:pPr>
        <w:pStyle w:val="Titre3"/>
      </w:pPr>
      <w:r w:rsidRPr="00324970">
        <w:t>Measurement o</w:t>
      </w:r>
      <w:r w:rsidR="00E15A9D">
        <w:t>f motor preparation EEG signals</w:t>
      </w:r>
    </w:p>
    <w:p w14:paraId="737DF6EE" w14:textId="77777777" w:rsidR="0056568D" w:rsidRDefault="00A53B2C" w:rsidP="0031657A">
      <w:pPr>
        <w:spacing w:after="120"/>
        <w:ind w:firstLine="567"/>
      </w:pPr>
      <w:r w:rsidRPr="00F77BD0">
        <w:t xml:space="preserve">EEG studies have identified two main </w:t>
      </w:r>
      <w:r w:rsidR="00172DD3">
        <w:t>markers of motor preparation</w:t>
      </w:r>
      <w:r w:rsidRPr="00F77BD0">
        <w:t>: the later</w:t>
      </w:r>
      <w:r w:rsidR="006866B3">
        <w:t>alized readiness potential (LRP)</w:t>
      </w:r>
      <w:r w:rsidRPr="00F77BD0">
        <w:t xml:space="preserve">, </w:t>
      </w:r>
      <w:r w:rsidR="00B2702C">
        <w:t xml:space="preserve">a time-domain </w:t>
      </w:r>
      <w:r>
        <w:t>event-related potential</w:t>
      </w:r>
      <w:r w:rsidR="001A32FB">
        <w:t>, and mu</w:t>
      </w:r>
      <w:r w:rsidR="00997EF0" w:rsidRPr="00EF7630">
        <w:t>–</w:t>
      </w:r>
      <w:r w:rsidRPr="00F77BD0">
        <w:t>beta</w:t>
      </w:r>
      <w:r w:rsidR="001A32FB">
        <w:t>-band spectral amplitude</w:t>
      </w:r>
      <w:r w:rsidR="006866B3">
        <w:t xml:space="preserve"> lateralization (MBL)</w:t>
      </w:r>
      <w:r>
        <w:t>, a time-</w:t>
      </w:r>
      <w:r w:rsidRPr="00F77BD0">
        <w:t xml:space="preserve">frequency measure capturing </w:t>
      </w:r>
      <w:r w:rsidR="00B2702C">
        <w:t>asymmetric suppression of mu</w:t>
      </w:r>
      <w:r w:rsidR="00082523" w:rsidRPr="00EF7630">
        <w:t>–</w:t>
      </w:r>
      <w:r w:rsidR="00B2702C" w:rsidRPr="00F77BD0">
        <w:t>beta</w:t>
      </w:r>
      <w:r w:rsidR="00B2702C">
        <w:t xml:space="preserve"> oscillations</w:t>
      </w:r>
      <w:r w:rsidRPr="00F77BD0">
        <w:t xml:space="preserve"> over motor cortices.</w:t>
      </w:r>
      <w:r>
        <w:t xml:space="preserve"> Both </w:t>
      </w:r>
      <w:r w:rsidR="00172DD3">
        <w:t>markers</w:t>
      </w:r>
      <w:r w:rsidR="003B4868">
        <w:t xml:space="preserve"> </w:t>
      </w:r>
      <w:r>
        <w:t xml:space="preserve">are </w:t>
      </w:r>
      <w:r w:rsidR="005C41B5">
        <w:t>computed as difference waveforms</w:t>
      </w:r>
      <w:r>
        <w:t xml:space="preserve"> by contrasting activity ov</w:t>
      </w:r>
      <w:r w:rsidR="003B4868">
        <w:t xml:space="preserve">er motor areas contralateral </w:t>
      </w:r>
      <w:r w:rsidR="00AD39A4">
        <w:t>and</w:t>
      </w:r>
      <w:r>
        <w:t xml:space="preserve"> ipsilateral to the </w:t>
      </w:r>
      <w:r>
        <w:lastRenderedPageBreak/>
        <w:t xml:space="preserve">responding effector. </w:t>
      </w:r>
      <w:r w:rsidR="006866B3">
        <w:t xml:space="preserve">The </w:t>
      </w:r>
      <w:r w:rsidR="006866B3" w:rsidRPr="00F77BD0">
        <w:t>later</w:t>
      </w:r>
      <w:r w:rsidR="006866B3">
        <w:t>alized readiness potential</w:t>
      </w:r>
      <w:r w:rsidR="00B2702C" w:rsidRPr="00B2702C">
        <w:t xml:space="preserve"> is a negative-going potential that precedes unilateral movements and is commonly interpreted as </w:t>
      </w:r>
      <w:r w:rsidR="00F93CD8">
        <w:t>reflecting</w:t>
      </w:r>
      <w:r w:rsidR="00B2702C" w:rsidRPr="00B2702C">
        <w:t xml:space="preserve"> effector-specific motor activation in contralateral motor-related region</w:t>
      </w:r>
      <w:r w:rsidR="00F93CD8">
        <w:t>s</w:t>
      </w:r>
      <w:r w:rsidRPr="00741623">
        <w:t>,</w:t>
      </w:r>
      <w:r w:rsidR="00B2702C">
        <w:t xml:space="preserve"> </w:t>
      </w:r>
      <w:r w:rsidR="00F93CD8">
        <w:t>indexing</w:t>
      </w:r>
      <w:r w:rsidR="00B2702C">
        <w:t xml:space="preserve"> </w:t>
      </w:r>
      <w:r w:rsidR="00F93CD8">
        <w:t>late-stage response</w:t>
      </w:r>
      <w:r w:rsidRPr="00741623">
        <w:t xml:space="preserve"> preparation </w:t>
      </w:r>
      <w:r w:rsidR="0031657A">
        <w:fldChar w:fldCharType="begin"/>
      </w:r>
      <w:r w:rsidR="0031657A">
        <w:instrText xml:space="preserve"> ADDIN ZOTERO_ITEM CSL_CITATION {"citationID":"PsbE9Wx5","properties":{"unsorted":false,"formattedCitation":"(e.g., Eimer, 1998; Gratton et al., 1988)","plainCitation":"(e.g., Eimer, 1998; Gratton et al., 1988)","noteIndex":0},"citationItems":[{"id":14765,"uris":["http://zotero.org/users/5679506/items/UY2ZFT7E"],"itemData":{"id":14765,"type":"article-journal","abstract":"The lateralized readiness potential (LRP) is an electrophysiological indicator of the central activation of motor responses. Procedures for deriving the LRP on the basis of event-related brain potential (ERP) waveforms obtained over the left and right motor cortices are described, and some findings are summarized that show that the LRP is likely to reflect activation processes within the motor cortex. Two experiments investigating spatial stimulus–response compatibility effects in humans are reported that demonstrate that, because of systematic overlaps of motor and nonmotor asymmetries, LRP waveforms derived by the double subtraction method cannot always be interpreted unequivocally in terms of response activation. Such confounds can be detected when LRP waveforms are compared with difference waveforms obtained by the double subtraction method from ERPs elicited at other lateral scalp sites. (PsycINFO Database Record (c) 2016 APA, all rights reserved)","container-title":"Behavior Research Methods, Instruments &amp; Computers","DOI":"10.3758/BF03209424","ISSN":"0743-3808","issue":"1","note":"publisher-place: US","page":"146-156","publisher":"Psychonomic Society","source":"APA PsycNet","title":"The lateralized readiness potential as an on-line measure of central response activiation processes","volume":"30","author":[{"family":"Eimer","given":"Martin"}],"issued":{"date-parts":[["1998"]]}},"prefix":"e.g., "},{"id":277,"uris":["http://zotero.org/users/5679506/items/7JP5KWRW"],"itemData":{"id":277,"type":"article-journal","abstract":"To examine mechanisms of response activation, we asked subjects to respond differentially to the central letter of one of four arrays--HHHHH, SSHSS, SSSSS, and HHSHH--and measured event-related brain potentials (ERPs) and electromyographic activity (EMG). For very fast responses, accuracy was at chance level for all arrays, suggesting that subjects were guessing. For intermediate latency responses, accuracy was above chance if the noise was compatible with the targets and below chance if it was incompatible, suggesting that these responses were based on partial stimulus analysis. For slow responses, accuracy was above chance for all arrays, suggesting that these responses were based on complete stimulus analysis. The occurrence and accuracy of fast responses could be predicted by examining motor potentials preceding the presentation of the array. Measures of the motor potentials in the period following the presentation of the array suggested that partial analysis of stimulus information could activate responses and that the level of response activation at the time of the EMG response was constant for trials with different response latencies. The data are discussed in terms of a response channel conception.","container-title":"Journal of Experimental Psychology. Human Perception and Performance","DOI":"10.1037//0096-1523.14.3.331","ISSN":"0096-1523","issue":"3","journalAbbreviation":"J Exp Psychol Hum Percept Perform","language":"eng","page":"331-344","PMID":"2971764","source":"PubMed","title":"Pre- and poststimulus activation of response channels: a psychophysiological analysis","title-short":"Pre- and poststimulus activation of response channels","volume":"14","author":[{"family":"Gratton","given":"G."},{"family":"Coles","given":"M. G."},{"family":"Sirevaag","given":"E. J."},{"family":"Eriksen","given":"C. W."},{"family":"Donchin","given":"E."}],"issued":{"date-parts":[["1988",8]]}}}],"schema":"https://github.com/citation-style-language/schema/raw/master/csl-citation.json"} </w:instrText>
      </w:r>
      <w:r w:rsidR="0031657A">
        <w:fldChar w:fldCharType="separate"/>
      </w:r>
      <w:r w:rsidR="0031657A" w:rsidRPr="0031657A">
        <w:t>(e.g., Eimer, 1998; Gratton et al., 1988)</w:t>
      </w:r>
      <w:r w:rsidR="0031657A">
        <w:fldChar w:fldCharType="end"/>
      </w:r>
      <w:r w:rsidR="0031657A">
        <w:t xml:space="preserve">. </w:t>
      </w:r>
      <w:r w:rsidR="006866B3">
        <w:t>Mu</w:t>
      </w:r>
      <w:r w:rsidR="006866B3" w:rsidRPr="00EF7630">
        <w:t>–</w:t>
      </w:r>
      <w:r w:rsidR="006866B3" w:rsidRPr="00F77BD0">
        <w:t>beta</w:t>
      </w:r>
      <w:r w:rsidR="006866B3">
        <w:t>-band spectral amplitude lateralization</w:t>
      </w:r>
      <w:r w:rsidRPr="00EF7630">
        <w:t xml:space="preserve"> </w:t>
      </w:r>
      <w:r w:rsidR="00E86864">
        <w:t>reflects</w:t>
      </w:r>
      <w:r w:rsidRPr="00EF7630">
        <w:t xml:space="preserve"> the</w:t>
      </w:r>
      <w:r w:rsidR="00B2702C">
        <w:t xml:space="preserve"> relative decrease </w:t>
      </w:r>
      <w:r w:rsidR="005C41B5">
        <w:t>in</w:t>
      </w:r>
      <w:r w:rsidRPr="00EF7630">
        <w:t xml:space="preserve"> mu</w:t>
      </w:r>
      <w:r w:rsidR="009926E7" w:rsidRPr="00EF7630">
        <w:t>–</w:t>
      </w:r>
      <w:r w:rsidRPr="00EF7630">
        <w:t xml:space="preserve">beta </w:t>
      </w:r>
      <w:r w:rsidR="001A32FB">
        <w:t xml:space="preserve">amplitude </w:t>
      </w:r>
      <w:r w:rsidR="00E150D0">
        <w:t>(8</w:t>
      </w:r>
      <w:r w:rsidR="0024270A">
        <w:t>–</w:t>
      </w:r>
      <w:r w:rsidR="00E150D0">
        <w:t xml:space="preserve">30 Hz) </w:t>
      </w:r>
      <w:r w:rsidRPr="00EF7630">
        <w:t>over the contralateral hemisphere as mo</w:t>
      </w:r>
      <w:r w:rsidR="00E86864">
        <w:t>tor plans are formed, indexing</w:t>
      </w:r>
      <w:r w:rsidRPr="00EF7630">
        <w:t xml:space="preserve"> the lateralized preparatory modulation of motor cortical activity</w:t>
      </w:r>
      <w:r>
        <w:t xml:space="preserve"> </w:t>
      </w:r>
      <w:r>
        <w:fldChar w:fldCharType="begin"/>
      </w:r>
      <w:r w:rsidR="001217D5">
        <w:instrText xml:space="preserve"> ADDIN ZOTERO_ITEM CSL_CITATION {"citationID":"SkJFV9A9","properties":{"formattedCitation":"(Pfurtscheller &amp; Lopes da Silva, 1999)","plainCitation":"(Pfurtscheller &amp; Lopes da Silva, 1999)","noteIndex":0},"citationItems":[{"id":6772,"uris":["http://zotero.org/users/5679506/items/5HAKLDWP"],"itemData":{"id":6772,"type":"article-journal","abstract":"An internally or externally paced event results not only in the generation of an event-related potential (ERP) but also in a change in the ongoing EEG/MEG in form of an event-related desynchronization (ERD) or event-related synchronization (ERS). The ERP on the one side and the ERD/ERS on the other side are different responses of neuronal structures in the brain. While the former is phase-locked, the latter is not phase-locked to the event. The most important difference between both phenomena is that the ERD/ERS is highly frequency band-specific, whereby either the same or different locations on the scalp can display ERD and ERS simultaneously. Quantification of ERD/ERS in time and space is demonstrated on data from a number of movement experiments.","container-title":"Clinical Neurophysiology: Official Journal of the International Federation of Clinical Neurophysiology","DOI":"10.1016/s1388-2457(99)00141-8","ISSN":"1388-2457","issue":"11","journalAbbreviation":"Clin Neurophysiol","language":"eng","page":"1842-1857","PMID":"10576479","source":"PubMed","title":"Event-related EEG/MEG synchronization and desynchronization: basic principles","title-short":"Event-related EEG/MEG synchronization and desynchronization","volume":"110","author":[{"family":"Pfurtscheller","given":"G."},{"family":"Lopes da Silva","given":"F. H."}],"issued":{"date-parts":[["1999",11]]}}}],"schema":"https://github.com/citation-style-language/schema/raw/master/csl-citation.json"} </w:instrText>
      </w:r>
      <w:r>
        <w:fldChar w:fldCharType="separate"/>
      </w:r>
      <w:r w:rsidRPr="00EF7630">
        <w:t>(Pfurtscheller &amp; Lopes da Silva, 1999)</w:t>
      </w:r>
      <w:r>
        <w:fldChar w:fldCharType="end"/>
      </w:r>
      <w:r>
        <w:t xml:space="preserve">. </w:t>
      </w:r>
      <w:r w:rsidR="0031657A" w:rsidRPr="0031657A">
        <w:rPr>
          <w:color w:val="FF0000"/>
        </w:rPr>
        <w:t xml:space="preserve">We </w:t>
      </w:r>
      <w:r w:rsidR="0031657A">
        <w:rPr>
          <w:color w:val="FF0000"/>
        </w:rPr>
        <w:t>used these tw</w:t>
      </w:r>
      <w:r w:rsidR="006866B3">
        <w:rPr>
          <w:color w:val="FF0000"/>
        </w:rPr>
        <w:t>o markers</w:t>
      </w:r>
      <w:r w:rsidR="0031657A" w:rsidRPr="0031657A">
        <w:t xml:space="preserve"> </w:t>
      </w:r>
      <w:r w:rsidR="006866B3">
        <w:rPr>
          <w:color w:val="FF0000"/>
        </w:rPr>
        <w:t>to provide additional</w:t>
      </w:r>
      <w:r w:rsidR="0031657A" w:rsidRPr="0031657A">
        <w:rPr>
          <w:color w:val="FF0000"/>
        </w:rPr>
        <w:t xml:space="preserve"> constraints on th</w:t>
      </w:r>
      <w:r w:rsidR="006866B3">
        <w:rPr>
          <w:color w:val="FF0000"/>
        </w:rPr>
        <w:t>e motor</w:t>
      </w:r>
      <w:r w:rsidR="00A8674E">
        <w:rPr>
          <w:color w:val="1F4E9E"/>
        </w:rPr>
        <w:t>-</w:t>
      </w:r>
      <w:r w:rsidR="006866B3">
        <w:rPr>
          <w:color w:val="FF0000"/>
        </w:rPr>
        <w:t>preparation stage of the</w:t>
      </w:r>
      <w:r w:rsidR="0031657A" w:rsidRPr="0031657A">
        <w:rPr>
          <w:color w:val="FF0000"/>
        </w:rPr>
        <w:t xml:space="preserve"> model.</w:t>
      </w:r>
    </w:p>
    <w:p w14:paraId="42770165" w14:textId="77777777" w:rsidR="00147587" w:rsidRDefault="00EC05AC" w:rsidP="003A0E94">
      <w:pPr>
        <w:ind w:firstLine="567"/>
      </w:pPr>
      <w:r>
        <w:t xml:space="preserve">To measure </w:t>
      </w:r>
      <w:r w:rsidR="00A8674E">
        <w:t>mu–beta-band spectral amplitude lateralization</w:t>
      </w:r>
      <w:r>
        <w:t xml:space="preserve">, we </w:t>
      </w:r>
      <w:r w:rsidR="00AF7868">
        <w:t>extracted</w:t>
      </w:r>
      <w:r w:rsidR="001C150E">
        <w:t xml:space="preserve"> </w:t>
      </w:r>
      <w:r w:rsidR="00A8674E" w:rsidRPr="00A8674E">
        <w:t>mu–beta amplitude</w:t>
      </w:r>
      <w:r w:rsidR="001C150E">
        <w:t xml:space="preserve"> </w:t>
      </w:r>
      <w:r>
        <w:t>(</w:t>
      </w:r>
      <w:r w:rsidR="001C150E">
        <w:t>8</w:t>
      </w:r>
      <w:r w:rsidR="003347B9">
        <w:t>–</w:t>
      </w:r>
      <w:r w:rsidR="001C150E">
        <w:t>30 Hz</w:t>
      </w:r>
      <w:r>
        <w:t>)</w:t>
      </w:r>
      <w:r w:rsidR="001C150E">
        <w:t xml:space="preserve"> </w:t>
      </w:r>
      <w:r>
        <w:t xml:space="preserve">over time </w:t>
      </w:r>
      <w:r w:rsidR="001C150E">
        <w:t>for each electrode by applying</w:t>
      </w:r>
      <w:r w:rsidR="003D4EF0">
        <w:t xml:space="preserve"> a </w:t>
      </w:r>
      <w:r w:rsidR="00D71969" w:rsidRPr="00827E0F">
        <w:t xml:space="preserve">short-time </w:t>
      </w:r>
      <w:r w:rsidR="003D4EF0">
        <w:t xml:space="preserve">fast </w:t>
      </w:r>
      <w:r w:rsidR="00D71969" w:rsidRPr="00827E0F">
        <w:t xml:space="preserve">Fourier </w:t>
      </w:r>
      <w:r w:rsidR="00D71969">
        <w:t>transform</w:t>
      </w:r>
      <w:r w:rsidR="00D71969" w:rsidRPr="00827E0F">
        <w:t xml:space="preserve"> to </w:t>
      </w:r>
      <w:r w:rsidR="00CD3103">
        <w:t xml:space="preserve">the </w:t>
      </w:r>
      <w:r w:rsidR="00A057B4">
        <w:t xml:space="preserve">current </w:t>
      </w:r>
      <w:r w:rsidR="00A057B4" w:rsidRPr="00A057B4">
        <w:t>source</w:t>
      </w:r>
      <w:r w:rsidR="00A057B4">
        <w:t xml:space="preserve"> density </w:t>
      </w:r>
      <w:r w:rsidR="00CD3103">
        <w:t>signals from</w:t>
      </w:r>
      <w:r w:rsidR="003D4EF0">
        <w:t xml:space="preserve"> each </w:t>
      </w:r>
      <w:r w:rsidR="00CD3103">
        <w:t>epoch</w:t>
      </w:r>
      <w:r>
        <w:t>,</w:t>
      </w:r>
      <w:r w:rsidR="003D4EF0">
        <w:t xml:space="preserve"> using a </w:t>
      </w:r>
      <w:r w:rsidR="00A057B4">
        <w:t>0.3-</w:t>
      </w:r>
      <w:r w:rsidR="003D4EF0">
        <w:t>s window and</w:t>
      </w:r>
      <w:r w:rsidR="00D71969">
        <w:t xml:space="preserve"> a </w:t>
      </w:r>
      <w:r w:rsidR="009737C7">
        <w:t>0.1</w:t>
      </w:r>
      <w:r w:rsidR="00A057B4">
        <w:t>-</w:t>
      </w:r>
      <w:r w:rsidR="003D4EF0">
        <w:t>s step</w:t>
      </w:r>
      <w:r w:rsidR="00D71969">
        <w:t>.</w:t>
      </w:r>
      <w:r w:rsidR="00AF7868">
        <w:t xml:space="preserve"> </w:t>
      </w:r>
      <w:r w:rsidR="004D6EC9">
        <w:t>To identify electrode sites exhibiting</w:t>
      </w:r>
      <w:r w:rsidR="00126577" w:rsidRPr="00126577">
        <w:t xml:space="preserve"> maximal effector-selective activity, we computed a gr</w:t>
      </w:r>
      <w:r w:rsidR="00126577">
        <w:t>and-average topography for the -</w:t>
      </w:r>
      <w:r w:rsidR="00126577" w:rsidRPr="00126577">
        <w:t>0.2 to 0 s interval relative to the response by subtracting, at e</w:t>
      </w:r>
      <w:r w:rsidR="00126577">
        <w:t xml:space="preserve">ach electrode site, </w:t>
      </w:r>
      <w:r w:rsidR="00610F4C">
        <w:t xml:space="preserve">the mean </w:t>
      </w:r>
      <w:r w:rsidR="005C5694">
        <w:t>mu–beta</w:t>
      </w:r>
      <w:r w:rsidR="00126577" w:rsidRPr="00126577">
        <w:t xml:space="preserve"> amplitude </w:t>
      </w:r>
      <w:r w:rsidR="00610F4C">
        <w:t>for</w:t>
      </w:r>
      <w:r w:rsidR="00126577" w:rsidRPr="00126577">
        <w:t xml:space="preserve"> right-hand trials from</w:t>
      </w:r>
      <w:r w:rsidR="004D6EC9">
        <w:t xml:space="preserve"> that</w:t>
      </w:r>
      <w:r w:rsidR="00610F4C">
        <w:t xml:space="preserve"> for</w:t>
      </w:r>
      <w:r>
        <w:t xml:space="preserve"> left-hand</w:t>
      </w:r>
      <w:r w:rsidR="00126577" w:rsidRPr="00126577">
        <w:t xml:space="preserve"> trials, </w:t>
      </w:r>
      <w:r w:rsidR="004D6EC9">
        <w:t>irrespective</w:t>
      </w:r>
      <w:r w:rsidR="00126577" w:rsidRPr="00126577">
        <w:t xml:space="preserve"> of experimental condition.</w:t>
      </w:r>
      <w:r w:rsidR="00126577">
        <w:t xml:space="preserve"> </w:t>
      </w:r>
      <w:r>
        <w:t>A</w:t>
      </w:r>
      <w:r w:rsidR="004D6EC9">
        <w:t>n analogous topography was</w:t>
      </w:r>
      <w:r w:rsidR="00623D7C">
        <w:t xml:space="preserve"> </w:t>
      </w:r>
      <w:r w:rsidR="0068601A">
        <w:t>constructed</w:t>
      </w:r>
      <w:r w:rsidR="00623D7C">
        <w:t xml:space="preserve"> using </w:t>
      </w:r>
      <w:r w:rsidR="002A17D8">
        <w:t xml:space="preserve">time-domain </w:t>
      </w:r>
      <w:r w:rsidR="006866B3">
        <w:t>current source density</w:t>
      </w:r>
      <w:r w:rsidR="00D57D5F">
        <w:t xml:space="preserve"> </w:t>
      </w:r>
      <w:r w:rsidR="002A17D8">
        <w:t>amplitudes</w:t>
      </w:r>
      <w:r w:rsidR="00E518A8">
        <w:t xml:space="preserve">. </w:t>
      </w:r>
      <w:r w:rsidR="00623D7C">
        <w:t xml:space="preserve">The resulting maps </w:t>
      </w:r>
      <w:r w:rsidR="004D6EC9">
        <w:t>revealed</w:t>
      </w:r>
      <w:r w:rsidR="00623D7C">
        <w:t xml:space="preserve"> overlapping </w:t>
      </w:r>
      <w:r w:rsidR="004D6EC9">
        <w:t>extrema</w:t>
      </w:r>
      <w:r w:rsidR="00623D7C">
        <w:t xml:space="preserve"> </w:t>
      </w:r>
      <w:r w:rsidR="004D6EC9">
        <w:t>at</w:t>
      </w:r>
      <w:r w:rsidR="00623D7C">
        <w:t xml:space="preserve"> </w:t>
      </w:r>
      <w:r w:rsidR="004D6EC9">
        <w:t>electrode</w:t>
      </w:r>
      <w:r w:rsidR="00623D7C">
        <w:t xml:space="preserve">s C3 and </w:t>
      </w:r>
      <w:r w:rsidR="00623D7C" w:rsidRPr="00515128">
        <w:t>C4</w:t>
      </w:r>
      <w:r w:rsidR="00515128" w:rsidRPr="00515128">
        <w:t xml:space="preserve"> (Fig. </w:t>
      </w:r>
      <w:r w:rsidR="00693A80" w:rsidRPr="00693A80">
        <w:t>4</w:t>
      </w:r>
      <w:proofErr w:type="gramStart"/>
      <w:r w:rsidR="00693A80">
        <w:t>C</w:t>
      </w:r>
      <w:r w:rsidR="00606A1B">
        <w:t>,</w:t>
      </w:r>
      <w:r w:rsidR="00693A80">
        <w:t>D</w:t>
      </w:r>
      <w:proofErr w:type="gramEnd"/>
      <w:r w:rsidR="00515128" w:rsidRPr="00515128">
        <w:t>)</w:t>
      </w:r>
      <w:r w:rsidR="009A66AA" w:rsidRPr="00515128">
        <w:t>,</w:t>
      </w:r>
      <w:r w:rsidR="009A66AA">
        <w:t xml:space="preserve"> which were</w:t>
      </w:r>
      <w:r w:rsidR="004D6EC9">
        <w:t xml:space="preserve"> therefore</w:t>
      </w:r>
      <w:r w:rsidR="009A66AA">
        <w:t xml:space="preserve"> </w:t>
      </w:r>
      <w:r w:rsidR="0092013B">
        <w:t>selected for subsequent analyses</w:t>
      </w:r>
      <w:r w:rsidR="00623D7C" w:rsidRPr="0068601A">
        <w:t xml:space="preserve">. </w:t>
      </w:r>
      <w:r w:rsidR="009769C6" w:rsidRPr="009769C6">
        <w:t>Mu–beta-band spectral amplitude lateralization and the lateralized readiness potential</w:t>
      </w:r>
      <w:r w:rsidR="003A74B2" w:rsidRPr="0068601A">
        <w:t xml:space="preserve"> were computed by</w:t>
      </w:r>
      <w:r w:rsidR="00B608BA">
        <w:t xml:space="preserve"> sub</w:t>
      </w:r>
      <w:r w:rsidR="003A74B2">
        <w:t>tracting, for each trial, the amplitude at the electrode ipsilateral to the responding hand from that at the contralat</w:t>
      </w:r>
      <w:r w:rsidR="0068601A">
        <w:t xml:space="preserve">eral electrode, </w:t>
      </w:r>
      <w:r w:rsidR="009769C6">
        <w:t xml:space="preserve">mu–beta amplitude and current source density </w:t>
      </w:r>
      <w:r w:rsidR="0068601A">
        <w:t>signals</w:t>
      </w:r>
      <w:r w:rsidR="003A74B2">
        <w:t>, respectively.</w:t>
      </w:r>
      <w:r w:rsidR="00C23E84">
        <w:t xml:space="preserve"> </w:t>
      </w:r>
    </w:p>
    <w:p w14:paraId="6A7D5FF9" w14:textId="77777777" w:rsidR="00205CBC" w:rsidRDefault="00000000">
      <w:r>
        <w:rPr>
          <w:color w:val="FF0000"/>
        </w:rPr>
        <w:t xml:space="preserve">The model specifies the neural drive transmitted to the response muscles, so the EMG-derived measures have explicit model counterparts; it does not specify a forward observation model relating its motor-preparatory variables to scalp potentials or spectral amplitude, so the EEG </w:t>
      </w:r>
      <w:r>
        <w:rPr>
          <w:color w:val="FF0000"/>
        </w:rPr>
        <w:lastRenderedPageBreak/>
        <w:t>measures were used to constrain the temporal organization of motor preparation qualitatively rather than to classify parameterizations numerically.</w:t>
      </w:r>
    </w:p>
    <w:p w14:paraId="66D7BCF4" w14:textId="77777777" w:rsidR="003A0E94" w:rsidRPr="00AA2B02" w:rsidRDefault="00E15A9D" w:rsidP="003A0E94">
      <w:pPr>
        <w:pStyle w:val="Titre3"/>
      </w:pPr>
      <w:r w:rsidRPr="00AA2B02">
        <w:t>Statistical Analysis</w:t>
      </w:r>
    </w:p>
    <w:p w14:paraId="7D78D340" w14:textId="77777777" w:rsidR="006B503C" w:rsidRPr="006B503C" w:rsidRDefault="008029D3" w:rsidP="003D3C12">
      <w:pPr>
        <w:ind w:firstLine="708"/>
        <w:rPr>
          <w:color w:val="1F4E9E"/>
        </w:rPr>
      </w:pPr>
      <w:r w:rsidRPr="00AA2B02">
        <w:rPr>
          <w:bCs/>
          <w:iCs/>
        </w:rPr>
        <w:t>B</w:t>
      </w:r>
      <w:r w:rsidR="00DE3106" w:rsidRPr="00AA2B02">
        <w:rPr>
          <w:bCs/>
          <w:iCs/>
        </w:rPr>
        <w:t>ehavioral, EMG</w:t>
      </w:r>
      <w:r w:rsidRPr="00AA2B02">
        <w:rPr>
          <w:bCs/>
          <w:iCs/>
        </w:rPr>
        <w:t>,</w:t>
      </w:r>
      <w:r w:rsidR="00DE3106" w:rsidRPr="00AA2B02">
        <w:rPr>
          <w:bCs/>
          <w:iCs/>
        </w:rPr>
        <w:t xml:space="preserve"> and EEG data were analyzed using </w:t>
      </w:r>
      <w:r w:rsidR="00DE3106" w:rsidRPr="00AA2B02">
        <w:t>repeated-measures ANOVAs</w:t>
      </w:r>
      <w:r w:rsidR="001873CD" w:rsidRPr="00AA2B02">
        <w:t>, with the significance threshold set at α = .05</w:t>
      </w:r>
      <w:r w:rsidR="00DE3106" w:rsidRPr="00AA2B02">
        <w:t>. The spher</w:t>
      </w:r>
      <w:r w:rsidRPr="00AA2B02">
        <w:t>icity assumption was evaluated using</w:t>
      </w:r>
      <w:r w:rsidR="00DE3106" w:rsidRPr="00AA2B02">
        <w:t xml:space="preserve"> Mauchly’s test</w:t>
      </w:r>
      <w:r w:rsidR="004E5366" w:rsidRPr="00AA2B02">
        <w:t>,</w:t>
      </w:r>
      <w:r w:rsidR="00DE3106" w:rsidRPr="00AA2B02">
        <w:t xml:space="preserve"> and</w:t>
      </w:r>
      <w:r w:rsidRPr="00AA2B02">
        <w:t xml:space="preserve"> violations were corrected with</w:t>
      </w:r>
      <w:r w:rsidR="00DE3106" w:rsidRPr="00AA2B02">
        <w:t xml:space="preserve"> the Greenhouse</w:t>
      </w:r>
      <w:r w:rsidR="00CD7B25" w:rsidRPr="00AA2B02">
        <w:t>-</w:t>
      </w:r>
      <w:r w:rsidR="00DE3106" w:rsidRPr="00AA2B02">
        <w:t>Geisser procedure.</w:t>
      </w:r>
      <w:r w:rsidR="004E5366" w:rsidRPr="00AA2B02">
        <w:t xml:space="preserve"> </w:t>
      </w:r>
      <w:r w:rsidR="00CF0146" w:rsidRPr="00AA2B02">
        <w:rPr>
          <w:bCs/>
          <w:iCs/>
        </w:rPr>
        <w:t xml:space="preserve">To maximize statistical power, </w:t>
      </w:r>
      <w:r w:rsidR="00E8641E" w:rsidRPr="00AA2B02">
        <w:rPr>
          <w:bCs/>
          <w:iCs/>
        </w:rPr>
        <w:t>analyses included</w:t>
      </w:r>
      <w:r w:rsidR="00A83883" w:rsidRPr="00AA2B02">
        <w:rPr>
          <w:bCs/>
          <w:iCs/>
        </w:rPr>
        <w:t xml:space="preserve"> </w:t>
      </w:r>
      <w:r w:rsidR="00CF0146" w:rsidRPr="00AA2B02">
        <w:rPr>
          <w:bCs/>
          <w:iCs/>
        </w:rPr>
        <w:t>bo</w:t>
      </w:r>
      <w:r w:rsidR="00E8641E" w:rsidRPr="00AA2B02">
        <w:rPr>
          <w:bCs/>
          <w:iCs/>
        </w:rPr>
        <w:t>th correct and incorrect trials; a</w:t>
      </w:r>
      <w:r w:rsidR="00CF0146" w:rsidRPr="00AA2B02">
        <w:rPr>
          <w:bCs/>
          <w:iCs/>
        </w:rPr>
        <w:t xml:space="preserve">nalyses </w:t>
      </w:r>
      <w:r w:rsidR="00E8641E" w:rsidRPr="00AA2B02">
        <w:rPr>
          <w:bCs/>
          <w:iCs/>
        </w:rPr>
        <w:t>restricted</w:t>
      </w:r>
      <w:r w:rsidR="00A83883" w:rsidRPr="00AA2B02">
        <w:rPr>
          <w:bCs/>
          <w:iCs/>
        </w:rPr>
        <w:t xml:space="preserve"> to correct trials yielded</w:t>
      </w:r>
      <w:r w:rsidR="00CF0146" w:rsidRPr="00AA2B02">
        <w:rPr>
          <w:bCs/>
          <w:iCs/>
        </w:rPr>
        <w:t xml:space="preserve"> </w:t>
      </w:r>
      <w:r w:rsidR="00A83883" w:rsidRPr="00AA2B02">
        <w:rPr>
          <w:bCs/>
          <w:iCs/>
        </w:rPr>
        <w:t>comparable</w:t>
      </w:r>
      <w:r w:rsidR="00CF0146" w:rsidRPr="00AA2B02">
        <w:rPr>
          <w:bCs/>
          <w:iCs/>
        </w:rPr>
        <w:t xml:space="preserve"> results. </w:t>
      </w:r>
      <w:r w:rsidR="00E8641E" w:rsidRPr="00AA2B02">
        <w:rPr>
          <w:bCs/>
          <w:iCs/>
        </w:rPr>
        <w:t>ANOVAs</w:t>
      </w:r>
      <w:r w:rsidR="00E200A4" w:rsidRPr="00AA2B02">
        <w:rPr>
          <w:bCs/>
          <w:iCs/>
        </w:rPr>
        <w:t xml:space="preserve"> on r</w:t>
      </w:r>
      <w:r w:rsidR="00DE3106" w:rsidRPr="00AA2B02">
        <w:rPr>
          <w:bCs/>
          <w:iCs/>
        </w:rPr>
        <w:t>esponse accuracy, mean RT, m</w:t>
      </w:r>
      <w:r w:rsidR="004C536B">
        <w:rPr>
          <w:bCs/>
          <w:iCs/>
        </w:rPr>
        <w:t>ean pre-motor execution time</w:t>
      </w:r>
      <w:r w:rsidR="00E8641E" w:rsidRPr="00AA2B02">
        <w:rPr>
          <w:bCs/>
          <w:iCs/>
        </w:rPr>
        <w:t>,</w:t>
      </w:r>
      <w:r w:rsidR="004C536B">
        <w:rPr>
          <w:bCs/>
          <w:iCs/>
        </w:rPr>
        <w:t xml:space="preserve"> and mean motor execution time</w:t>
      </w:r>
      <w:r w:rsidR="005F072A" w:rsidRPr="00AA2B02">
        <w:rPr>
          <w:bCs/>
          <w:iCs/>
        </w:rPr>
        <w:t xml:space="preserve"> </w:t>
      </w:r>
      <w:r w:rsidR="007A0E15" w:rsidRPr="00AA2B02">
        <w:rPr>
          <w:bCs/>
          <w:iCs/>
        </w:rPr>
        <w:t>included</w:t>
      </w:r>
      <w:r w:rsidR="005F072A" w:rsidRPr="00AA2B02">
        <w:t xml:space="preserve"> motion coherence and </w:t>
      </w:r>
      <w:r w:rsidR="00E8641E" w:rsidRPr="00AA2B02">
        <w:t xml:space="preserve">motion </w:t>
      </w:r>
      <w:r w:rsidR="005F072A" w:rsidRPr="00AA2B02">
        <w:t xml:space="preserve">duration as factors. </w:t>
      </w:r>
      <w:r w:rsidR="006B503C" w:rsidRPr="006B503C">
        <w:rPr>
          <w:color w:val="FF0000"/>
        </w:rPr>
        <w:t xml:space="preserve">ANOVAs on partial motor activation rate included motion coherence, motion duration, and time bin as factors </w:t>
      </w:r>
      <w:r w:rsidR="005F4EA9" w:rsidRPr="00AA2B02"/>
      <w:r w:rsidR="005F4EA9" w:rsidRPr="00AA2B02">
        <w:rPr>
          <w:color w:val="1F4E9E"/>
        </w:rPr>
        <w:t>and were conducted separately across four periods of interest, allowing each period to be assessed against the corresponding model prediction (Results).</w:t>
      </w:r>
      <w:r w:rsidR="00E8641E" w:rsidRPr="00AA2B02"/>
      <w:r w:rsidR="005F4EA9" w:rsidRPr="00AA2B02"/>
      <w:r w:rsidR="0029030C" w:rsidRPr="00AA2B02"/>
      <w:r w:rsidR="005F4EA9" w:rsidRPr="00AA2B02"/>
      <w:r w:rsidR="00E8641E" w:rsidRPr="00AA2B02"/>
      <w:r w:rsidR="007A0E15" w:rsidRPr="00AA2B02"/>
      <w:r w:rsidR="00E8641E" w:rsidRPr="00AA2B02"/>
      <w:r w:rsidR="00C8494D" w:rsidRPr="00AA2B02"/>
      <w:r w:rsidR="007A0E15" w:rsidRPr="00AA2B02"/>
      <w:r w:rsidR="00C8494D" w:rsidRPr="00AA2B02"/>
      <w:r w:rsidR="00357123" w:rsidRPr="00AA2B02"/>
      <w:r w:rsidR="00C8494D" w:rsidRPr="00AA2B02"/>
      <w:r w:rsidR="00E8641E" w:rsidRPr="00AA2B02">
        <w:t xml:space="preserve"> E</w:t>
      </w:r>
      <w:r w:rsidR="00C8494D" w:rsidRPr="00AA2B02">
        <w:t xml:space="preserve">ach period was </w:t>
      </w:r>
      <w:r w:rsidR="005F4EA9" w:rsidRPr="00AA2B02">
        <w:t xml:space="preserve">time-locked </w:t>
      </w:r>
      <w:r w:rsidR="0029030C" w:rsidRPr="00AA2B02">
        <w:t xml:space="preserve">to one of the four </w:t>
      </w:r>
      <w:r w:rsidR="00E8641E" w:rsidRPr="00AA2B02">
        <w:t xml:space="preserve">main </w:t>
      </w:r>
      <w:r w:rsidR="0029030C" w:rsidRPr="00AA2B02">
        <w:t xml:space="preserve">events </w:t>
      </w:r>
      <w:r w:rsidR="007A0E15" w:rsidRPr="00AA2B02">
        <w:t>with</w:t>
      </w:r>
      <w:r w:rsidR="0029030C" w:rsidRPr="00AA2B02">
        <w:t xml:space="preserve">in a trial: </w:t>
      </w:r>
      <w:r w:rsidR="005F4EA9" w:rsidRPr="00AA2B02">
        <w:t xml:space="preserve">stimulus onset, stimulus offset, RS onset, and the response. </w:t>
      </w:r>
      <w:r w:rsidR="00E8641E" w:rsidRPr="00AA2B02">
        <w:t xml:space="preserve">The stimulus-onset-locked </w:t>
      </w:r>
      <w:r w:rsidR="00C8494D" w:rsidRPr="00AA2B02">
        <w:t>analysis covered the 2</w:t>
      </w:r>
      <w:r w:rsidR="000641F5" w:rsidRPr="00AA2B02">
        <w:t xml:space="preserve"> </w:t>
      </w:r>
      <w:r w:rsidR="00E8641E" w:rsidRPr="00AA2B02">
        <w:t>s following stimulus onset</w:t>
      </w:r>
      <w:r w:rsidR="00BF5617" w:rsidRPr="00AA2B02">
        <w:t xml:space="preserve"> (20 time bins)</w:t>
      </w:r>
      <w:r w:rsidR="00C8494D" w:rsidRPr="00AA2B02">
        <w:t xml:space="preserve">. </w:t>
      </w:r>
      <w:r w:rsidR="00E8641E" w:rsidRPr="00AA2B02">
        <w:t>The stimulus-offset-locked analysis covered the interval from 1 to 3 s after stimulus offset (20 time bins), to avoid</w:t>
      </w:r>
      <w:r w:rsidR="006B503C">
        <w:t xml:space="preserve"> potentially</w:t>
      </w:r>
      <w:r w:rsidR="00E8641E" w:rsidRPr="00AA2B02">
        <w:t xml:space="preserve"> redundant inclusion of motion-evidence accumulation in the 0.3 s duration condition. The RS-onset-locked analysis covered the 0.2 s following RS onset (2 time bins), ensuring equal trial counts across bins. Finally, the response-locked analysis focused on the 0.2 s preceding the button press (2 time bins)</w:t>
      </w:r>
      <w:r w:rsidR="00BF5617" w:rsidRPr="00AA2B02">
        <w:t>.</w:t>
      </w:r>
      <w:r w:rsidR="00804C22" w:rsidRPr="00AA2B02">
        <w:t xml:space="preserve"> </w:t>
      </w:r>
      <w:r w:rsidR="008F6F0E" w:rsidRPr="00AA2B02">
        <w:t>In what follows, we</w:t>
      </w:r>
      <w:r w:rsidR="00B54B72" w:rsidRPr="00AA2B02">
        <w:t xml:space="preserve"> refer to </w:t>
      </w:r>
      <w:r w:rsidR="00E8641E" w:rsidRPr="00AA2B02">
        <w:t xml:space="preserve">these four analysis windows </w:t>
      </w:r>
      <w:r w:rsidR="00B54B72" w:rsidRPr="00AA2B02">
        <w:t xml:space="preserve">as the </w:t>
      </w:r>
      <w:r w:rsidR="00B54B72" w:rsidRPr="00AA2B02">
        <w:rPr>
          <w:i/>
        </w:rPr>
        <w:t>stimulus</w:t>
      </w:r>
      <w:r w:rsidR="00B54B72" w:rsidRPr="00AA2B02">
        <w:t xml:space="preserve">, </w:t>
      </w:r>
      <w:r w:rsidR="00B54B72" w:rsidRPr="00AA2B02">
        <w:rPr>
          <w:i/>
        </w:rPr>
        <w:t>delay</w:t>
      </w:r>
      <w:r w:rsidR="00B54B72" w:rsidRPr="00AA2B02">
        <w:t xml:space="preserve">, </w:t>
      </w:r>
      <w:r w:rsidR="00B54B72" w:rsidRPr="00AA2B02">
        <w:rPr>
          <w:i/>
        </w:rPr>
        <w:t>RS</w:t>
      </w:r>
      <w:r w:rsidR="00B54B72" w:rsidRPr="00AA2B02">
        <w:t xml:space="preserve">, and </w:t>
      </w:r>
      <w:r w:rsidR="00B54B72" w:rsidRPr="00AA2B02">
        <w:rPr>
          <w:i/>
        </w:rPr>
        <w:t>response</w:t>
      </w:r>
      <w:r w:rsidR="00B54B72" w:rsidRPr="00AA2B02">
        <w:t xml:space="preserve"> </w:t>
      </w:r>
      <w:r w:rsidR="00B54B72" w:rsidRPr="00AA2B02">
        <w:rPr>
          <w:i/>
        </w:rPr>
        <w:t>periods</w:t>
      </w:r>
      <w:r w:rsidR="00B54B72" w:rsidRPr="00AA2B02">
        <w:t xml:space="preserve">. </w:t>
      </w:r>
      <w:r w:rsidR="006B503C" w:rsidRPr="006B503C">
        <w:rPr>
          <w:color w:val="FF0000"/>
        </w:rPr>
        <w:t xml:space="preserve">For consistency across neurophysiological measures, </w:t>
      </w:r>
      <w:r w:rsidR="005031EB" w:rsidRPr="005031EB">
        <w:rPr>
          <w:color w:val="FF0000"/>
        </w:rPr>
        <w:t>the lateralized readiness potential</w:t>
      </w:r>
      <w:r w:rsidR="006B503C" w:rsidRPr="006B503C">
        <w:t xml:space="preserve"> and </w:t>
      </w:r>
      <w:r w:rsidR="005031EB" w:rsidRPr="005031EB">
        <w:rPr>
          <w:color w:val="FF0000"/>
        </w:rPr>
        <w:t>mu–beta-band spectral amplitude lateralization</w:t>
      </w:r>
      <w:r w:rsidR="006B503C" w:rsidRPr="006B503C">
        <w:rPr>
          <w:color w:val="FF0000"/>
        </w:rPr>
        <w:t xml:space="preserve"> were analyzed using the same 0.1-s temporal grid, with mean signal amplitude as the dependent variable in each bin.</w:t>
      </w:r>
      <w:r w:rsidR="005031EB">
        <w:t xml:space="preserve"> </w:t>
      </w:r>
      <w:r w:rsidR="005031EB" w:rsidRPr="005031EB">
        <w:rPr>
          <w:color w:val="FF0000"/>
        </w:rPr>
        <w:t xml:space="preserve">For mu–beta-band spectral amplitude lateralization, spectral amplitude was estimated every 0.1 s using a 0.3-s sliding window, so the 0.1-s </w:t>
      </w:r>
      <w:r w:rsidR="005031EB" w:rsidRPr="005031EB">
        <w:rPr>
          <w:color w:val="FF0000"/>
        </w:rPr>
        <w:lastRenderedPageBreak/>
        <w:t>temporal grid preserved all available time points.</w:t>
      </w:r>
      <w:r w:rsidR="005031EB">
        <w:t xml:space="preserve"> </w:t>
      </w:r>
      <w:r w:rsidR="005031EB" w:rsidRPr="005031EB">
        <w:rPr>
          <w:color w:val="FF0000"/>
        </w:rPr>
        <w:t xml:space="preserve">For the </w:t>
      </w:r>
      <w:r w:rsidR="00C26B06" w:rsidRPr="00C26B06">
        <w:rPr>
          <w:color w:val="FF0000"/>
        </w:rPr>
        <w:t>lateralized readiness potential</w:t>
      </w:r>
      <w:r w:rsidR="005031EB" w:rsidRPr="005031EB">
        <w:rPr>
          <w:color w:val="FF0000"/>
        </w:rPr>
        <w:t>, averaging within 0.1-s bins reduced the native temporal resolution of the signal but retained a resolution substantially finer than the task periods examined here.</w:t>
      </w:r>
    </w:p>
    <w:p w14:paraId="1F4D2CB2" w14:textId="77777777" w:rsidR="00205CBC" w:rsidRDefault="00000000">
      <w:r>
        <w:rPr>
          <w:color w:val="1F4E9E"/>
        </w:rPr>
        <w:t>Because the time-bin factor in these ANOVAs has as many as 20 levels, its F test establishes only that a measure differs across bins — not that the measure ramps, and still less that it ramps at a rate depending on coherence or duration. It is in any case a poorly behaved test here: the Greenhouse–Geisser epsilon for the time-bin factor is 0.14. We therefore decomposed that factor into orthogonal polynomial contrasts.</w:t>
      </w:r>
    </w:p>
    <w:p w14:paraId="6EB87876" w14:textId="77777777" w:rsidR="00205CBC" w:rsidRDefault="00000000">
      <w:r>
        <w:rPr>
          <w:color w:val="1F4E9E"/>
        </w:rPr>
        <w:t>For each participant and each of the six coherence × duration cells we computed a linear contrast on the bin means, reported throughout as the ordinary-least-squares slope of the measure against time in units per second — the same contrast, rescaled so that the coefficient reads as a rate of change — and, wherever a period contained three or more bins, a quadratic contrast. Each contrast was entered as a single score into its own duration × coherence repeated-measures ANOVA, so that each is tested against its own error term rather than against an error term pooled across components. A one-degree-of-freedom contrast tested in this way needs no sphericity correction; Greenhouse–Geisser correction was applied to the three-level coherence factor throughout, which is why contrasts crossed with coherence carry fractional degrees of freedom in Tables S2–S3. The quadratic contrast is reported alongside the linear one because mu–beta lateralization during the stimulus period is non-monotone, rising over roughly the first second and then flattening, so a linear test alone would misclassify it as null. Full results for every measure and period are in Tables S2–S3; analyses were conducted in R using the afex and emmeans packages. For delay-period partial-activation rate specifically, this analysis is further complemented by a fully unbinned, point-process analysis of exact activation onset times (Table S5). That restriction to the delay is deliberate: the stimulus-period rate reflects the commitment-time distribution convolved with post-commitment dynamics rather than a stationary process, so a time-homogeneous point-process intensity is misspecified there on the theory's own terms, whereas the delay-period rate is not subject to this problem.</w:t>
      </w:r>
    </w:p>
    <w:p w14:paraId="35F231DE" w14:textId="77777777" w:rsidR="00205CBC" w:rsidRDefault="00000000">
      <w:r>
        <w:rPr>
          <w:color w:val="1F4E9E"/>
        </w:rPr>
        <w:t>The response period's final 0.1-s bin (–0.1 to 0 s before the response) is, by construction, exactly zero for every participant and condition, because a partial activation is by definition an activation that precedes the response-producing burst, and that burst begins on average about 160 ms before the button press. Because one of the period's two bins is structurally uninformative, the response period is analyzed on its single informative bin (–0.2 to –0.1 s) rather than as a two-bin time series.</w:t>
      </w:r>
    </w:p>
    <w:p w14:paraId="276FD3D0" w14:textId="77777777" w:rsidR="00064E47" w:rsidRPr="00EC6BF3" w:rsidRDefault="00064E47" w:rsidP="005A7DA5">
      <w:pPr>
        <w:spacing w:after="0"/>
        <w:rPr>
          <w:color w:val="1F4E9E"/>
        </w:rPr>
      </w:pPr>
    </w:p>
    <w:p w14:paraId="0F6CA92D" w14:textId="77777777" w:rsidR="00205CBC" w:rsidRDefault="00000000">
      <w:pPr>
        <w:pStyle w:val="Titre2"/>
      </w:pPr>
      <w:r>
        <w:rPr>
          <w:color w:val="1F4E9E"/>
        </w:rPr>
        <w:t>Theory</w:t>
      </w:r>
    </w:p>
    <w:p w14:paraId="42571476" w14:textId="77777777" w:rsidR="00CF7AC6" w:rsidRDefault="00C873DD" w:rsidP="00902EC4">
      <w:pPr>
        <w:rPr>
          <w:color w:val="1F4E9E"/>
        </w:rPr>
      </w:pPr>
      <w:r w:rsidRPr="00A0125B">
        <w:tab/>
      </w:r>
      <w:r w:rsidR="00CF7AC6" w:rsidRPr="00CF7AC6">
        <w:rPr>
          <w:color w:val="FF0000"/>
        </w:rPr>
        <w:t xml:space="preserve">We formalized the delayed-report account by extending recent evidence-accumulation models linking decision formation and motor preparation in immediate-report tasks </w:t>
      </w:r>
      <w:r w:rsidR="00CF7AC6" w:rsidRPr="00CF7AC6">
        <w:rPr>
          <w:color w:val="1F4E9E"/>
        </w:rPr>
        <w:fldChar w:fldCharType="begin"/>
      </w:r>
      <w:r w:rsidR="00FE1AE4">
        <w:rPr>
          <w:color w:val="1F4E9E"/>
        </w:rPr>
        <w:instrText xml:space="preserve"> ADDIN ZOTERO_ITEM CSL_CITATION {"citationID":"ICTPMlP1","properties":{"unsorted":false,"formattedCitation":"(Balsdon et al., 2023; Dendauw et al., 2024; Verdonck et al., 2020)","plainCitation":"(Balsdon et al., 2023; Dendauw et al., 2024; Verdonck et al., 2020)","noteIndex":0},"citationItems":[{"id":14313,"uris":["http://zotero.org/users/5679506/items/UUKX7Q24"],"itemData":{"id":14313,"type":"article-journal","abstract":"Sensorimotor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Biol","language":"eng","page":"e3002200","PMID":"37459392","PMCID":"PMC10393169","source":"PubMed","title":"Secondary motor integration as a final arbiter in sensorimotor decision-making","volume":"21","author":[{"family":"Balsdon","given":"Tarryn"},{"family":"Verdonck","given":"Stijn"},{"family":"Loossens","given":"Tim"},{"family":"Philiastides","given":"Marios G."}],"issued":{"date-parts":[["2023",7]]}}},{"id":"5Dh8hY9n/VjrPfJqm","uris":["http://zotero.org/users/5679506/items/83Q7PQC7"],"itemData":{"id":"CkWD7LWu/YYJD91gK","type":"article-journal","abstract":"This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1330,"uris":["http://zotero.org/users/5679506/items/Z2RXCRH2"],"itemData":{"id":1330,"type":"article-journal","abstract":"A common assumption in choice response time (RT) modeling is that after evidence accumulation reaches a certain decision threshold, the choice is categorically communicated to the motor system that then executes the response. However, neurophysiological findings suggest that motor preparation partly overlaps with evidence accumulation, and is not independent from stimulus difficulty level. We propose to model this entanglement by changing the nature of the decision criterion from a simple threshold to an actual process. More specifically, we propose a secondary, motor preparation related, leaky accumulation process that takes the accumulated evidence of the original decision process as a continuous input, and triggers the actual response when it reaches its own threshold. We analytically develop this Leaky Integrating Threshold (LIT), applying it to a simple constant drift diffusion model, and show how its parameters can be estimated with the D*M method. Reanalyzing 3 different data sets, the LIT extension is shown to outperform a standard drift diffusion model using multiple statistical approaches. Further, the LIT leak parameter is shown to be better at explaining the speed/accuracy trade-off manipulation than the commonly used boundary separation parameter. These improvements can also be verified using traditional diffusion model analyses, for which the LIT predicts the violation of several common selective parameter influence assumptions. These predictions are consistent with what is found in the data and with what is reported experimentally in the literature. Crucially, this work offers a new benchmark against which to compare neural data to offer neurobiological validation for the proposed processes. (PsycInfo Database Record (c) 2020 APA, all rights reserved).","container-title":"Psychological Review","DOI":"10.1037/rev0000258","ISSN":"1939-1471","journalAbbreviation":"Psychol Rev","language":"eng","PMID":"32915011","source":"PubMed","title":"The Leaky Integrating Threshold and its impact on evidence accumulation models of choice response time (RT)","author":[{"family":"Verdonck","given":"Stijn"},{"family":"Loossens","given":"Tim"},{"family":"Philiastides","given":"Marios G."}],"issued":{"date-parts":[["2020",9,10]]}}}],"schema":"https://github.com/citation-style-language/schema/raw/master/csl-citation.json"} </w:instrText>
      </w:r>
      <w:r w:rsidR="00CF7AC6" w:rsidRPr="00CF7AC6">
        <w:rPr>
          <w:color w:val="1F4E9E"/>
        </w:rPr>
        <w:fldChar w:fldCharType="separate"/>
      </w:r>
      <w:r w:rsidR="00CF7AC6" w:rsidRPr="002E6538">
        <w:rPr>
          <w:color w:val="FF0000"/>
        </w:rPr>
        <w:t>(Balsdon et al., 2023; Dendauw et al., 2024; Verdonck et al., 2020)</w:t>
      </w:r>
      <w:r w:rsidR="00CF7AC6" w:rsidRPr="00CF7AC6">
        <w:rPr>
          <w:color w:val="1F4E9E"/>
        </w:rPr>
        <w:fldChar w:fldCharType="end"/>
      </w:r>
      <w:r w:rsidR="001A5A17" w:rsidRPr="002E6538">
        <w:rPr>
          <w:color w:val="1F4E9E"/>
        </w:rPr>
        <w:t>.</w:t>
      </w:r>
      <w:r w:rsidR="005C0DAE" w:rsidRPr="002E6538">
        <w:t xml:space="preserve"> </w:t>
      </w:r>
      <w:r w:rsidR="00052AD4" w:rsidRPr="00052AD4">
        <w:rPr>
          <w:color w:val="FF0000"/>
        </w:rPr>
        <w:t>We first present the architecture inherited from this class of models in the context of random-dot motion discrimination, before specifying the mechanisms added to accommodate delayed report.</w:t>
      </w:r>
      <w:r w:rsidR="00052AD4">
        <w:t xml:space="preserve"> </w:t>
      </w:r>
      <w:r w:rsidR="00052AD4" w:rsidRPr="00052AD4">
        <w:rPr>
          <w:color w:val="1F4E9E"/>
        </w:rPr>
        <w:t>Throughout t</w:t>
      </w:r>
      <w:r w:rsidR="00D348B6">
        <w:rPr>
          <w:color w:val="FF0000"/>
        </w:rPr>
        <w:t xml:space="preserve">he following description, time </w:t>
      </w:r>
      <w:r w:rsidR="00052AD4" w:rsidRPr="00052AD4">
        <w:rPr>
          <w:i/>
          <w:color w:val="1F4E9E"/>
        </w:rPr>
        <w:t>t</w:t>
      </w:r>
      <w:r w:rsidR="00052AD4" w:rsidRPr="00052AD4">
        <w:rPr>
          <w:color w:val="FF0000"/>
        </w:rPr>
        <w:t xml:space="preserve"> is measured from physical stimulus onset.</w:t>
      </w:r>
    </w:p>
    <w:p w14:paraId="21B8B9AD" w14:textId="77777777" w:rsidR="00052AD4" w:rsidRDefault="00052AD4" w:rsidP="00902EC4">
      <w:pPr>
        <w:pStyle w:val="Titre3"/>
        <w:rPr>
          <w:color w:val="1F4E9E"/>
        </w:rPr>
      </w:pPr>
      <w:r w:rsidRPr="00052AD4">
        <w:rPr>
          <w:color w:val="FF0000"/>
        </w:rPr>
        <w:t>Architecture inherited from immediate-report models</w:t>
      </w:r>
    </w:p>
    <w:p w14:paraId="46B7EE46" w14:textId="77777777" w:rsidR="005C0DAE" w:rsidRDefault="00052AD4" w:rsidP="00902EC4">
      <w:pPr>
        <w:rPr>
          <w:color w:val="1F4E9E"/>
        </w:rPr>
      </w:pPr>
      <w:r>
        <w:t xml:space="preserve"> </w:t>
      </w:r>
      <w:r>
        <w:tab/>
      </w:r>
      <w:r w:rsidRPr="00052AD4">
        <w:rPr>
          <w:color w:val="1F4E9E"/>
        </w:rPr>
        <w:t xml:space="preserve">In this class </w:t>
      </w:r>
      <w:r>
        <w:rPr>
          <w:color w:val="FF0000"/>
        </w:rPr>
        <w:t xml:space="preserve">of models, a decision variable </w:t>
      </w:r>
      <w:r w:rsidRPr="00052AD4">
        <w:rPr>
          <w:i/>
          <w:color w:val="1F4E9E"/>
        </w:rPr>
        <w:t>x(t)</w:t>
      </w:r>
      <w:r w:rsidRPr="00052AD4">
        <w:rPr>
          <w:color w:val="FF0000"/>
        </w:rPr>
        <w:t xml:space="preserve"> represents accumulated evidence for the two motion alternatives. Following a fi</w:t>
      </w:r>
      <w:r>
        <w:rPr>
          <w:color w:val="1F4E9E"/>
        </w:rPr>
        <w:t xml:space="preserve">xed </w:t>
      </w:r>
      <w:r w:rsidR="00E214A1">
        <w:t xml:space="preserve">motion-evidence </w:t>
      </w:r>
      <w:r w:rsidR="0066575E">
        <w:rPr>
          <w:color w:val="FF0000"/>
        </w:rPr>
        <w:t xml:space="preserve">encoding latency </w:t>
      </w:r>
      <w:r w:rsidR="004B30B9">
        <w:rPr>
          <w:color w:val="1F4E9E"/>
        </w:rPr>
        <w:t xml:space="preserve">(parameter </w:t>
      </w:r>
      <w:proofErr w:type="spellStart"/>
      <w:r w:rsidR="00F21870">
        <w:rPr>
          <w:i/>
          <w:color w:val="1F4E9E"/>
        </w:rPr>
        <w:t>L</w:t>
      </w:r>
      <w:r w:rsidR="0066575E" w:rsidRPr="008D3E7A">
        <w:rPr>
          <w:color w:val="1F4E9E"/>
          <w:vertAlign w:val="subscript"/>
        </w:rPr>
        <w:t>motion</w:t>
      </w:r>
      <w:proofErr w:type="spellEnd"/>
      <w:r w:rsidR="004B30B9">
        <w:rPr>
          <w:color w:val="1F4E9E"/>
        </w:rPr>
        <w:t>)</w:t>
      </w:r>
      <w:r w:rsidRPr="00052AD4">
        <w:rPr>
          <w:color w:val="FF0000"/>
        </w:rPr>
        <w:t>, it evolves according to</w:t>
      </w:r>
      <w:r>
        <w:rPr>
          <w:color w:val="1F4E9E"/>
        </w:rPr>
        <w:t>:</w:t>
      </w:r>
    </w:p>
    <w:p w14:paraId="193CD7C3" w14:textId="77777777" w:rsidR="00052AD4" w:rsidRPr="00907F07" w:rsidRDefault="00000000" w:rsidP="00902EC4">
      <w:pPr>
        <w:rPr>
          <w:color w:val="1F4E9E"/>
        </w:rPr>
      </w:pPr>
      <m:oMathPara>
        <m:oMath>
          <m:eqArr>
            <m:eqArrPr>
              <m:maxDist m:val="1"/>
              <m:ctrlPr>
                <w:rPr>
                  <w:rFonts w:ascii="Cambria Math" w:hAnsi="Cambria Math"/>
                  <w:i/>
                  <w:color w:val="1F4E9E"/>
                  <w:vertAlign w:val="subscript"/>
                </w:rPr>
              </m:ctrlPr>
            </m:eqArrPr>
            <m:e>
              <m:r>
                <w:rPr>
                  <w:rFonts w:ascii="Cambria Math" w:eastAsia="Cambria" w:hAnsi="Cambria Math" w:cs="Cambria"/>
                  <w:color w:val="1F4E9E"/>
                </w:rPr>
                <m:t>dx</m:t>
              </m:r>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=(skc)dt+</m:t>
              </m:r>
              <m:sSub>
                <m:sSubPr>
                  <m:ctrlPr>
                    <w:rPr>
                      <w:rFonts w:ascii="Cambria Math" w:eastAsia="Cambria" w:hAnsi="Cambria Math" w:cs="Cambria"/>
                      <w:i/>
                      <w:color w:val="1F4E9E"/>
                    </w:rPr>
                  </m:ctrlPr>
                </m:sSubPr>
                <m:e>
                  <m:r>
                    <w:rPr>
                      <w:rFonts w:ascii="Cambria Math" w:eastAsia="Cambria" w:hAnsi="Cambria Math" w:cs="Cambria"/>
                      <w:color w:val="1F4E9E"/>
                    </w:rPr>
                    <m:t>σ</m:t>
                  </m:r>
                </m:e>
                <m:sub>
                  <m:r>
                    <w:rPr>
                      <w:rFonts w:ascii="Cambria Math" w:eastAsia="Cambria" w:hAnsi="Cambria Math" w:cs="Cambria"/>
                      <w:color w:val="1F4E9E"/>
                    </w:rPr>
                    <m:t>x</m:t>
                  </m:r>
                </m:sub>
              </m:sSub>
              <m:r>
                <w:rPr>
                  <w:rFonts w:ascii="Cambria Math" w:eastAsia="Cambria" w:hAnsi="Cambria Math" w:cs="Cambria"/>
                  <w:color w:val="1F4E9E"/>
                </w:rPr>
                <m:t>d</m:t>
              </m:r>
              <m:sSub>
                <m:sSubPr>
                  <m:ctrlPr>
                    <w:rPr>
                      <w:rFonts w:ascii="Cambria Math" w:eastAsia="Cambria" w:hAnsi="Cambria Math" w:cs="Cambria"/>
                      <w:i/>
                      <w:color w:val="1F4E9E"/>
                    </w:rPr>
                  </m:ctrlPr>
                </m:sSubPr>
                <m:e>
                  <m:r>
                    <w:rPr>
                      <w:rFonts w:ascii="Cambria Math" w:eastAsia="Cambria" w:hAnsi="Cambria Math" w:cs="Cambria"/>
                      <w:color w:val="1F4E9E"/>
                    </w:rPr>
                    <m:t>W</m:t>
                  </m:r>
                </m:e>
                <m:sub>
                  <m:r>
                    <w:rPr>
                      <w:rFonts w:ascii="Cambria Math" w:eastAsia="Cambria" w:hAnsi="Cambria Math" w:cs="Cambria"/>
                      <w:color w:val="1F4E9E"/>
                    </w:rPr>
                    <m:t>x</m:t>
                  </m:r>
                </m:sub>
              </m:sSub>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        x</m:t>
              </m:r>
              <m:d>
                <m:dPr>
                  <m:ctrlPr>
                    <w:rPr>
                      <w:rFonts w:ascii="Cambria Math" w:eastAsia="Cambria" w:hAnsi="Cambria Math" w:cs="Cambria"/>
                      <w:i/>
                      <w:color w:val="1F4E9E"/>
                    </w:rPr>
                  </m:ctrlPr>
                </m:dPr>
                <m:e>
                  <m:r>
                    <w:rPr>
                      <w:rFonts w:ascii="Cambria Math" w:eastAsia="Cambria" w:hAnsi="Cambria Math" w:cs="Cambria"/>
                      <w:color w:val="1F4E9E"/>
                    </w:rPr>
                    <m:t>0</m:t>
                  </m:r>
                </m:e>
              </m:d>
              <m:r>
                <w:rPr>
                  <w:rFonts w:ascii="Cambria Math" w:eastAsia="Cambria" w:hAnsi="Cambria Math" w:cs="Cambria"/>
                  <w:color w:val="1F4E9E"/>
                </w:rPr>
                <m:t>=</m:t>
              </m:r>
              <m:sSub>
                <m:sSubPr>
                  <m:ctrlPr>
                    <w:rPr>
                      <w:rFonts w:ascii="Cambria Math" w:eastAsia="Cambria" w:hAnsi="Cambria Math" w:cs="Cambria"/>
                      <w:i/>
                      <w:color w:val="1F4E9E"/>
                    </w:rPr>
                  </m:ctrlPr>
                </m:sSubPr>
                <m:e>
                  <m:r>
                    <w:rPr>
                      <w:rFonts w:ascii="Cambria Math" w:eastAsia="Cambria" w:hAnsi="Cambria Math" w:cs="Cambria"/>
                      <w:color w:val="1F4E9E"/>
                    </w:rPr>
                    <m:t>x</m:t>
                  </m:r>
                </m:e>
                <m:sub>
                  <m:r>
                    <w:rPr>
                      <w:rFonts w:ascii="Cambria Math" w:eastAsia="Cambria" w:hAnsi="Cambria Math" w:cs="Cambria"/>
                      <w:color w:val="1F4E9E"/>
                    </w:rPr>
                    <m:t>0</m:t>
                  </m:r>
                </m:sub>
              </m:sSub>
              <m:r>
                <w:rPr>
                  <w:rFonts w:ascii="Cambria Math" w:hAnsi="Cambria Math"/>
                  <w:color w:val="1F4E9E"/>
                  <w:vertAlign w:val="subscript"/>
                </w:rPr>
                <m:t>,</m:t>
              </m:r>
              <m:r>
                <w:rPr>
                  <w:rFonts w:ascii="Cambria Math" w:eastAsia="Cambria" w:hAnsi="Cambria Math" w:cs="Cambria"/>
                  <w:color w:val="1F4E9E"/>
                </w:rPr>
                <m:t>#</m:t>
              </m:r>
              <m:d>
                <m:dPr>
                  <m:ctrlPr>
                    <w:rPr>
                      <w:rFonts w:ascii="Cambria Math" w:hAnsi="Cambria Math"/>
                      <w:i/>
                      <w:color w:val="1F4E9E"/>
                      <w:vertAlign w:val="subscript"/>
                    </w:rPr>
                  </m:ctrlPr>
                </m:dPr>
                <m:e>
                  <m:r>
                    <w:rPr>
                      <w:rFonts w:ascii="Cambria Math" w:hAnsi="Cambria Math"/>
                      <w:color w:val="1F4E9E"/>
                      <w:vertAlign w:val="subscript"/>
                    </w:rPr>
                    <m:t>1</m:t>
                  </m:r>
                </m:e>
              </m:d>
              <m:ctrlPr>
                <w:rPr>
                  <w:rFonts w:ascii="Cambria Math" w:eastAsia="Cambria" w:hAnsi="Cambria Math" w:cs="Cambria"/>
                  <w:i/>
                  <w:color w:val="1F4E9E"/>
                </w:rPr>
              </m:ctrlPr>
            </m:e>
          </m:eqArr>
        </m:oMath>
      </m:oMathPara>
    </w:p>
    <w:p w14:paraId="4E2E0FA2" w14:textId="77777777" w:rsidR="00CF7AC6" w:rsidRDefault="00907F07" w:rsidP="00902EC4">
      <w:pPr>
        <w:rPr>
          <w:color w:val="1F4E9E"/>
        </w:rPr>
      </w:pPr>
      <w:r>
        <w:tab/>
      </w:r>
      <w:r w:rsidRPr="00907F07">
        <w:rPr>
          <w:color w:val="1F4E9E"/>
        </w:rPr>
        <w:t>where</w:t>
      </w:r>
      <w:r w:rsidRPr="00907F07">
        <w:t xml:space="preserve"> </w:t>
      </w:r>
      <w:r w:rsidRPr="00907F07">
        <w:rPr>
          <w:i/>
          <w:color w:val="1F4E9E"/>
        </w:rPr>
        <w:t>s</w:t>
      </w:r>
      <w:r w:rsidRPr="00907F07">
        <w:t xml:space="preserve"> </w:t>
      </w:r>
      <w:r w:rsidRPr="00907F07">
        <w:rPr>
          <w:rFonts w:ascii="Cambria Math" w:hAnsi="Cambria Math" w:cs="Cambria Math"/>
          <w:color w:val="1F4E9E"/>
        </w:rPr>
        <w:t>∈</w:t>
      </w:r>
      <w:r w:rsidRPr="00907F07">
        <w:rPr>
          <w:color w:val="1F4E9E"/>
        </w:rPr>
        <w:t xml:space="preserve"> {−</w:t>
      </w:r>
      <w:proofErr w:type="gramStart"/>
      <w:r w:rsidRPr="00907F07">
        <w:rPr>
          <w:color w:val="1F4E9E"/>
        </w:rPr>
        <w:t>1,+</w:t>
      </w:r>
      <w:proofErr w:type="gramEnd"/>
      <w:r w:rsidRPr="00907F07">
        <w:rPr>
          <w:color w:val="1F4E9E"/>
        </w:rPr>
        <w:t xml:space="preserve">1} </w:t>
      </w:r>
      <w:r w:rsidR="00D348B6">
        <w:rPr>
          <w:color w:val="1F4E9E"/>
        </w:rPr>
        <w:t xml:space="preserve">codes </w:t>
      </w:r>
      <w:r w:rsidRPr="00907F07">
        <w:t xml:space="preserve">motion direction, </w:t>
      </w:r>
      <w:r w:rsidRPr="00907F07">
        <w:rPr>
          <w:i/>
          <w:color w:val="1F4E9E"/>
        </w:rPr>
        <w:t>c</w:t>
      </w:r>
      <w:r w:rsidRPr="00907F07">
        <w:rPr>
          <w:color w:val="FF0000"/>
        </w:rPr>
        <w:t xml:space="preserve"> is motion coherence, </w:t>
      </w:r>
      <w:r w:rsidRPr="00907F07">
        <w:rPr>
          <w:i/>
          <w:color w:val="1F4E9E"/>
        </w:rPr>
        <w:t>k</w:t>
      </w:r>
      <w:r w:rsidRPr="00907F07">
        <w:rPr>
          <w:color w:val="1F4E9E"/>
        </w:rPr>
        <w:t xml:space="preserve"> sca</w:t>
      </w:r>
      <w:r w:rsidR="00D348B6">
        <w:rPr>
          <w:color w:val="FF0000"/>
        </w:rPr>
        <w:t>les coherence into the mean rate of evidence accumulation (drift rate</w:t>
      </w:r>
      <w:proofErr w:type="gramStart"/>
      <w:r w:rsidR="00D348B6">
        <w:rPr>
          <w:color w:val="FF0000"/>
        </w:rPr>
        <w:t>)</w:t>
      </w:r>
      <w:r>
        <w:rPr>
          <w:color w:val="1F4E9E"/>
        </w:rPr>
        <w:t>,</w:t>
      </w:r>
      <w:r w:rsidR="00D348B6">
        <w:t xml:space="preserve"> </w:t>
      </w:r>
      <w:r>
        <w:t xml:space="preserve"> </w:t>
      </w:r>
      <w:proofErr w:type="spellStart"/>
      <w:r w:rsidR="00D348B6" w:rsidRPr="00D348B6">
        <w:rPr>
          <w:i/>
          <w:color w:val="1F4E9E"/>
        </w:rPr>
        <w:t>σ</w:t>
      </w:r>
      <w:proofErr w:type="gramEnd"/>
      <w:r w:rsidR="00D348B6" w:rsidRPr="00D348B6">
        <w:rPr>
          <w:i/>
          <w:color w:val="1F4E9E"/>
          <w:vertAlign w:val="subscript"/>
        </w:rPr>
        <w:t>x</w:t>
      </w:r>
      <w:proofErr w:type="spellEnd"/>
      <w:r w:rsidR="00D348B6">
        <w:rPr>
          <w:color w:val="FF0000"/>
        </w:rPr>
        <w:t xml:space="preserve"> is the diffusion coefficient controlling the amplitude of within</w:t>
      </w:r>
      <w:r w:rsidR="00632C3C">
        <w:rPr>
          <w:color w:val="1F4E9E"/>
        </w:rPr>
        <w:t>-</w:t>
      </w:r>
      <w:r w:rsidR="00D348B6">
        <w:rPr>
          <w:color w:val="1F4E9E"/>
        </w:rPr>
        <w:t xml:space="preserve">trial noise, </w:t>
      </w:r>
      <w:r w:rsidRPr="00907F07">
        <w:rPr>
          <w:color w:val="1F4E9E"/>
        </w:rPr>
        <w:t xml:space="preserve">and </w:t>
      </w:r>
      <w:proofErr w:type="spellStart"/>
      <w:r w:rsidRPr="00D348B6">
        <w:rPr>
          <w:i/>
          <w:color w:val="1F4E9E"/>
        </w:rPr>
        <w:t>dW</w:t>
      </w:r>
      <w:proofErr w:type="spellEnd"/>
      <w:r w:rsidRPr="00D348B6">
        <w:rPr>
          <w:i/>
          <w:color w:val="1F4E9E"/>
        </w:rPr>
        <w:t>ₓ(t)</w:t>
      </w:r>
      <w:r w:rsidRPr="00907F07">
        <w:rPr>
          <w:color w:val="1F4E9E"/>
        </w:rPr>
        <w:t xml:space="preserve"> is a</w:t>
      </w:r>
      <w:r w:rsidR="00D348B6">
        <w:rPr>
          <w:color w:val="FF0000"/>
        </w:rPr>
        <w:t xml:space="preserve">n increment of a standard Wiener process. </w:t>
      </w:r>
      <w:r w:rsidR="0063434F" w:rsidRPr="0063434F">
        <w:rPr>
          <w:color w:val="1F4E9E"/>
        </w:rPr>
        <w:t>P</w:t>
      </w:r>
      <w:r w:rsidR="0063434F">
        <w:rPr>
          <w:color w:val="FF0000"/>
        </w:rPr>
        <w:t xml:space="preserve">ositive and negative values of </w:t>
      </w:r>
      <w:r w:rsidR="0063434F" w:rsidRPr="0063434F">
        <w:rPr>
          <w:i/>
          <w:color w:val="1F4E9E"/>
        </w:rPr>
        <w:t>x(t)</w:t>
      </w:r>
      <w:r w:rsidR="0063434F" w:rsidRPr="0063434F">
        <w:rPr>
          <w:color w:val="FF0000"/>
        </w:rPr>
        <w:t xml:space="preserve"> support rightward and leftward choices, </w:t>
      </w:r>
      <w:r w:rsidR="0063434F" w:rsidRPr="0063434F">
        <w:rPr>
          <w:color w:val="FF0000"/>
        </w:rPr>
        <w:lastRenderedPageBreak/>
        <w:t>respectively</w:t>
      </w:r>
      <w:r w:rsidR="0063434F">
        <w:rPr>
          <w:color w:val="FF0000"/>
        </w:rPr>
        <w:t xml:space="preserve"> (by arbitrary convention). </w:t>
      </w:r>
      <w:r w:rsidR="0063434F" w:rsidRPr="0063434F">
        <w:rPr>
          <w:color w:val="FF0000"/>
        </w:rPr>
        <w:t xml:space="preserve">At the neurophysiological level, this process can be interpreted as the temporal integration of the difference in activity between opposing populations of direction-sensitive neurons in area MT </w:t>
      </w:r>
      <w:r w:rsidR="0063434F" w:rsidRPr="0063434F">
        <w:rPr>
          <w:color w:val="1F4E9E"/>
        </w:rPr>
        <w:fldChar w:fldCharType="begin"/>
      </w:r>
      <w:r w:rsidR="0063434F" w:rsidRPr="0063434F">
        <w:rPr>
          <w:color w:val="1F4E9E"/>
        </w:rPr>
        <w:instrText xml:space="preserve"> ADDIN ZOTERO_ITEM CSL_CITATION {"citationID":"8M7x1TCd","properties":{"unsorted":false,"formattedCitation":"(Gold &amp; Shadlen, 2007; Mazurek et al., 2003)","plainCitation":"(Gold &amp; Shadlen, 2007; Mazurek et al., 2003)","noteIndex":0},"citationItems":[{"id":718,"uris":["http://zotero.org/users/5679506/items/ABH5EQVH"],"itemData":{"id":718,"type":"article-journal","abstract":"The study of decision making spans such varied fields as neuroscience, psychology, economics, statistics, political science, and computer science. Despite this diversity of applications, most decisions share common elements including deliberation and commitment. Here we evaluate recent progress in understanding how these basic elements of decision formation are implemented in the brain. We focus on simple decisions that can be studied in the laboratory but emphasize general principles likely to extend to other settings.","container-title":"Annual Review of Neuroscience","DOI":"10.1146/annurev.neuro.29.051605.113038","ISSN":"0147-006X","journalAbbreviation":"Annu. Rev. Neurosci.","language":"eng","page":"535-574","PMID":"17600525","source":"PubMed","title":"The neural basis of decision making","volume":"30","author":[{"family":"Gold","given":"J. I."},{"family":"Shadlen","given":"M. N."}],"issued":{"date-parts":[["2007"]]}}},{"id":13300,"uris":["http://zotero.org/groups/4999940/items/TZK2XQCW"],"itemData":{"id":13300,"type":"article-journal","container-title":"Cerebral Cortex","DOI":"10.1093/cercor/bhg097","ISSN":"1460-2199, 1047-3211","issue":"11","language":"en","page":"1257-1269","source":"DOI.org (Crossref)","title":"A Role for Neural Integrators in Perceptual Decision Making","volume":"13","author":[{"family":"Mazurek","given":"Mark E."},{"family":"Roitman","given":"Jamie D."},{"family":"Ditterich","given":"Jochen"},{"family":"Shadlen","given":"Michael N."}],"issued":{"date-parts":[["2003",11,1]]}}}],"schema":"https://github.com/citation-style-language/schema/raw/master/csl-citation.json"} </w:instrText>
      </w:r>
      <w:r w:rsidR="0063434F" w:rsidRPr="0063434F">
        <w:rPr>
          <w:color w:val="1F4E9E"/>
        </w:rPr>
        <w:fldChar w:fldCharType="separate"/>
      </w:r>
      <w:r w:rsidR="0063434F" w:rsidRPr="0063434F">
        <w:rPr>
          <w:color w:val="FF0000"/>
        </w:rPr>
        <w:t>(Gold &amp; Shadlen, 2007; Mazurek et al., 2003)</w:t>
      </w:r>
      <w:r w:rsidR="0063434F" w:rsidRPr="0063434F">
        <w:rPr>
          <w:color w:val="1F4E9E"/>
        </w:rPr>
        <w:fldChar w:fldCharType="end"/>
      </w:r>
      <w:r w:rsidR="0063434F" w:rsidRPr="0063434F">
        <w:rPr>
          <w:color w:val="1F4E9E"/>
        </w:rPr>
        <w:t xml:space="preserve">. </w:t>
      </w:r>
      <w:r w:rsidR="0063434F">
        <w:rPr>
          <w:color w:val="1F4E9E"/>
        </w:rPr>
        <w:t>Equation (1) is a</w:t>
      </w:r>
      <w:r w:rsidR="0063434F" w:rsidRPr="0063434F">
        <w:rPr>
          <w:color w:val="FF0000"/>
        </w:rPr>
        <w:t xml:space="preserve"> diffusion process</w:t>
      </w:r>
      <w:r w:rsidR="0063434F">
        <w:rPr>
          <w:color w:val="1F4E9E"/>
        </w:rPr>
        <w:t>, and</w:t>
      </w:r>
      <w:r w:rsidR="0063434F" w:rsidRPr="0063434F">
        <w:rPr>
          <w:color w:val="FF0000"/>
        </w:rPr>
        <w:t xml:space="preserve"> provides a parsimonious impleme</w:t>
      </w:r>
      <w:r w:rsidR="0063434F">
        <w:rPr>
          <w:color w:val="FF0000"/>
        </w:rPr>
        <w:t>ntation of the decision stage</w:t>
      </w:r>
      <w:r w:rsidR="0063434F" w:rsidRPr="0063434F">
        <w:rPr>
          <w:color w:val="FF0000"/>
        </w:rPr>
        <w:t>, which could in principle incorporate other accumulation dynamics</w:t>
      </w:r>
      <w:r w:rsidR="00632C3C">
        <w:rPr>
          <w:color w:val="1F4E9E"/>
        </w:rPr>
        <w:t xml:space="preserve">, </w:t>
      </w:r>
      <w:r w:rsidR="0063434F" w:rsidRPr="0063434F">
        <w:rPr>
          <w:color w:val="FF0000"/>
        </w:rPr>
        <w:t>including leakage or mutual inhibition</w:t>
      </w:r>
      <w:r w:rsidR="004E1E78">
        <w:t xml:space="preserve"> </w:t>
      </w:r>
      <w:r w:rsidR="004E1E78" w:rsidRPr="004E1E78">
        <w:rPr>
          <w:color w:val="1F4E9E"/>
        </w:rPr>
        <w:fldChar w:fldCharType="begin"/>
      </w:r>
      <w:r w:rsidR="004E1E78" w:rsidRPr="004E1E78">
        <w:rPr>
          <w:color w:val="1F4E9E"/>
        </w:rPr>
        <w:instrText xml:space="preserve"> ADDIN ZOTERO_ITEM CSL_CITATION {"citationID":"H8YWPUYS","properties":{"unsorted":false,"formattedCitation":"(e.g., Servant et al., 2019; Usher &amp; McClelland, 2001)","plainCitation":"(e.g., Servant et al., 2019; Usher &amp; McClelland, 2001)","noteIndex":0},"citationItems":[{"id":34,"uris":["http://zotero.org/users/5679506/items/JB6LN5DB"],"itemData":{"id":34,"type":"article-journal","abstract":"Stochastic accumulator models account for response times and errors in perceptual decision making by assuming a noisy accumulation of perceptual evidence to a threshold. Previously, we explained saccade visual search decision making by macaque monkeys with a stochastic multiaccumulator model in which accumulation was driven by a gated feed-forward integration to threshold of spike trains from visually responsive neurons in frontal eye field that signal stimulus salience. This neurally constrained model quantitatively accounted for response times and errors in visual search for a target among varying numbers of distractors and replicated the dynamics of presaccadic movement neurons hypothesized to instantiate evidence accumulation. This modeling framework suggested strategic control over gate or over threshold as two potential mechanisms to accomplish speed-accuracy tradeoff (SAT). Here, we show that our gated accumulator model framework can account for visual search performance under SAT instructions observed in a milestone neurophysiological study of frontal eye field. This framework captured key elements of saccade search performance, through observed modulations of neural input, as well as flexible combinations of gate and threshold parameters necessary to explain differences in SAT strategy across monkeys. However, the trajectories of the model accumulators deviated from the dynamics of most presaccadic movement neurons. These findings demonstrate that traditional theoretical accounts of SAT are incomplete descriptions of the underlying neural adjustments that accomplish SAT, offer a novel mechanistic account of decision-making mechanisms during speed-accuracy tradeoff, and highlight questions regarding the identity of model and neural accumulators. NEW &amp; NOTEWORTHY A gated accumulator model is used to elucidate neurocomputational mechanisms of speed-accuracy tradeoff. Whereas canonical stochastic accumulators adjust strategy only through variation of an accumulation threshold, we demonstrate that strategic adjustments are accomplished by flexible combinations of both modulation of the evidence representation and adaptation of accumulator gate and threshold. The results indicate how model-based cognitive neuroscience can translate between abstract cognitive models of performance and neural mechanisms of speed-accuracy tradeoff.","container-title":"Journal of Neurophysiology","DOI":"10.1152/jn.00507.2018","ISSN":"1522-1598","issue":"4","journalAbbreviation":"J. Neurophysiol.","language":"eng","page":"1300-1314","PMID":"30726163","PMCID":"PMC6485731","source":"PubMed","title":"Neurally constrained modeling of speed-accuracy tradeoff during visual search: gated accumulation of modulated evidence","title-short":"Neurally constrained modeling of speed-accuracy tradeoff during visual search","volume":"121","author":[{"family":"Servant","given":"Mathieu"},{"family":"Tillman","given":"Gabriel"},{"family":"Schall","given":"Jeffrey D."},{"family":"Logan","given":"Gordon D."},{"family":"Palmeri","given":"Thomas J."}],"issued":{"date-parts":[["2019",4,1]]}},"prefix":"e.g., "},{"id":729,"uris":["http://zotero.org/users/5679506/items/CQ3GUDKP"],"itemData":{"id":729,"type":"article-journal","abstract":"The time course of perceptual choice is discussed in a model of gradual, leaky, stochastic, and competitive information accumulation in nonlinear decision units. Special cases of the model match a classical diffusion process, but leakage and competition work together to address several challenges to existing diffusion, random walk, and accumulator models. The model accounts for data from choice tasks using both time-controlled (e.g., response signal) and standard reaction time paradigms and its adequacy compares favorably with other approaches. A new paradigm that controls the time of arrival of information supporting different choice alternatives provides further support. The model captures choice behavior regardless of the number of alternatives, accounting for the log-linear relation between reaction time and number of alternatives (Hick's law) and explains a complex pattern of visual and contextual priming in visual word identification.","container-title":"Psychological Review","DOI":"10.1037/0033-295x.108.3.550","ISSN":"0033-295X","issue":"3","journalAbbreviation":"Psychol Rev","language":"eng","page":"550-592","PMID":"11488378","source":"PubMed","title":"The time course of perceptual choice: the leaky, competing accumulator model","title-short":"The time course of perceptual choice","volume":"108","author":[{"family":"Usher","given":"M."},{"family":"McClelland","given":"J. L."}],"issued":{"date-parts":[["2001",7]]}}}],"schema":"https://github.com/citation-style-language/schema/raw/master/csl-citation.json"} </w:instrText>
      </w:r>
      <w:r w:rsidR="004E1E78" w:rsidRPr="004E1E78">
        <w:rPr>
          <w:color w:val="1F4E9E"/>
        </w:rPr>
        <w:fldChar w:fldCharType="separate"/>
      </w:r>
      <w:r w:rsidR="004E1E78" w:rsidRPr="004E1E78">
        <w:rPr>
          <w:color w:val="FF0000"/>
        </w:rPr>
        <w:t>(e.g., Servant et al., 2019; Usher &amp; McClelland, 2001)</w:t>
      </w:r>
      <w:r w:rsidR="004E1E78" w:rsidRPr="004E1E78">
        <w:rPr>
          <w:color w:val="1F4E9E"/>
        </w:rPr>
        <w:fldChar w:fldCharType="end"/>
      </w:r>
      <w:r w:rsidR="0063434F" w:rsidRPr="004E1E78">
        <w:rPr>
          <w:color w:val="1F4E9E"/>
        </w:rPr>
        <w:t xml:space="preserve">. </w:t>
      </w:r>
    </w:p>
    <w:p w14:paraId="581A91BE" w14:textId="77777777" w:rsidR="002830F4" w:rsidRDefault="002830F4" w:rsidP="00902EC4">
      <w:pPr>
        <w:rPr>
          <w:color w:val="1F4E9E"/>
        </w:rPr>
      </w:pPr>
      <w:r>
        <w:tab/>
      </w:r>
      <w:r w:rsidR="009B207A">
        <w:rPr>
          <w:color w:val="FF0000"/>
        </w:rPr>
        <w:t xml:space="preserve">The decision variable </w:t>
      </w:r>
      <w:r w:rsidR="009B207A" w:rsidRPr="009B207A">
        <w:rPr>
          <w:i/>
          <w:color w:val="1F4E9E"/>
        </w:rPr>
        <w:t>x(t)</w:t>
      </w:r>
      <w:r w:rsidRPr="002830F4">
        <w:rPr>
          <w:color w:val="FF0000"/>
        </w:rPr>
        <w:t xml:space="preserve"> is continuously transmitted to motor-preparatory processes, repr</w:t>
      </w:r>
      <w:r w:rsidR="009B207A">
        <w:rPr>
          <w:color w:val="FF0000"/>
        </w:rPr>
        <w:t xml:space="preserve">esented by a distinct variable </w:t>
      </w:r>
      <w:r w:rsidR="009B207A" w:rsidRPr="009B207A">
        <w:rPr>
          <w:i/>
          <w:color w:val="1F4E9E"/>
        </w:rPr>
        <w:t>y(t)</w:t>
      </w:r>
      <w:r w:rsidRPr="002830F4">
        <w:rPr>
          <w:color w:val="1F4E9E"/>
        </w:rPr>
        <w:t>:</w:t>
      </w:r>
    </w:p>
    <w:p w14:paraId="0E560257" w14:textId="77777777" w:rsidR="009B207A" w:rsidRDefault="00000000" w:rsidP="009B207A">
      <w:pPr>
        <w:ind w:left="-17" w:firstLine="11"/>
        <w:rPr>
          <w:color w:val="1F4E9E"/>
        </w:rPr>
      </w:pPr>
      <m:oMathPara>
        <m:oMath>
          <m:eqArr>
            <m:eqArrPr>
              <m:maxDist m:val="1"/>
              <m:ctrlPr>
                <w:rPr>
                  <w:rFonts w:ascii="Cambria Math" w:eastAsia="Cambria" w:hAnsi="Cambria Math" w:cs="Cambria"/>
                  <w:i/>
                  <w:color w:val="1F4E9E"/>
                </w:rPr>
              </m:ctrlPr>
            </m:eqArrPr>
            <m:e>
              <m:r>
                <w:rPr>
                  <w:rFonts w:ascii="Cambria Math" w:eastAsia="Cambria" w:hAnsi="Cambria Math" w:cs="Cambria"/>
                  <w:color w:val="1F4E9E"/>
                </w:rPr>
                <m:t>dy</m:t>
              </m:r>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=λ</m:t>
              </m:r>
              <m:d>
                <m:dPr>
                  <m:begChr m:val="["/>
                  <m:endChr m:val="]"/>
                  <m:ctrlPr>
                    <w:rPr>
                      <w:rFonts w:ascii="Cambria Math" w:eastAsia="Cambria" w:hAnsi="Cambria Math" w:cs="Cambria"/>
                      <w:i/>
                      <w:color w:val="1F4E9E"/>
                    </w:rPr>
                  </m:ctrlPr>
                </m:dPr>
                <m:e>
                  <m:r>
                    <w:rPr>
                      <w:rFonts w:ascii="Cambria Math" w:eastAsia="Cambria" w:hAnsi="Cambria Math" w:cs="Cambria"/>
                      <w:color w:val="1F4E9E"/>
                    </w:rPr>
                    <m:t>x</m:t>
                  </m:r>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-y</m:t>
                  </m:r>
                  <m:d>
                    <m:dPr>
                      <m:ctrlPr>
                        <w:rPr>
                          <w:rFonts w:ascii="Cambria Math" w:eastAsia="Cambria" w:hAnsi="Cambria Math" w:cs="Cambria"/>
                          <w:i/>
                          <w:color w:val="1F4E9E"/>
                        </w:rPr>
                      </m:ctrlPr>
                    </m:dPr>
                    <m:e>
                      <m:r>
                        <w:rPr>
                          <w:rFonts w:ascii="Cambria Math" w:eastAsia="Cambria" w:hAnsi="Cambria Math" w:cs="Cambria"/>
                          <w:color w:val="1F4E9E"/>
                        </w:rPr>
                        <m:t>t</m:t>
                      </m:r>
                    </m:e>
                  </m:d>
                </m:e>
              </m:d>
              <m:r>
                <w:rPr>
                  <w:rFonts w:ascii="Cambria Math" w:eastAsia="Cambria" w:hAnsi="Cambria Math" w:cs="Cambria"/>
                  <w:color w:val="1F4E9E"/>
                </w:rPr>
                <m:t>dt,   y</m:t>
              </m:r>
              <m:d>
                <m:dPr>
                  <m:ctrlPr>
                    <w:rPr>
                      <w:rFonts w:ascii="Cambria Math" w:eastAsia="Cambria" w:hAnsi="Cambria Math" w:cs="Cambria"/>
                      <w:i/>
                      <w:color w:val="1F4E9E"/>
                    </w:rPr>
                  </m:ctrlPr>
                </m:dPr>
                <m:e>
                  <m:r>
                    <w:rPr>
                      <w:rFonts w:ascii="Cambria Math" w:eastAsia="Cambria" w:hAnsi="Cambria Math" w:cs="Cambria"/>
                      <w:color w:val="1F4E9E"/>
                    </w:rPr>
                    <m:t>0</m:t>
                  </m:r>
                </m:e>
              </m:d>
              <m:r>
                <w:rPr>
                  <w:rFonts w:ascii="Cambria Math" w:eastAsia="Cambria" w:hAnsi="Cambria Math" w:cs="Cambria"/>
                  <w:color w:val="1F4E9E"/>
                </w:rPr>
                <m:t>=</m:t>
              </m:r>
              <m:sSub>
                <m:sSubPr>
                  <m:ctrlPr>
                    <w:rPr>
                      <w:rFonts w:ascii="Cambria Math" w:eastAsia="Cambria" w:hAnsi="Cambria Math" w:cs="Cambria"/>
                      <w:i/>
                      <w:color w:val="1F4E9E"/>
                    </w:rPr>
                  </m:ctrlPr>
                </m:sSubPr>
                <m:e>
                  <m:r>
                    <w:rPr>
                      <w:rFonts w:ascii="Cambria Math" w:eastAsia="Cambria" w:hAnsi="Cambria Math" w:cs="Cambria"/>
                      <w:color w:val="1F4E9E"/>
                    </w:rPr>
                    <m:t>x</m:t>
                  </m:r>
                </m:e>
                <m:sub>
                  <m:r>
                    <w:rPr>
                      <w:rFonts w:ascii="Cambria Math" w:eastAsia="Cambria" w:hAnsi="Cambria Math" w:cs="Cambria"/>
                      <w:color w:val="1F4E9E"/>
                    </w:rPr>
                    <m:t>0</m:t>
                  </m:r>
                </m:sub>
              </m:sSub>
              <m:r>
                <w:rPr>
                  <w:rFonts w:ascii="Cambria Math" w:eastAsia="Cambria" w:hAnsi="Cambria Math" w:cs="Cambria"/>
                  <w:color w:val="1F4E9E"/>
                </w:rPr>
                <m:t>.#</m:t>
              </m:r>
              <m:d>
                <m:dPr>
                  <m:ctrlPr>
                    <w:rPr>
                      <w:rFonts w:ascii="Cambria Math" w:eastAsia="Cambria" w:hAnsi="Cambria Math" w:cs="Cambria"/>
                      <w:i/>
                      <w:color w:val="1F4E9E"/>
                    </w:rPr>
                  </m:ctrlPr>
                </m:dPr>
                <m:e>
                  <m:r>
                    <w:rPr>
                      <w:rFonts w:ascii="Cambria Math" w:eastAsia="Cambria" w:hAnsi="Cambria Math" w:cs="Cambria"/>
                      <w:color w:val="1F4E9E"/>
                    </w:rPr>
                    <m:t>2</m:t>
                  </m:r>
                </m:e>
              </m:d>
            </m:e>
          </m:eqArr>
        </m:oMath>
      </m:oMathPara>
    </w:p>
    <w:p w14:paraId="14A46EB1" w14:textId="77777777" w:rsidR="0063434F" w:rsidRDefault="009B207A" w:rsidP="00902EC4">
      <w:pPr>
        <w:rPr>
          <w:color w:val="1F4E9E"/>
        </w:rPr>
      </w:pPr>
      <w:r w:rsidRPr="009B207A">
        <w:rPr>
          <w:color w:val="FF0000"/>
        </w:rPr>
        <w:t>Equation 2 describes the continuous integration of decision-related input at the motor-preparation level.</w:t>
      </w:r>
      <w:r w:rsidR="002045F7">
        <w:t xml:space="preserve"> </w:t>
      </w:r>
      <w:r w:rsidR="002045F7" w:rsidRPr="002045F7">
        <w:rPr>
          <w:color w:val="1F4E9E"/>
        </w:rPr>
        <w:t>Conseque</w:t>
      </w:r>
      <w:r w:rsidR="002045F7">
        <w:rPr>
          <w:color w:val="FF0000"/>
        </w:rPr>
        <w:t xml:space="preserve">ntly, the mean buildup of </w:t>
      </w:r>
      <w:r w:rsidR="002045F7" w:rsidRPr="002045F7">
        <w:rPr>
          <w:i/>
          <w:color w:val="1F4E9E"/>
        </w:rPr>
        <w:t>y(t)</w:t>
      </w:r>
      <w:r w:rsidR="002045F7">
        <w:rPr>
          <w:color w:val="1F4E9E"/>
        </w:rPr>
        <w:t xml:space="preserve">, like that of </w:t>
      </w:r>
      <w:r w:rsidR="002045F7" w:rsidRPr="002045F7">
        <w:rPr>
          <w:i/>
          <w:color w:val="1F4E9E"/>
        </w:rPr>
        <w:t>x(t)</w:t>
      </w:r>
      <w:r w:rsidR="002045F7" w:rsidRPr="002045F7">
        <w:rPr>
          <w:color w:val="1F4E9E"/>
        </w:rPr>
        <w:t xml:space="preserve">, </w:t>
      </w:r>
      <w:r w:rsidR="003802A6" w:rsidRPr="003802A6">
        <w:rPr>
          <w:color w:val="FF0000"/>
        </w:rPr>
        <w:t>becomes slower as sensory-evidence strength decreases.</w:t>
      </w:r>
      <w:r w:rsidR="002045F7">
        <w:t xml:space="preserve"> </w:t>
      </w:r>
      <w:r w:rsidR="002045F7" w:rsidRPr="002045F7">
        <w:rPr>
          <w:color w:val="FF0000"/>
        </w:rPr>
        <w:t xml:space="preserve">The same equation </w:t>
      </w:r>
      <w:r w:rsidR="002045F7">
        <w:rPr>
          <w:color w:val="1F4E9E"/>
        </w:rPr>
        <w:t xml:space="preserve">also </w:t>
      </w:r>
      <w:r w:rsidR="002045F7" w:rsidRPr="002045F7">
        <w:rPr>
          <w:color w:val="FF0000"/>
        </w:rPr>
        <w:t>defines a first-order low-pass filter:</w:t>
      </w:r>
      <w:r w:rsidR="002045F7">
        <w:t xml:space="preserve"> </w:t>
      </w:r>
      <w:r w:rsidR="002045F7" w:rsidRPr="00161734">
        <w:rPr>
          <w:i/>
          <w:color w:val="1F4E9E"/>
        </w:rPr>
        <w:t>y(t)</w:t>
      </w:r>
      <w:r w:rsidR="002045F7" w:rsidRPr="002045F7">
        <w:rPr>
          <w:color w:val="FF0000"/>
        </w:rPr>
        <w:t xml:space="preserve"> follows the evolving decision variable while attenuating its rapid fluctuations, yielding a smoother and temporally</w:t>
      </w:r>
      <w:r w:rsidR="002045F7">
        <w:rPr>
          <w:color w:val="FF0000"/>
        </w:rPr>
        <w:t xml:space="preserve"> lagged representation of </w:t>
      </w:r>
      <w:r w:rsidR="002045F7" w:rsidRPr="002045F7">
        <w:rPr>
          <w:i/>
          <w:color w:val="1F4E9E"/>
        </w:rPr>
        <w:t>x(t)</w:t>
      </w:r>
      <w:r w:rsidR="002045F7">
        <w:rPr>
          <w:color w:val="1F4E9E"/>
        </w:rPr>
        <w:t xml:space="preserve">. </w:t>
      </w:r>
      <w:r w:rsidR="00713746" w:rsidRPr="00713746">
        <w:rPr>
          <w:color w:val="1F4E9E"/>
        </w:rPr>
        <w:t>The filter gain (</w:t>
      </w:r>
      <m:oMath>
        <m:r>
          <w:rPr>
            <w:rFonts w:ascii="Cambria Math" w:hAnsi="Cambria Math"/>
            <w:color w:val="1F4E9E"/>
          </w:rPr>
          <m:t>λ</m:t>
        </m:r>
      </m:oMath>
      <w:r w:rsidR="00713746">
        <w:rPr>
          <w:rFonts w:eastAsiaTheme="minorEastAsia"/>
        </w:rPr>
        <w:t xml:space="preserve"> </w:t>
      </w:r>
      <w:r w:rsidR="00713746" w:rsidRPr="00713746">
        <w:rPr>
          <w:color w:val="1F4E9E"/>
        </w:rPr>
        <w:t>&gt;</w:t>
      </w:r>
      <w:r w:rsidR="00713746">
        <w:t xml:space="preserve"> </w:t>
      </w:r>
      <w:r w:rsidR="003802A6">
        <w:rPr>
          <w:color w:val="FF0000"/>
        </w:rPr>
        <w:t xml:space="preserve">0) controls how rapidly </w:t>
      </w:r>
      <w:r w:rsidR="003802A6" w:rsidRPr="003802A6">
        <w:rPr>
          <w:i/>
          <w:color w:val="1F4E9E"/>
        </w:rPr>
        <w:t>y(t)</w:t>
      </w:r>
      <w:r w:rsidR="003802A6">
        <w:rPr>
          <w:color w:val="FF0000"/>
        </w:rPr>
        <w:t xml:space="preserve"> tracks changes in </w:t>
      </w:r>
      <w:r w:rsidR="003802A6" w:rsidRPr="003802A6">
        <w:rPr>
          <w:i/>
          <w:color w:val="1F4E9E"/>
        </w:rPr>
        <w:t>x(t)</w:t>
      </w:r>
      <w:r w:rsidR="001A6FFF" w:rsidRPr="001A6FFF">
        <w:rPr>
          <w:color w:val="FF0000"/>
        </w:rPr>
        <w:t>; lower values produce greater smoothing and a longer temporal lag.</w:t>
      </w:r>
      <w:r w:rsidR="00397EF0">
        <w:t xml:space="preserve"> </w:t>
      </w:r>
      <w:r w:rsidR="00397EF0" w:rsidRPr="00397EF0">
        <w:rPr>
          <w:color w:val="1F4E9E"/>
        </w:rPr>
        <w:t>P</w:t>
      </w:r>
      <w:r w:rsidR="00397EF0">
        <w:rPr>
          <w:color w:val="FF0000"/>
        </w:rPr>
        <w:t xml:space="preserve">ositive and negative values of </w:t>
      </w:r>
      <w:r w:rsidR="00397EF0" w:rsidRPr="00397EF0">
        <w:rPr>
          <w:i/>
          <w:color w:val="1F4E9E"/>
        </w:rPr>
        <w:t>y(t)</w:t>
      </w:r>
      <w:r w:rsidR="00397EF0" w:rsidRPr="00397EF0">
        <w:rPr>
          <w:color w:val="FF0000"/>
        </w:rPr>
        <w:t xml:space="preserve"> increase preparation for the right- and left-hand responses, respectively.</w:t>
      </w:r>
      <w:r w:rsidR="00397EF0">
        <w:t xml:space="preserve"> </w:t>
      </w:r>
      <w:r w:rsidR="00397EF0" w:rsidRPr="00397EF0">
        <w:rPr>
          <w:color w:val="FF0000"/>
        </w:rPr>
        <w:t>The filtering operation attenuates rapid fluctuations in the decision variable before they reach downstream motor circuitry, thereby increasing th</w:t>
      </w:r>
      <w:r w:rsidR="00397EF0">
        <w:rPr>
          <w:color w:val="FF0000"/>
        </w:rPr>
        <w:t>e stability of motor control</w:t>
      </w:r>
      <w:r w:rsidR="00397EF0" w:rsidRPr="00397EF0">
        <w:rPr>
          <w:color w:val="1F4E9E"/>
        </w:rPr>
        <w:t xml:space="preserve">. </w:t>
      </w:r>
      <w:r w:rsidR="00743B53" w:rsidRPr="00743B53">
        <w:rPr>
          <w:color w:val="FF0000"/>
        </w:rPr>
        <w:t xml:space="preserve">Support for this filtering operation comes from EEG evidence that the temporal lag between decision-related and motor-preparatory accumulation signals </w:t>
      </w:r>
      <w:r w:rsidR="00743B53" w:rsidRPr="00743B53">
        <w:rPr>
          <w:color w:val="1F4E9E"/>
        </w:rPr>
        <w:t>covaries</w:t>
      </w:r>
      <w:r w:rsidR="00743B53" w:rsidRPr="00743B53">
        <w:rPr>
          <w:color w:val="FF0000"/>
        </w:rPr>
        <w:t xml:space="preserve"> with the model-derived</w:t>
      </w:r>
      <w:r w:rsidR="00530C95">
        <w:rPr>
          <w:color w:val="FF0000"/>
        </w:rPr>
        <w:t xml:space="preserve"> degree of smoothing </w:t>
      </w:r>
      <w:r w:rsidR="00530C95" w:rsidRPr="00530C95">
        <w:rPr>
          <w:color w:val="1F4E9E"/>
        </w:rPr>
        <w:fldChar w:fldCharType="begin"/>
      </w:r>
      <w:r w:rsidR="00530C95" w:rsidRPr="00530C95">
        <w:rPr>
          <w:color w:val="1F4E9E"/>
        </w:rPr>
        <w:instrText xml:space="preserve"> ADDIN ZOTERO_ITEM CSL_CITATION {"citationID":"f9YHdXlM","properties":{"unsorted":false,"formattedCitation":"(Balsdon et al., 2023)","plainCitation":"(Balsdon et al., 2023)","noteIndex":0},"citationItems":[{"id":14313,"uris":["http://zotero.org/users/5679506/items/UUKX7Q24"],"itemData":{"id":14313,"type":"article-journal","abstract":"Sensorimotor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Biol","language":"eng","page":"e3002200","PMID":"37459392","PMCID":"PMC10393169","source":"PubMed","title":"Secondary motor integration as a final arbiter in sensorimotor decision-making","volume":"21","author":[{"family":"Balsdon","given":"Tarryn"},{"family":"Verdonck","given":"Stijn"},{"family":"Loossens","given":"Tim"},{"family":"Philiastides","given":"Marios G."}],"issued":{"date-parts":[["2023",7]]}}}],"schema":"https://github.com/citation-style-language/schema/raw/master/csl-citation.json"} </w:instrText>
      </w:r>
      <w:r w:rsidR="00530C95" w:rsidRPr="00530C95">
        <w:rPr>
          <w:color w:val="1F4E9E"/>
        </w:rPr>
        <w:fldChar w:fldCharType="separate"/>
      </w:r>
      <w:r w:rsidR="00530C95" w:rsidRPr="00530C95">
        <w:rPr>
          <w:color w:val="FF0000"/>
        </w:rPr>
        <w:t>(Balsdon et al., 2023)</w:t>
      </w:r>
      <w:r w:rsidR="00530C95" w:rsidRPr="00530C95">
        <w:rPr>
          <w:color w:val="1F4E9E"/>
        </w:rPr>
        <w:fldChar w:fldCharType="end"/>
      </w:r>
      <w:r w:rsidR="00743B53" w:rsidRPr="00530C95">
        <w:rPr>
          <w:color w:val="1F4E9E"/>
        </w:rPr>
        <w:t xml:space="preserve">, and </w:t>
      </w:r>
      <w:r w:rsidR="00743B53" w:rsidRPr="00743B53">
        <w:rPr>
          <w:color w:val="FF0000"/>
        </w:rPr>
        <w:t>from behavioral–EMG modeling showing that the filtered architecture captures muscle dynamics, particularly the occurrence and timing of partial muscle activations—small EMG bursts that do not produce suffici</w:t>
      </w:r>
      <w:r w:rsidR="00743B53">
        <w:rPr>
          <w:color w:val="FF0000"/>
        </w:rPr>
        <w:t xml:space="preserve">ent force to generate a response </w:t>
      </w:r>
      <w:r w:rsidR="00743B53" w:rsidRPr="00743B53">
        <w:rPr>
          <w:color w:val="1F4E9E"/>
        </w:rPr>
        <w:fldChar w:fldCharType="begin"/>
      </w:r>
      <w:r w:rsidR="00FE1AE4">
        <w:rPr>
          <w:color w:val="1F4E9E"/>
        </w:rPr>
        <w:instrText xml:space="preserve"> ADDIN ZOTERO_ITEM CSL_CITATION {"citationID":"qccEg5Jc","properties":{"unsorted":false,"formattedCitation":"(Dendauw et al., 2024, 2026)","plainCitation":"(Dendauw et al., 2024, 2026)","noteIndex":0},"citationItems":[{"id":"5Dh8hY9n/VjrPfJqm","uris":["http://zotero.org/users/5679506/items/83Q7PQC7"],"itemData":{"id":"CkWD7LWu/YYJD91gK","type":"article-journal","abstract":"This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16537,"uris":["http://zotero.org/users/5679506/items/7AU6A24S"],"itemData":{"id":16537,"type":"article-journal","abstract":"Stimulus probability manipulations typically increase the proportion of responses associated with the more likely stimulus and reduce response times, especially when stimulus discriminability is low. Sequential sampling models primarily attribute these asymmetries to shifts in the starting point of evidence accumulation, but possible modulations at the motor execution stage and their links to upstream processing remain poorly understood. To address this gap, we conducted electromyographic recordings of muscle activity during a random dot motion task with manual responses, varying stimulus probability and stimulus discriminability. We then used a computational framework linking decision and motor processes, the gated cascade diffusion model, to account for behavior and muscle activity. Stimulus probability strongly modulated the time from stimulus onset to response-related muscle activation: on correct trials, muscle onsets occurred earlier for expected than unexpected stimuli, whereas this pattern reversed on incorrect trials. By contrast, it had little impact on the time from muscle activation to response completion. Stimulus probability also modulated subthreshold muscle activations: when the first activation occurred in the response channel, accuracy was higher for expected than unexpected stimuli, whereas this effect reversed when the first activation occurred in the opposite channel. The model accounted for these effects through an additive bias to the rate of evidence accumulation that favored expected stimuli, and an evidence-independent urgency signal at the motor preparation level that was engaged earlier for the response alternative linked to expected stimuli. These analyses advance our understanding of how stimulus probability influences processing across the decision-motor cascade.","container-title":"Cognitive Psychology","DOI":"10.1016/j.cogpsych.2026.101818","ISSN":"0010-0285","journalAbbreviation":"Cognitive Psychology","page":"101818","source":"ScienceDirect","title":"Separating decision and motor contributions to behavioral biases induced by manipulating stimulus probability","volume":"165","author":[{"family":"Dendauw","given":"Edouard"},{"family":"Logan","given":"Gordon D."},{"family":"Schall","given":"Jeffrey D."},{"family":"Gajdos Preuss","given":"Thibault"},{"family":"Servant","given":"Mathieu"}],"issued":{"date-parts":[["2026",7,1]]}}}],"schema":"https://github.com/citation-style-language/schema/raw/master/csl-citation.json"} </w:instrText>
      </w:r>
      <w:r w:rsidR="00743B53" w:rsidRPr="00743B53">
        <w:rPr>
          <w:color w:val="1F4E9E"/>
        </w:rPr>
        <w:fldChar w:fldCharType="separate"/>
      </w:r>
      <w:r w:rsidR="00743B53" w:rsidRPr="00743B53">
        <w:rPr>
          <w:color w:val="FF0000"/>
        </w:rPr>
        <w:t>(Dendauw et al., 2024, 2026)</w:t>
      </w:r>
      <w:r w:rsidR="00743B53" w:rsidRPr="00743B53">
        <w:rPr>
          <w:color w:val="1F4E9E"/>
        </w:rPr>
        <w:fldChar w:fldCharType="end"/>
      </w:r>
      <w:r w:rsidR="00743B53" w:rsidRPr="00743B53">
        <w:rPr>
          <w:color w:val="1F4E9E"/>
        </w:rPr>
        <w:t>.</w:t>
      </w:r>
    </w:p>
    <w:p w14:paraId="033740CA" w14:textId="77777777" w:rsidR="00CC4E99" w:rsidRDefault="00530C95" w:rsidP="00902EC4">
      <w:pPr>
        <w:rPr>
          <w:color w:val="1F4E9E"/>
        </w:rPr>
      </w:pPr>
      <w:r>
        <w:lastRenderedPageBreak/>
        <w:tab/>
      </w:r>
      <w:r w:rsidR="00CC4E99" w:rsidRPr="00CC4E99">
        <w:rPr>
          <w:color w:val="FF0000"/>
        </w:rPr>
        <w:t>Transmission from motor preparation to the muscles is also continuous but regulated by gating inhibition. The signed mo</w:t>
      </w:r>
      <w:r w:rsidR="00CC4E99">
        <w:rPr>
          <w:color w:val="FF0000"/>
        </w:rPr>
        <w:t xml:space="preserve">tor-preparation variable </w:t>
      </w:r>
      <w:r w:rsidR="00CC4E99" w:rsidRPr="00CC4E99">
        <w:rPr>
          <w:i/>
          <w:color w:val="1F4E9E"/>
        </w:rPr>
        <w:t>y(t)</w:t>
      </w:r>
      <w:r w:rsidR="00CC4E99">
        <w:t xml:space="preserve"> </w:t>
      </w:r>
      <w:r w:rsidR="00CC4E99" w:rsidRPr="00CC4E99">
        <w:rPr>
          <w:color w:val="FF0000"/>
        </w:rPr>
        <w:t>is transformed into separate nonnegative neural drives for the left and righ</w:t>
      </w:r>
      <w:r w:rsidR="00CC4E99">
        <w:rPr>
          <w:color w:val="1F4E9E"/>
        </w:rPr>
        <w:t xml:space="preserve">t response </w:t>
      </w:r>
      <w:r w:rsidR="00CC4E99" w:rsidRPr="00CC4E99">
        <w:rPr>
          <w:color w:val="1F4E9E"/>
        </w:rPr>
        <w:t>agonists:</w:t>
      </w:r>
    </w:p>
    <w:p w14:paraId="79BD399B" w14:textId="0E429520" w:rsidR="00530C95" w:rsidRPr="00CC4E99" w:rsidRDefault="00000000" w:rsidP="00902EC4">
      <w:pPr>
        <w:rPr>
          <w:rFonts w:eastAsiaTheme="minorEastAsia"/>
          <w:color w:val="1F4E9E"/>
        </w:rPr>
      </w:pPr>
      <m:oMathPara>
        <m:oMath>
          <m:eqArr>
            <m:eqArrPr>
              <m:maxDist m:val="1"/>
              <m:ctrlPr>
                <w:rPr>
                  <w:rFonts w:ascii="Cambria Math" w:hAnsi="Cambria Math"/>
                  <w:i/>
                  <w:color w:val="1F4E9E"/>
                </w:rPr>
              </m:ctrlPr>
            </m:eqArrPr>
            <m:e>
              <m:d>
                <m:dPr>
                  <m:begChr m:val="{"/>
                  <m:endChr m:val=""/>
                  <m:ctrlPr>
                    <w:rPr>
                      <w:rFonts w:ascii="Cambria Math" w:hAnsi="Cambria Math"/>
                      <w:i/>
                      <w:color w:val="1F4E9E"/>
                    </w:rPr>
                  </m:ctrlPr>
                </m:dPr>
                <m:e>
                  <m:eqArr>
                    <m:eqArrPr>
                      <m:ctrlPr>
                        <w:rPr>
                          <w:rFonts w:ascii="Cambria Math" w:hAnsi="Cambria Math"/>
                          <w:i/>
                          <w:color w:val="1F4E9E"/>
                        </w:rPr>
                      </m:ctrlPr>
                    </m:eqArrPr>
                    <m:e>
                      <m:sSub>
                        <m:sSubPr>
                          <m:ctrlPr>
                            <w:rPr>
                              <w:rFonts w:ascii="Cambria Math" w:hAnsi="Cambria Math"/>
                              <w:i/>
                              <w:color w:val="1F4E9E"/>
                            </w:rPr>
                          </m:ctrlPr>
                        </m:sSubPr>
                        <m:e>
                          <m:r>
                            <w:rPr>
                              <w:rFonts w:ascii="Cambria Math" w:hAnsi="Cambria Math"/>
                              <w:color w:val="1F4E9E"/>
                            </w:rPr>
                            <m:t xml:space="preserve"> z</m:t>
                          </m:r>
                        </m:e>
                        <m:sub>
                          <m:r>
                            <w:rPr>
                              <w:rFonts w:ascii="Cambria Math" w:hAnsi="Cambria Math"/>
                              <w:color w:val="1F4E9E"/>
                            </w:rPr>
                            <m:t>L</m:t>
                          </m:r>
                        </m:sub>
                      </m:sSub>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m:t>
                      </m:r>
                      <m:func>
                        <m:funcPr>
                          <m:ctrlPr>
                            <w:rPr>
                              <w:rFonts w:ascii="Cambria Math" w:hAnsi="Cambria Math"/>
                              <w:i/>
                              <w:color w:val="1F4E9E"/>
                            </w:rPr>
                          </m:ctrlPr>
                        </m:funcPr>
                        <m:fName>
                          <m:r>
                            <m:rPr>
                              <m:sty m:val="p"/>
                            </m:rPr>
                            <w:rPr>
                              <w:rFonts w:ascii="Cambria Math" w:hAnsi="Cambria Math"/>
                              <w:color w:val="1F4E9E"/>
                            </w:rPr>
                            <m:t>max</m:t>
                          </m:r>
                        </m:fName>
                        <m:e>
                          <m:d>
                            <m:dPr>
                              <m:begChr m:val="["/>
                              <m:endChr m:val="]"/>
                              <m:ctrlPr>
                                <w:rPr>
                                  <w:rFonts w:ascii="Cambria Math" w:hAnsi="Cambria Math"/>
                                  <w:i/>
                                  <w:color w:val="1F4E9E"/>
                                </w:rPr>
                              </m:ctrlPr>
                            </m:dPr>
                            <m:e>
                              <m:r>
                                <w:rPr>
                                  <w:rFonts w:ascii="Cambria Math" w:hAnsi="Cambria Math"/>
                                  <w:color w:val="1F4E9E"/>
                                </w:rPr>
                                <m:t>-y</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-g,0</m:t>
                              </m:r>
                            </m:e>
                          </m:d>
                          <m:r>
                            <w:rPr>
                              <w:rFonts w:ascii="Cambria Math" w:hAnsi="Cambria Math"/>
                              <w:color w:val="1F4E9E"/>
                            </w:rPr>
                            <m:t>,</m:t>
                          </m:r>
                        </m:e>
                      </m:func>
                    </m:e>
                    <m:e>
                      <m:sSub>
                        <m:sSubPr>
                          <m:ctrlPr>
                            <w:rPr>
                              <w:rFonts w:ascii="Cambria Math" w:hAnsi="Cambria Math"/>
                              <w:i/>
                              <w:color w:val="1F4E9E"/>
                            </w:rPr>
                          </m:ctrlPr>
                        </m:sSubPr>
                        <m:e>
                          <m:r>
                            <w:rPr>
                              <w:rFonts w:ascii="Cambria Math" w:hAnsi="Cambria Math"/>
                              <w:color w:val="1F4E9E"/>
                            </w:rPr>
                            <m:t>z</m:t>
                          </m:r>
                        </m:e>
                        <m:sub>
                          <m:r>
                            <w:rPr>
                              <w:rFonts w:ascii="Cambria Math" w:hAnsi="Cambria Math"/>
                              <w:color w:val="1F4E9E"/>
                            </w:rPr>
                            <m:t>R</m:t>
                          </m:r>
                        </m:sub>
                      </m:sSub>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m:t>
                      </m:r>
                      <m:r>
                        <m:rPr>
                          <m:sty m:val="p"/>
                        </m:rPr>
                        <w:rPr>
                          <w:rFonts w:ascii="Cambria Math" w:hAnsi="Cambria Math"/>
                          <w:color w:val="1F4E9E"/>
                        </w:rPr>
                        <m:t>max</m:t>
                      </m:r>
                      <m:d>
                        <m:dPr>
                          <m:begChr m:val="["/>
                          <m:endChr m:val="]"/>
                          <m:ctrlPr>
                            <w:rPr>
                              <w:rFonts w:ascii="Cambria Math" w:hAnsi="Cambria Math"/>
                              <w:i/>
                              <w:color w:val="1F4E9E"/>
                            </w:rPr>
                          </m:ctrlPr>
                        </m:dPr>
                        <m:e>
                          <m:r>
                            <w:rPr>
                              <w:rFonts w:ascii="Cambria Math" w:hAnsi="Cambria Math"/>
                              <w:color w:val="1F4E9E"/>
                            </w:rPr>
                            <m:t>y</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-g,0</m:t>
                          </m:r>
                        </m:e>
                      </m:d>
                      <m:r>
                        <w:rPr>
                          <w:rFonts w:ascii="Cambria Math" w:hAnsi="Cambria Math"/>
                          <w:color w:val="1F4E9E"/>
                        </w:rPr>
                        <m:t>,</m:t>
                      </m:r>
                    </m:e>
                  </m:eqArr>
                </m:e>
              </m:d>
              <m:r>
                <w:rPr>
                  <w:rFonts w:ascii="Cambria Math" w:hAnsi="Cambria Math"/>
                  <w:color w:val="1F4E9E"/>
                </w:rPr>
                <m:t>#(3)</m:t>
              </m:r>
              <m:ctrlPr>
                <w:rPr>
                  <w:rFonts w:ascii="Cambria Math" w:eastAsia="Cambria Math" w:hAnsi="Cambria Math" w:cs="Cambria Math"/>
                  <w:i/>
                  <w:color w:val="1F4E9E"/>
                </w:rPr>
              </m:ctrlPr>
            </m:e>
            <m:e>
              <m:r>
                <w:rPr>
                  <w:rFonts w:ascii="Cambria Math" w:hAnsi="Cambria Math"/>
                  <w:color w:val="1F4E9E"/>
                </w:rPr>
                <m:t>#</m:t>
              </m:r>
            </m:e>
          </m:eqArr>
        </m:oMath>
      </m:oMathPara>
    </w:p>
    <w:p w14:paraId="6B57E04D" w14:textId="77777777" w:rsidR="00CC4E99" w:rsidRDefault="00CC4E99" w:rsidP="00902EC4">
      <w:pPr>
        <w:rPr>
          <w:color w:val="1F4E9E"/>
        </w:rPr>
      </w:pPr>
      <w:r>
        <w:rPr>
          <w:color w:val="1F4E9E"/>
        </w:rPr>
        <w:t>where</w:t>
      </w:r>
      <w:r>
        <w:t xml:space="preserve"> </w:t>
      </w:r>
      <w:r w:rsidRPr="00CC4E99">
        <w:rPr>
          <w:i/>
          <w:color w:val="1F4E9E"/>
        </w:rPr>
        <w:t>g</w:t>
      </w:r>
      <w:r w:rsidRPr="00CC4E99">
        <w:rPr>
          <w:color w:val="FF0000"/>
        </w:rPr>
        <w:t xml:space="preserve"> denotes the level of gating inhibition applied to motor-preparatory activity. Motor pre</w:t>
      </w:r>
      <w:r>
        <w:rPr>
          <w:color w:val="FF0000"/>
        </w:rPr>
        <w:t xml:space="preserve">paration must therefore exceed </w:t>
      </w:r>
      <w:r w:rsidRPr="00CC4E99">
        <w:rPr>
          <w:i/>
          <w:color w:val="1F4E9E"/>
        </w:rPr>
        <w:t>g</w:t>
      </w:r>
      <w:r w:rsidRPr="00CC4E99">
        <w:rPr>
          <w:color w:val="FF0000"/>
        </w:rPr>
        <w:t xml:space="preserve"> before generating neural drive to the corresponding muscle, pr</w:t>
      </w:r>
      <w:r>
        <w:rPr>
          <w:color w:val="FF0000"/>
        </w:rPr>
        <w:t xml:space="preserve">eventing small fluctuations in </w:t>
      </w:r>
      <w:r w:rsidRPr="00CC4E99">
        <w:rPr>
          <w:i/>
          <w:color w:val="1F4E9E"/>
        </w:rPr>
        <w:t>y(t)</w:t>
      </w:r>
      <w:r w:rsidRPr="00CC4E99">
        <w:rPr>
          <w:color w:val="FF0000"/>
        </w:rPr>
        <w:t xml:space="preserve"> from producing muscle activation. Muscle</w:t>
      </w:r>
      <w:r>
        <w:rPr>
          <w:color w:val="FF0000"/>
        </w:rPr>
        <w:t xml:space="preserve"> activation begins when either </w:t>
      </w:r>
      <w:proofErr w:type="spellStart"/>
      <w:r w:rsidRPr="00CC4E99">
        <w:rPr>
          <w:i/>
          <w:color w:val="1F4E9E"/>
        </w:rPr>
        <w:t>z</w:t>
      </w:r>
      <w:r w:rsidRPr="00CC4E99">
        <w:rPr>
          <w:i/>
          <w:color w:val="1F4E9E"/>
          <w:vertAlign w:val="subscript"/>
        </w:rPr>
        <w:t>L</w:t>
      </w:r>
      <w:proofErr w:type="spellEnd"/>
      <w:r w:rsidRPr="00CC4E99">
        <w:rPr>
          <w:i/>
          <w:color w:val="1F4E9E"/>
        </w:rPr>
        <w:t>(t)</w:t>
      </w:r>
      <w:r>
        <w:rPr>
          <w:color w:val="1F4E9E"/>
        </w:rPr>
        <w:t xml:space="preserve"> or </w:t>
      </w:r>
      <w:proofErr w:type="spellStart"/>
      <w:r w:rsidRPr="00CC4E99">
        <w:rPr>
          <w:i/>
          <w:color w:val="1F4E9E"/>
        </w:rPr>
        <w:t>z</w:t>
      </w:r>
      <w:r w:rsidRPr="00CC4E99">
        <w:rPr>
          <w:i/>
          <w:color w:val="1F4E9E"/>
          <w:vertAlign w:val="subscript"/>
        </w:rPr>
        <w:t>R</w:t>
      </w:r>
      <w:proofErr w:type="spellEnd"/>
      <w:r w:rsidRPr="00CC4E99">
        <w:rPr>
          <w:i/>
          <w:color w:val="1F4E9E"/>
        </w:rPr>
        <w:t>(t)</w:t>
      </w:r>
      <w:r>
        <w:t xml:space="preserve"> </w:t>
      </w:r>
      <w:r w:rsidRPr="00CC4E99">
        <w:rPr>
          <w:color w:val="FF0000"/>
        </w:rPr>
        <w:t xml:space="preserve">becomes positive. </w:t>
      </w:r>
      <w:r w:rsidR="00AA60AD" w:rsidRPr="00AA60AD">
        <w:rPr>
          <w:color w:val="FF0000"/>
        </w:rPr>
        <w:t>The response is triggered when the corresponding neural drive reaches the response criterion</w:t>
      </w:r>
      <w:r>
        <w:t xml:space="preserve"> </w:t>
      </w:r>
      <w:r w:rsidRPr="00CC4E99">
        <w:rPr>
          <w:i/>
          <w:color w:val="1F4E9E"/>
        </w:rPr>
        <w:t>r</w:t>
      </w:r>
      <w:r w:rsidR="00AA60AD">
        <w:rPr>
          <w:color w:val="1F4E9E"/>
        </w:rPr>
        <w:t>.</w:t>
      </w:r>
      <w:r w:rsidRPr="00CC4E99">
        <w:rPr>
          <w:color w:val="FF0000"/>
        </w:rPr>
        <w:t xml:space="preserve"> If the neural drive returns to zero before </w:t>
      </w:r>
      <w:r>
        <w:rPr>
          <w:color w:val="1F4E9E"/>
        </w:rPr>
        <w:t xml:space="preserve">reaching </w:t>
      </w:r>
      <w:r w:rsidRPr="00CC4E99">
        <w:rPr>
          <w:i/>
          <w:color w:val="1F4E9E"/>
        </w:rPr>
        <w:t>r</w:t>
      </w:r>
      <w:r w:rsidRPr="00CC4E99">
        <w:rPr>
          <w:color w:val="FF0000"/>
        </w:rPr>
        <w:t>, the model predicts a partial muscle activation.</w:t>
      </w:r>
    </w:p>
    <w:p w14:paraId="2544D772" w14:textId="77777777" w:rsidR="00001A52" w:rsidRPr="00AB4996" w:rsidRDefault="00AB4996" w:rsidP="00902EC4">
      <w:pPr>
        <w:pStyle w:val="Titre3"/>
        <w:rPr>
          <w:color w:val="1F4E9E"/>
        </w:rPr>
      </w:pPr>
      <w:r w:rsidRPr="00AB4996">
        <w:rPr>
          <w:color w:val="FF0000"/>
        </w:rPr>
        <w:t>Extension to delayed report</w:t>
      </w:r>
    </w:p>
    <w:p w14:paraId="5D09F26D" w14:textId="77777777" w:rsidR="00AD4CB7" w:rsidRDefault="001C0130" w:rsidP="00902EC4">
      <w:pPr>
        <w:rPr>
          <w:color w:val="1F4E9E"/>
        </w:rPr>
      </w:pPr>
      <w:r>
        <w:tab/>
      </w:r>
      <w:r w:rsidR="004B0AEA" w:rsidRPr="004B0AEA">
        <w:rPr>
          <w:color w:val="FF0000"/>
        </w:rPr>
        <w:t>For reference, all variables and parameters of both the inherited architecture and the delayed-report ext</w:t>
      </w:r>
      <w:r w:rsidR="004B0AEA">
        <w:rPr>
          <w:color w:val="1F4E9E"/>
        </w:rPr>
        <w:t>ension are summarized in Table A1</w:t>
      </w:r>
      <w:r w:rsidR="004B0AEA" w:rsidRPr="004B0AEA">
        <w:rPr>
          <w:color w:val="1F4E9E"/>
        </w:rPr>
        <w:t>.</w:t>
      </w:r>
      <w:r w:rsidR="004B0AEA">
        <w:t xml:space="preserve"> </w:t>
      </w:r>
      <w:r w:rsidR="0025318F" w:rsidRPr="0025318F">
        <w:rPr>
          <w:color w:val="FF0000"/>
        </w:rPr>
        <w:t xml:space="preserve">Four specifications define the maintenance component of the delayed-report extension: its locus, its onset, the value retained at onset, and its subsequent dynamics. </w:t>
      </w:r>
      <w:r w:rsidR="00AD2DAB" w:rsidRPr="00AD2DAB">
        <w:rPr>
          <w:color w:val="FF0000"/>
        </w:rPr>
        <w:t xml:space="preserve">We then describe how temporal preparation </w:t>
      </w:r>
      <w:r w:rsidR="00AD2DAB">
        <w:rPr>
          <w:color w:val="1F4E9E"/>
        </w:rPr>
        <w:t>may provide</w:t>
      </w:r>
      <w:r w:rsidR="00AD2DAB" w:rsidRPr="00AD2DAB">
        <w:rPr>
          <w:color w:val="FF0000"/>
        </w:rPr>
        <w:t xml:space="preserve"> an additional contribution to motor preparation and how RS processing ultimately drives the system toward </w:t>
      </w:r>
      <w:r w:rsidR="00B8443B">
        <w:rPr>
          <w:color w:val="1F4E9E"/>
        </w:rPr>
        <w:t xml:space="preserve">the </w:t>
      </w:r>
      <w:r w:rsidR="00AD2DAB" w:rsidRPr="00AD2DAB">
        <w:rPr>
          <w:color w:val="1F4E9E"/>
        </w:rPr>
        <w:t>respo</w:t>
      </w:r>
      <w:r w:rsidR="00B8443B">
        <w:rPr>
          <w:color w:val="1F4E9E"/>
        </w:rPr>
        <w:t>nse</w:t>
      </w:r>
      <w:r w:rsidR="0025318F" w:rsidRPr="0025318F">
        <w:rPr>
          <w:color w:val="1F4E9E"/>
        </w:rPr>
        <w:t>.</w:t>
      </w:r>
      <w:r w:rsidR="00792C7F" w:rsidRPr="00792C7F">
        <w:t xml:space="preserve"> </w:t>
      </w:r>
      <w:r w:rsidR="00792C7F" w:rsidRPr="00792C7F">
        <w:rPr>
          <w:color w:val="FF0000"/>
        </w:rPr>
        <w:t>The downstream gating and response mechanisms described above were left unchanged and remained active throughout the delayed-report trial.</w:t>
      </w:r>
    </w:p>
    <w:p w14:paraId="61A61A69" w14:textId="77777777" w:rsidR="00CD7B04" w:rsidRDefault="00CD7B04" w:rsidP="00902EC4">
      <w:pPr>
        <w:rPr>
          <w:color w:val="1F4E9E"/>
        </w:rPr>
      </w:pPr>
      <w:r>
        <w:rPr>
          <w:i/>
          <w:color w:val="1F4E9E"/>
        </w:rPr>
        <w:t>L</w:t>
      </w:r>
      <w:r w:rsidR="0025318F" w:rsidRPr="0025318F">
        <w:rPr>
          <w:i/>
          <w:color w:val="FF0000"/>
        </w:rPr>
        <w:t xml:space="preserve">ocus of maintenance. </w:t>
      </w:r>
      <w:r w:rsidR="0025318F" w:rsidRPr="0025318F">
        <w:rPr>
          <w:color w:val="FF0000"/>
        </w:rPr>
        <w:t xml:space="preserve">Delayed report requires information established during motion processing to remain available until the RS. In principle, this information could be retained at the level of the decision variable </w:t>
      </w:r>
      <w:r w:rsidR="0025318F" w:rsidRPr="00CD7B04">
        <w:rPr>
          <w:i/>
          <w:color w:val="1F4E9E"/>
        </w:rPr>
        <w:t>x(t)</w:t>
      </w:r>
      <w:r w:rsidR="0025318F" w:rsidRPr="0025318F">
        <w:rPr>
          <w:color w:val="FF0000"/>
        </w:rPr>
        <w:t xml:space="preserve"> or downstream at the level of the motor-preparation variable </w:t>
      </w:r>
      <w:r w:rsidR="0025318F" w:rsidRPr="00CD7B04">
        <w:rPr>
          <w:i/>
          <w:color w:val="1F4E9E"/>
        </w:rPr>
        <w:t>y(t)</w:t>
      </w:r>
      <w:r w:rsidR="0025318F" w:rsidRPr="0025318F">
        <w:rPr>
          <w:color w:val="FF0000"/>
        </w:rPr>
        <w:t xml:space="preserve">. We implemented maintenance at the level of </w:t>
      </w:r>
      <w:r w:rsidR="0025318F" w:rsidRPr="00CD7B04">
        <w:rPr>
          <w:i/>
          <w:color w:val="1F4E9E"/>
        </w:rPr>
        <w:t>y(t)</w:t>
      </w:r>
      <w:r w:rsidR="0025318F" w:rsidRPr="0025318F">
        <w:rPr>
          <w:color w:val="1F4E9E"/>
        </w:rPr>
        <w:t xml:space="preserve">. </w:t>
      </w:r>
      <w:r w:rsidRPr="00CD7B04">
        <w:rPr>
          <w:color w:val="FF0000"/>
        </w:rPr>
        <w:t xml:space="preserve">This choice was motivated by EEG evidence that the centroparietal positivity, a candidate marker of an abstract decision </w:t>
      </w:r>
      <w:r w:rsidRPr="00CD7B04">
        <w:rPr>
          <w:color w:val="FF0000"/>
        </w:rPr>
        <w:lastRenderedPageBreak/>
        <w:t>variable, returns toward baseline after peaking, whereas mu–beta-band spectral amplitude lateralization, a candidate marker of effector-selective motor preparation, increases during motion processing and then transitions into a sustained state consistent with short-term maintenance of the selected response</w:t>
      </w:r>
      <w:r>
        <w:t xml:space="preserve"> </w:t>
      </w:r>
      <w:r w:rsidRPr="00CD7B04">
        <w:rPr>
          <w:color w:val="1F4E9E"/>
        </w:rPr>
        <w:fldChar w:fldCharType="begin"/>
      </w:r>
      <w:r w:rsidRPr="00CD7B04">
        <w:rPr>
          <w:color w:val="1F4E9E"/>
        </w:rPr>
        <w:instrText xml:space="preserve"> ADDIN ZOTERO_ITEM CSL_CITATION {"citationID":"I0xcMgQS","properties":{"unsorted":false,"formattedCitation":"(Rogge et al., 2022; Twomey et al., 2016)","plainCitation":"(Rogge et al., 2022; Twomey et al., 2016)","noteIndex":0},"citationItems":[{"id":8488,"uris":["http://zotero.org/users/5679506/items/CDYN7F8M"],"itemData":{"id":8488,"type":"article-journal","abstract":"Decision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id":14432,"uris":["http://zotero.org/groups/4876799/items/XYENCHIR"],"itemData":{"id":14432,"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Neurosci","language":"eng","page":"7346-7352","PMID":"27413146","PMCID":"PMC4945659","source":"PubMed","title":"Abstract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Pr="00CD7B04">
        <w:rPr>
          <w:color w:val="1F4E9E"/>
        </w:rPr>
        <w:fldChar w:fldCharType="separate"/>
      </w:r>
      <w:r w:rsidRPr="00CD7B04">
        <w:rPr>
          <w:color w:val="FF0000"/>
        </w:rPr>
        <w:t>(Rogge et al., 2022; Twomey et al., 2016)</w:t>
      </w:r>
      <w:r w:rsidRPr="00CD7B04">
        <w:rPr>
          <w:color w:val="1F4E9E"/>
        </w:rPr>
        <w:fldChar w:fldCharType="end"/>
      </w:r>
      <w:r w:rsidRPr="00CD7B04">
        <w:rPr>
          <w:color w:val="1F4E9E"/>
        </w:rPr>
        <w:t xml:space="preserve">. </w:t>
      </w:r>
    </w:p>
    <w:p w14:paraId="3C500DAE" w14:textId="77777777" w:rsidR="004B0AEA" w:rsidRDefault="00CD7B04" w:rsidP="0079438B">
      <w:pPr>
        <w:rPr>
          <w:color w:val="1F4E9E"/>
        </w:rPr>
      </w:pPr>
      <w:r w:rsidRPr="00CD7B04">
        <w:rPr>
          <w:i/>
          <w:color w:val="FF0000"/>
        </w:rPr>
        <w:t>Onset of maintenance.</w:t>
      </w:r>
      <w:r w:rsidRPr="00CD7B04">
        <w:rPr>
          <w:color w:val="FF0000"/>
        </w:rPr>
        <w:t xml:space="preserve"> We next specify when the model transitions from evidence accumulation to maintenance.</w:t>
      </w:r>
      <w:r w:rsidR="007662DA">
        <w:t xml:space="preserve"> </w:t>
      </w:r>
      <w:r w:rsidR="001C0130">
        <w:rPr>
          <w:color w:val="1F4E9E"/>
        </w:rPr>
        <w:t xml:space="preserve">For a </w:t>
      </w:r>
      <w:r w:rsidR="007662DA">
        <w:rPr>
          <w:color w:val="1F4E9E"/>
        </w:rPr>
        <w:t xml:space="preserve">motion </w:t>
      </w:r>
      <w:r w:rsidR="001C0130">
        <w:rPr>
          <w:color w:val="FF0000"/>
        </w:rPr>
        <w:t>stimulus presented from</w:t>
      </w:r>
      <w:r w:rsidR="001C0130" w:rsidRPr="001C0130">
        <w:rPr>
          <w:i/>
          <w:color w:val="1F4E9E"/>
        </w:rPr>
        <w:t xml:space="preserve"> t</w:t>
      </w:r>
      <w:r w:rsidR="0025318F">
        <w:rPr>
          <w:i/>
        </w:rPr>
        <w:t xml:space="preserve"> </w:t>
      </w:r>
      <w:r w:rsidR="001C0130">
        <w:rPr>
          <w:color w:val="1F4E9E"/>
        </w:rPr>
        <w:t>=</w:t>
      </w:r>
      <w:r w:rsidR="0025318F">
        <w:t xml:space="preserve"> </w:t>
      </w:r>
      <w:r w:rsidR="001C0130">
        <w:rPr>
          <w:color w:val="1F4E9E"/>
        </w:rPr>
        <w:t xml:space="preserve">0 to </w:t>
      </w:r>
      <w:r w:rsidR="001C0130" w:rsidRPr="001C0130">
        <w:rPr>
          <w:i/>
          <w:color w:val="1F4E9E"/>
        </w:rPr>
        <w:t>t</w:t>
      </w:r>
      <w:r w:rsidR="0025318F">
        <w:rPr>
          <w:i/>
        </w:rPr>
        <w:t xml:space="preserve"> </w:t>
      </w:r>
      <w:r w:rsidR="001C0130">
        <w:rPr>
          <w:color w:val="1F4E9E"/>
        </w:rPr>
        <w:t>=</w:t>
      </w:r>
      <w:r w:rsidR="0025318F">
        <w:t xml:space="preserve"> </w:t>
      </w:r>
      <w:r w:rsidR="001C0130" w:rsidRPr="001C0130">
        <w:rPr>
          <w:i/>
          <w:color w:val="1F4E9E"/>
        </w:rPr>
        <w:t>D</w:t>
      </w:r>
      <w:r w:rsidR="001C0130" w:rsidRPr="001C0130">
        <w:rPr>
          <w:color w:val="FF0000"/>
        </w:rPr>
        <w:t xml:space="preserve">, encoded motion evidence </w:t>
      </w:r>
      <w:r w:rsidR="0079438B">
        <w:rPr>
          <w:color w:val="1F4E9E"/>
        </w:rPr>
        <w:t>is potentially</w:t>
      </w:r>
      <w:r w:rsidR="001C0130" w:rsidRPr="001C0130">
        <w:rPr>
          <w:color w:val="1F4E9E"/>
        </w:rPr>
        <w:t xml:space="preserve"> availabl</w:t>
      </w:r>
      <w:r w:rsidR="007662DA">
        <w:rPr>
          <w:color w:val="FF0000"/>
        </w:rPr>
        <w:t>e to the decision process from</w:t>
      </w:r>
      <w:r w:rsidR="002924B2">
        <w:rPr>
          <w:i/>
        </w:rPr>
        <w:t xml:space="preserve"> </w:t>
      </w:r>
      <w:proofErr w:type="spellStart"/>
      <w:r w:rsidR="008D3E7A">
        <w:rPr>
          <w:i/>
          <w:color w:val="1F4E9E"/>
        </w:rPr>
        <w:t>L</w:t>
      </w:r>
      <w:r w:rsidR="008D3E7A" w:rsidRPr="008D3E7A">
        <w:rPr>
          <w:color w:val="1F4E9E"/>
          <w:vertAlign w:val="subscript"/>
        </w:rPr>
        <w:t>motion</w:t>
      </w:r>
      <w:proofErr w:type="spellEnd"/>
      <w:r w:rsidR="001C0130" w:rsidRPr="001C0130">
        <w:t xml:space="preserve"> </w:t>
      </w:r>
      <w:r w:rsidR="007662DA">
        <w:rPr>
          <w:color w:val="1F4E9E"/>
        </w:rPr>
        <w:t>to</w:t>
      </w:r>
      <w:r w:rsidR="001C0130" w:rsidRPr="001C0130">
        <w:t xml:space="preserve"> </w:t>
      </w:r>
      <w:proofErr w:type="spellStart"/>
      <w:r w:rsidR="008D3E7A">
        <w:rPr>
          <w:i/>
          <w:color w:val="1F4E9E"/>
        </w:rPr>
        <w:t>L</w:t>
      </w:r>
      <w:r w:rsidR="008D3E7A" w:rsidRPr="008D3E7A">
        <w:rPr>
          <w:color w:val="1F4E9E"/>
          <w:vertAlign w:val="subscript"/>
        </w:rPr>
        <w:t>motion</w:t>
      </w:r>
      <w:proofErr w:type="spellEnd"/>
      <w:r w:rsidR="0025318F">
        <w:rPr>
          <w:i/>
        </w:rPr>
        <w:t xml:space="preserve"> </w:t>
      </w:r>
      <w:r w:rsidR="001C0130" w:rsidRPr="001C0130">
        <w:rPr>
          <w:color w:val="1F4E9E"/>
        </w:rPr>
        <w:t>+</w:t>
      </w:r>
      <w:r w:rsidR="0025318F">
        <w:t xml:space="preserve"> </w:t>
      </w:r>
      <w:r w:rsidR="001C0130" w:rsidRPr="001C0130">
        <w:rPr>
          <w:i/>
          <w:color w:val="1F4E9E"/>
        </w:rPr>
        <w:t>D</w:t>
      </w:r>
      <w:r w:rsidR="00A73F8F" w:rsidRPr="00A73F8F">
        <w:rPr>
          <w:color w:val="1F4E9E"/>
        </w:rPr>
        <w:t xml:space="preserve">, where </w:t>
      </w:r>
      <w:proofErr w:type="spellStart"/>
      <w:r w:rsidR="008D3E7A">
        <w:rPr>
          <w:i/>
          <w:color w:val="1F4E9E"/>
        </w:rPr>
        <w:t>L</w:t>
      </w:r>
      <w:r w:rsidR="008D3E7A" w:rsidRPr="008D3E7A">
        <w:rPr>
          <w:color w:val="1F4E9E"/>
          <w:vertAlign w:val="subscript"/>
        </w:rPr>
        <w:t>motion</w:t>
      </w:r>
      <w:proofErr w:type="spellEnd"/>
      <w:r w:rsidR="00A73F8F">
        <w:rPr>
          <w:i/>
          <w:vertAlign w:val="subscript"/>
        </w:rPr>
        <w:t xml:space="preserve"> </w:t>
      </w:r>
      <w:r w:rsidR="00A73F8F">
        <w:rPr>
          <w:color w:val="FF0000"/>
        </w:rPr>
        <w:t>denotes the motion-evidence encoding latency</w:t>
      </w:r>
      <w:r w:rsidR="00A73F8F">
        <w:rPr>
          <w:i/>
          <w:vertAlign w:val="subscript"/>
        </w:rPr>
        <w:t xml:space="preserve"> </w:t>
      </w:r>
      <w:r w:rsidR="001C0130" w:rsidRPr="004B0AEA">
        <w:rPr>
          <w:color w:val="1F4E9E"/>
        </w:rPr>
        <w:fldChar w:fldCharType="begin"/>
      </w:r>
      <w:r w:rsidR="004B0AEA" w:rsidRPr="004B0AEA">
        <w:rPr>
          <w:color w:val="1F4E9E"/>
        </w:rPr>
        <w:instrText xml:space="preserve"> ADDIN ZOTERO_ITEM CSL_CITATION {"citationID":"WdI1TUQa","properties":{"unsorted":false,"formattedCitation":"(e.g., Resulaj et al., 2009)","plainCitation":"(e.g., Resulaj et al., 2009)","noteIndex":0},"citationItems":[{"id":913,"uris":["http://zotero.org/users/5679506/items/7URIBLJ3"],"itemData":{"id":913,"type":"article-journal","abstract":"A decision is a commitment to a proposition or plan of action based on evidence and the expected costs and benefits associated with the outcome. Progress in a variety of fields has led to a quantitative understanding of the mechanisms that evaluate evidence and reach a decision. Several formalisms propose that a representation of noisy evidence is evaluated against a criterion to produce a decision. Without additional evidence, however, these formalisms fail to explain why a decision-maker would change their mind. Here we extend a model, developed to account for both the timing and the accuracy of the initial decision, to explain subsequent changes of mind. Subjects made decisions about a noisy visual stimulus, which they indicated by moving a handle. Although they received no additional information after initiating their movement, their hand trajectories betrayed a change of mind in some trials. We propose that noisy evidence is accumulated over time until it reaches a criterion level, or bound, which determines the initial decision, and that the brain exploits information that is in the processing pipeline when the initial decision is made to subsequently either reverse or reaffirm the initial decision. The model explains both the frequency of changes of mind as well as their dependence on both task difficulty and whether the initial decision was accurate or erroneous. The theoretical and experimental findings advance the understanding of decision-making to the highly flexible and cognitive acts of vacillation and self-correction.","container-title":"Nature","DOI":"10.1038/nature08275","ISSN":"1476-4687","issue":"7261","journalAbbreviation":"Nature","language":"eng","page":"263-266","PMID":"19693010","PMCID":"PMC2875179","source":"PubMed","title":"Changes of mind in decision-making","volume":"461","author":[{"family":"Resulaj","given":"Arbora"},{"family":"Kiani","given":"Roozbeh"},{"family":"Wolpert","given":"Daniel M."},{"family":"Shadlen","given":"Michael N."}],"issued":{"date-parts":[["2009",9,10]]}},"prefix":"e.g., "}],"schema":"https://github.com/citation-style-language/schema/raw/master/csl-citation.json"} </w:instrText>
      </w:r>
      <w:r w:rsidR="001C0130" w:rsidRPr="004B0AEA">
        <w:rPr>
          <w:color w:val="1F4E9E"/>
        </w:rPr>
        <w:fldChar w:fldCharType="separate"/>
      </w:r>
      <w:r w:rsidR="004B0AEA" w:rsidRPr="004B0AEA">
        <w:rPr>
          <w:color w:val="FF0000"/>
        </w:rPr>
        <w:t>(e.g., Resulaj et al., 2009)</w:t>
      </w:r>
      <w:r w:rsidR="001C0130" w:rsidRPr="004B0AEA">
        <w:rPr>
          <w:color w:val="1F4E9E"/>
        </w:rPr>
        <w:fldChar w:fldCharType="end"/>
      </w:r>
      <w:r w:rsidR="001C0130" w:rsidRPr="004B0AEA">
        <w:rPr>
          <w:color w:val="1F4E9E"/>
        </w:rPr>
        <w:t>.</w:t>
      </w:r>
      <w:r w:rsidR="0079438B" w:rsidRPr="004B0AEA">
        <w:t xml:space="preserve"> </w:t>
      </w:r>
      <w:r w:rsidR="004B0AEA" w:rsidRPr="004B0AEA">
        <w:rPr>
          <w:color w:val="FF0000"/>
        </w:rPr>
        <w:t xml:space="preserve">If the magnitude of motor preparation reached an internal threshold </w:t>
      </w:r>
      <w:r w:rsidR="004B0AEA" w:rsidRPr="004B0AEA">
        <w:rPr>
          <w:i/>
          <w:color w:val="1F4E9E"/>
        </w:rPr>
        <w:t>θ</w:t>
      </w:r>
      <w:r w:rsidR="004B0AEA" w:rsidRPr="004B0AEA">
        <w:rPr>
          <w:color w:val="FF0000"/>
        </w:rPr>
        <w:t xml:space="preserve"> during this interval, motion-evidence accumulation terminated at threshold crossing and maintenance began at that time,</w:t>
      </w:r>
      <w:r w:rsidR="004B0AEA">
        <w:t xml:space="preserve"> </w:t>
      </w:r>
      <w:r w:rsidR="004B0AEA" w:rsidRPr="004B0AEA">
        <w:rPr>
          <w:color w:val="1F4E9E"/>
        </w:rPr>
        <w:t xml:space="preserve">denoted </w:t>
      </w:r>
      <w:r w:rsidR="004B0AEA" w:rsidRPr="004B0AEA">
        <w:rPr>
          <w:i/>
          <w:color w:val="1F4E9E"/>
        </w:rPr>
        <w:t>τ</w:t>
      </w:r>
      <w:r w:rsidR="004B0AEA">
        <w:rPr>
          <w:color w:val="1F4E9E"/>
        </w:rPr>
        <w:t xml:space="preserve">. </w:t>
      </w:r>
      <w:r w:rsidR="002E1630" w:rsidRPr="002E1630">
        <w:rPr>
          <w:color w:val="FF0000"/>
        </w:rPr>
        <w:t>Allowing maintenance to begin before encoded motion evidence ceased was motivated by evidence that accumulation can terminate upon reaching a threshold even when stimulus duration is externally controlled</w:t>
      </w:r>
      <w:r w:rsidR="002E1630">
        <w:t xml:space="preserve"> </w:t>
      </w:r>
      <w:r w:rsidR="004B0AEA" w:rsidRPr="0079438B">
        <w:rPr>
          <w:color w:val="1F4E9E"/>
        </w:rPr>
        <w:fldChar w:fldCharType="begin"/>
      </w:r>
      <w:r w:rsidR="004B0AEA" w:rsidRPr="0079438B">
        <w:rPr>
          <w:color w:val="1F4E9E"/>
        </w:rPr>
        <w:instrText xml:space="preserve"> ADDIN ZOTERO_ITEM CSL_CITATION {"citationID":"B4DSNn4n","properties":{"unsorted":false,"formattedCitation":"(Kiani et al., 2008)","plainCitation":"(Kiani et al., 2008)","noteIndex":0},"citationItems":[{"id":8725,"uris":["http://zotero.org/users/5679506/items/IRDHSPHC"],"itemData":{"id":8725,"type":"article-journal","abstract":"Decisions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Neurosci","language":"eng","page":"3017-3029","PMID":"18354005","PMCID":"PMC6670720","source":"PubMed","title":"Bounded integration in parietal cortex underlies decisions even when viewing duration is dictated by the environment","volume":"28","author":[{"family":"Kiani","given":"Roozbeh"},{"family":"Hanks","given":"Timothy D."},{"family":"Shadlen","given":"Michael N."}],"issued":{"date-parts":[["2008",3,19]]}}}],"schema":"https://github.com/citation-style-language/schema/raw/master/csl-citation.json"} </w:instrText>
      </w:r>
      <w:r w:rsidR="004B0AEA" w:rsidRPr="0079438B">
        <w:rPr>
          <w:color w:val="1F4E9E"/>
        </w:rPr>
        <w:fldChar w:fldCharType="separate"/>
      </w:r>
      <w:r w:rsidR="004B0AEA" w:rsidRPr="0079438B">
        <w:rPr>
          <w:color w:val="1F4E9E"/>
        </w:rPr>
        <w:t>(Kiani et al., 2008)</w:t>
      </w:r>
      <w:r w:rsidR="004B0AEA" w:rsidRPr="0079438B">
        <w:rPr>
          <w:color w:val="1F4E9E"/>
        </w:rPr>
        <w:fldChar w:fldCharType="end"/>
      </w:r>
      <w:r w:rsidR="004B0AEA" w:rsidRPr="0079438B">
        <w:rPr>
          <w:color w:val="1F4E9E"/>
        </w:rPr>
        <w:t>.</w:t>
      </w:r>
      <w:r w:rsidR="004B0AEA">
        <w:rPr>
          <w:color w:val="1F4E9E"/>
        </w:rPr>
        <w:t xml:space="preserve"> The</w:t>
      </w:r>
      <w:r w:rsidR="007D2511" w:rsidRPr="007D2511">
        <w:rPr>
          <w:color w:val="FF0000"/>
        </w:rPr>
        <w:t xml:space="preserve"> threshold was constrained to lie below gating inhibition (</w:t>
      </w:r>
      <w:r w:rsidR="007D2511" w:rsidRPr="007D2511">
        <w:rPr>
          <w:i/>
          <w:color w:val="1F4E9E"/>
        </w:rPr>
        <w:t>θ</w:t>
      </w:r>
      <w:r w:rsidR="007D2511" w:rsidRPr="007D2511">
        <w:rPr>
          <w:color w:val="1F4E9E"/>
        </w:rPr>
        <w:t xml:space="preserve"> &lt; </w:t>
      </w:r>
      <w:r w:rsidR="007D2511" w:rsidRPr="007D2511">
        <w:rPr>
          <w:i/>
          <w:color w:val="1F4E9E"/>
        </w:rPr>
        <w:t>g</w:t>
      </w:r>
      <w:r w:rsidR="007D2511">
        <w:rPr>
          <w:color w:val="1F4E9E"/>
        </w:rPr>
        <w:t>)</w:t>
      </w:r>
      <w:r w:rsidR="007D2511" w:rsidRPr="007D2511">
        <w:rPr>
          <w:color w:val="1F4E9E"/>
        </w:rPr>
        <w:t>.</w:t>
      </w:r>
      <w:r w:rsidR="007D2511">
        <w:t xml:space="preserve"> </w:t>
      </w:r>
      <w:r w:rsidR="004B0AEA" w:rsidRPr="004B0AEA">
        <w:rPr>
          <w:color w:val="1F4E9E"/>
        </w:rPr>
        <w:t xml:space="preserve">If </w:t>
      </w:r>
      <w:r w:rsidR="004B0AEA" w:rsidRPr="004B0AEA">
        <w:rPr>
          <w:i/>
          <w:color w:val="1F4E9E"/>
        </w:rPr>
        <w:t>θ</w:t>
      </w:r>
      <w:r w:rsidR="004B0AEA" w:rsidRPr="004B0AEA">
        <w:rPr>
          <w:color w:val="FF0000"/>
        </w:rPr>
        <w:t xml:space="preserve"> was not reached, motion-evidence accumulation continued until encoded motion</w:t>
      </w:r>
      <w:r w:rsidR="004B0AEA">
        <w:rPr>
          <w:color w:val="FF0000"/>
        </w:rPr>
        <w:t xml:space="preserve"> evidence ceased, and </w:t>
      </w:r>
      <w:r w:rsidR="004B0AEA" w:rsidRPr="004B0AEA">
        <w:rPr>
          <w:color w:val="FF0000"/>
        </w:rPr>
        <w:t>maintenance began at</w:t>
      </w:r>
      <w:r w:rsidR="004B0AEA">
        <w:t xml:space="preserve"> </w:t>
      </w:r>
      <w:r w:rsidR="004B0AEA" w:rsidRPr="004B0AEA">
        <w:rPr>
          <w:i/>
          <w:color w:val="1F4E9E"/>
        </w:rPr>
        <w:t>τ</w:t>
      </w:r>
      <w:r w:rsidR="004B0AEA">
        <w:rPr>
          <w:color w:val="1F4E9E"/>
        </w:rPr>
        <w:t xml:space="preserve"> = </w:t>
      </w:r>
      <w:proofErr w:type="spellStart"/>
      <w:r w:rsidR="008D3E7A">
        <w:rPr>
          <w:i/>
          <w:color w:val="1F4E9E"/>
        </w:rPr>
        <w:t>L</w:t>
      </w:r>
      <w:r w:rsidR="008D3E7A" w:rsidRPr="008D3E7A">
        <w:rPr>
          <w:color w:val="1F4E9E"/>
          <w:vertAlign w:val="subscript"/>
        </w:rPr>
        <w:t>motion</w:t>
      </w:r>
      <w:proofErr w:type="spellEnd"/>
      <w:r w:rsidR="004B0AEA">
        <w:rPr>
          <w:i/>
        </w:rPr>
        <w:t xml:space="preserve"> </w:t>
      </w:r>
      <w:r w:rsidR="004B0AEA" w:rsidRPr="001C0130">
        <w:rPr>
          <w:color w:val="1F4E9E"/>
        </w:rPr>
        <w:t>+</w:t>
      </w:r>
      <w:r w:rsidR="004B0AEA">
        <w:t xml:space="preserve"> </w:t>
      </w:r>
      <w:r w:rsidR="004B0AEA" w:rsidRPr="001C0130">
        <w:rPr>
          <w:i/>
          <w:color w:val="1F4E9E"/>
        </w:rPr>
        <w:t>D</w:t>
      </w:r>
      <w:r w:rsidR="004B0AEA">
        <w:rPr>
          <w:color w:val="1F4E9E"/>
        </w:rPr>
        <w:t xml:space="preserve">. </w:t>
      </w:r>
    </w:p>
    <w:p w14:paraId="66299663" w14:textId="77777777" w:rsidR="00AD4CB7" w:rsidRDefault="0079438B" w:rsidP="00902EC4">
      <w:pPr>
        <w:rPr>
          <w:color w:val="1F4E9E"/>
        </w:rPr>
      </w:pPr>
      <w:r w:rsidRPr="0079438B">
        <w:rPr>
          <w:i/>
          <w:color w:val="FF0000"/>
        </w:rPr>
        <w:t>Value retained at maintenance onset.</w:t>
      </w:r>
      <w:r>
        <w:rPr>
          <w:i/>
        </w:rPr>
        <w:t xml:space="preserve"> </w:t>
      </w:r>
      <w:r w:rsidR="004E256C" w:rsidRPr="004E256C">
        <w:rPr>
          <w:color w:val="FF0000"/>
        </w:rPr>
        <w:t>The motor-preparatory state established at the</w:t>
      </w:r>
      <w:r w:rsidR="00C4261A">
        <w:rPr>
          <w:color w:val="FF0000"/>
        </w:rPr>
        <w:t xml:space="preserve"> transition defined the </w:t>
      </w:r>
      <w:r w:rsidR="004E256C" w:rsidRPr="004E256C">
        <w:rPr>
          <w:color w:val="FF0000"/>
        </w:rPr>
        <w:t xml:space="preserve">maintenance target </w:t>
      </w:r>
      <w:r w:rsidR="004E256C" w:rsidRPr="00B17E95">
        <w:rPr>
          <w:i/>
          <w:color w:val="1F4E9E"/>
        </w:rPr>
        <w:t>m</w:t>
      </w:r>
      <w:r w:rsidR="004E256C" w:rsidRPr="004E256C">
        <w:rPr>
          <w:color w:val="1F4E9E"/>
        </w:rPr>
        <w:t>:</w:t>
      </w:r>
    </w:p>
    <w:p w14:paraId="647B4D6C" w14:textId="77777777" w:rsidR="004E256C" w:rsidRPr="00B17E95" w:rsidRDefault="00000000" w:rsidP="00902EC4">
      <w:pPr>
        <w:rPr>
          <w:rFonts w:eastAsiaTheme="minorEastAsia"/>
          <w:color w:val="1F4E9E"/>
        </w:rPr>
      </w:pPr>
      <m:oMathPara>
        <m:oMath>
          <m:eqArr>
            <m:eqArrPr>
              <m:maxDist m:val="1"/>
              <m:ctrlPr>
                <w:rPr>
                  <w:rFonts w:ascii="Cambria Math" w:hAnsi="Cambria Math"/>
                  <w:i/>
                  <w:color w:val="1F4E9E"/>
                </w:rPr>
              </m:ctrlPr>
            </m:eqArrPr>
            <m:e>
              <m:r>
                <w:rPr>
                  <w:rFonts w:ascii="Cambria Math" w:hAnsi="Cambria Math"/>
                  <w:color w:val="1F4E9E"/>
                </w:rPr>
                <m:t>m=</m:t>
              </m:r>
              <m:d>
                <m:dPr>
                  <m:begChr m:val="{"/>
                  <m:endChr m:val=""/>
                  <m:ctrlPr>
                    <w:rPr>
                      <w:rFonts w:ascii="Cambria Math" w:hAnsi="Cambria Math"/>
                      <w:i/>
                      <w:color w:val="1F4E9E"/>
                    </w:rPr>
                  </m:ctrlPr>
                </m:dPr>
                <m:e>
                  <m:eqArr>
                    <m:eqArrPr>
                      <m:ctrlPr>
                        <w:rPr>
                          <w:rFonts w:ascii="Cambria Math" w:hAnsi="Cambria Math"/>
                          <w:i/>
                          <w:color w:val="1F4E9E"/>
                        </w:rPr>
                      </m:ctrlPr>
                    </m:eqArrPr>
                    <m:e>
                      <m:sSub>
                        <m:sSubPr>
                          <m:ctrlPr>
                            <w:rPr>
                              <w:rFonts w:ascii="Cambria Math" w:hAnsi="Cambria Math"/>
                              <w:i/>
                              <w:color w:val="1F4E9E"/>
                            </w:rPr>
                          </m:ctrlPr>
                        </m:sSubPr>
                        <m:e>
                          <m:r>
                            <w:rPr>
                              <w:rFonts w:ascii="Cambria Math" w:hAnsi="Cambria Math"/>
                              <w:color w:val="1F4E9E"/>
                            </w:rPr>
                            <m:t>s</m:t>
                          </m:r>
                        </m:e>
                        <m:sub>
                          <m:r>
                            <m:rPr>
                              <m:sty m:val="p"/>
                            </m:rPr>
                            <w:rPr>
                              <w:rFonts w:ascii="Cambria Math" w:hAnsi="Cambria Math"/>
                              <w:color w:val="1F4E9E"/>
                            </w:rPr>
                            <m:t>resp</m:t>
                          </m:r>
                        </m:sub>
                      </m:sSub>
                      <m:r>
                        <w:rPr>
                          <w:rFonts w:ascii="Cambria Math" w:hAnsi="Cambria Math"/>
                          <w:color w:val="1F4E9E"/>
                        </w:rPr>
                        <m:t xml:space="preserve">θ,  </m:t>
                      </m:r>
                      <m:r>
                        <m:rPr>
                          <m:sty m:val="p"/>
                        </m:rPr>
                        <w:rPr>
                          <w:rFonts w:ascii="Cambria Math" w:hAnsi="Cambria Math"/>
                          <w:color w:val="1F4E9E"/>
                        </w:rPr>
                        <m:t>if</m:t>
                      </m:r>
                      <m:r>
                        <w:rPr>
                          <w:rFonts w:ascii="Cambria Math" w:hAnsi="Cambria Math"/>
                          <w:color w:val="1F4E9E"/>
                        </w:rPr>
                        <m:t xml:space="preserve"> θ </m:t>
                      </m:r>
                      <m:r>
                        <m:rPr>
                          <m:sty m:val="p"/>
                        </m:rPr>
                        <w:rPr>
                          <w:rFonts w:ascii="Cambria Math" w:hAnsi="Cambria Math"/>
                          <w:color w:val="1F4E9E"/>
                        </w:rPr>
                        <m:t>was reached,</m:t>
                      </m:r>
                    </m:e>
                    <m:e>
                      <m:r>
                        <w:rPr>
                          <w:rFonts w:ascii="Cambria Math" w:hAnsi="Cambria Math"/>
                          <w:color w:val="1F4E9E"/>
                        </w:rPr>
                        <m:t xml:space="preserve"> y</m:t>
                      </m:r>
                      <m:d>
                        <m:dPr>
                          <m:ctrlPr>
                            <w:rPr>
                              <w:rFonts w:ascii="Cambria Math" w:hAnsi="Cambria Math"/>
                              <w:i/>
                              <w:color w:val="1F4E9E"/>
                            </w:rPr>
                          </m:ctrlPr>
                        </m:dPr>
                        <m:e>
                          <m:sSub>
                            <m:sSubPr>
                              <m:ctrlPr>
                                <w:rPr>
                                  <w:rFonts w:ascii="Cambria Math" w:hAnsi="Cambria Math"/>
                                  <w:i/>
                                  <w:color w:val="1F4E9E"/>
                                </w:rPr>
                              </m:ctrlPr>
                            </m:sSubPr>
                            <m:e>
                              <m:r>
                                <w:rPr>
                                  <w:rFonts w:ascii="Cambria Math" w:hAnsi="Cambria Math"/>
                                  <w:color w:val="1F4E9E"/>
                                </w:rPr>
                                <m:t>L</m:t>
                              </m:r>
                            </m:e>
                            <m:sub>
                              <m:r>
                                <m:rPr>
                                  <m:sty m:val="p"/>
                                </m:rPr>
                                <w:rPr>
                                  <w:rFonts w:ascii="Cambria Math" w:hAnsi="Cambria Math"/>
                                  <w:color w:val="1F4E9E"/>
                                </w:rPr>
                                <m:t>motion</m:t>
                              </m:r>
                            </m:sub>
                          </m:sSub>
                          <m:r>
                            <w:rPr>
                              <w:rFonts w:ascii="Cambria Math" w:hAnsi="Cambria Math"/>
                              <w:color w:val="1F4E9E"/>
                            </w:rPr>
                            <m:t>+D</m:t>
                          </m:r>
                        </m:e>
                      </m:d>
                      <m:r>
                        <w:rPr>
                          <w:rFonts w:ascii="Cambria Math" w:hAnsi="Cambria Math"/>
                          <w:color w:val="1F4E9E"/>
                        </w:rPr>
                        <m:t xml:space="preserve">,  </m:t>
                      </m:r>
                      <m:r>
                        <m:rPr>
                          <m:sty m:val="p"/>
                        </m:rPr>
                        <w:rPr>
                          <w:rFonts w:ascii="Cambria Math" w:hAnsi="Cambria Math"/>
                          <w:color w:val="1F4E9E"/>
                        </w:rPr>
                        <m:t>otherwise,</m:t>
                      </m:r>
                    </m:e>
                  </m:eqArr>
                </m:e>
              </m:d>
              <m:r>
                <w:rPr>
                  <w:rFonts w:ascii="Cambria Math" w:hAnsi="Cambria Math"/>
                  <w:color w:val="1F4E9E"/>
                </w:rPr>
                <m:t>#</m:t>
              </m:r>
              <m:d>
                <m:dPr>
                  <m:ctrlPr>
                    <w:rPr>
                      <w:rFonts w:ascii="Cambria Math" w:hAnsi="Cambria Math"/>
                      <w:i/>
                      <w:color w:val="1F4E9E"/>
                    </w:rPr>
                  </m:ctrlPr>
                </m:dPr>
                <m:e>
                  <m:r>
                    <w:rPr>
                      <w:rFonts w:ascii="Cambria Math" w:hAnsi="Cambria Math"/>
                      <w:color w:val="1F4E9E"/>
                    </w:rPr>
                    <m:t>4</m:t>
                  </m:r>
                </m:e>
              </m:d>
            </m:e>
          </m:eqArr>
          <m:r>
            <w:rPr>
              <w:rFonts w:ascii="Cambria Math" w:hAnsi="Cambria Math"/>
              <w:color w:val="1F4E9E"/>
            </w:rPr>
            <m:t xml:space="preserve"> </m:t>
          </m:r>
        </m:oMath>
      </m:oMathPara>
    </w:p>
    <w:p w14:paraId="695612EE" w14:textId="77777777" w:rsidR="00B17E95" w:rsidRPr="00B17E95" w:rsidRDefault="00F4516D" w:rsidP="00902EC4">
      <w:pPr>
        <w:rPr>
          <w:rFonts w:eastAsiaTheme="minorEastAsia"/>
          <w:color w:val="1F4E9E"/>
        </w:rPr>
      </w:pPr>
      <w:r>
        <w:rPr>
          <w:rFonts w:eastAsiaTheme="minorEastAsia"/>
          <w:color w:val="1F4E9E"/>
        </w:rPr>
        <w:t>w</w:t>
      </w:r>
      <w:r w:rsidR="00B17E95">
        <w:rPr>
          <w:rFonts w:eastAsiaTheme="minorEastAsia"/>
          <w:color w:val="1F4E9E"/>
        </w:rPr>
        <w:t>here</w:t>
      </w:r>
      <w:r w:rsidR="00B17E95">
        <w:rPr>
          <w:rFonts w:eastAsiaTheme="minorEastAsia"/>
        </w:rPr>
        <w:t xml:space="preserve"> </w:t>
      </w:r>
      <w:proofErr w:type="spellStart"/>
      <w:r w:rsidR="00B17E95" w:rsidRPr="00B17E95">
        <w:rPr>
          <w:rFonts w:eastAsiaTheme="minorEastAsia"/>
          <w:i/>
          <w:color w:val="1F4E9E"/>
        </w:rPr>
        <w:t>s</w:t>
      </w:r>
      <w:r w:rsidR="00CA71FD" w:rsidRPr="008D3E7A">
        <w:rPr>
          <w:rFonts w:eastAsiaTheme="minorEastAsia"/>
          <w:color w:val="1F4E9E"/>
          <w:vertAlign w:val="subscript"/>
        </w:rPr>
        <w:t>resp</w:t>
      </w:r>
      <w:proofErr w:type="spellEnd"/>
      <w:r w:rsidR="00B17E95">
        <w:rPr>
          <w:rFonts w:eastAsiaTheme="minorEastAsia"/>
        </w:rPr>
        <w:t xml:space="preserve"> </w:t>
      </w:r>
      <w:r w:rsidR="00B17E95" w:rsidRPr="00907F07">
        <w:rPr>
          <w:rFonts w:ascii="Cambria Math" w:hAnsi="Cambria Math" w:cs="Cambria Math"/>
          <w:color w:val="1F4E9E"/>
        </w:rPr>
        <w:t>∈</w:t>
      </w:r>
      <w:r w:rsidR="00B17E95" w:rsidRPr="00907F07">
        <w:rPr>
          <w:color w:val="1F4E9E"/>
        </w:rPr>
        <w:t xml:space="preserve"> {−</w:t>
      </w:r>
      <w:proofErr w:type="gramStart"/>
      <w:r w:rsidR="00B17E95" w:rsidRPr="00907F07">
        <w:rPr>
          <w:color w:val="1F4E9E"/>
        </w:rPr>
        <w:t>1,+</w:t>
      </w:r>
      <w:proofErr w:type="gramEnd"/>
      <w:r w:rsidR="00B17E95" w:rsidRPr="00907F07">
        <w:rPr>
          <w:color w:val="1F4E9E"/>
        </w:rPr>
        <w:t xml:space="preserve">1} </w:t>
      </w:r>
      <w:r w:rsidR="00D66DB2">
        <w:rPr>
          <w:color w:val="1F4E9E"/>
        </w:rPr>
        <w:t>c</w:t>
      </w:r>
      <w:r w:rsidR="00D66DB2" w:rsidRPr="00D66DB2">
        <w:rPr>
          <w:rFonts w:eastAsiaTheme="minorEastAsia"/>
          <w:color w:val="1F4E9E"/>
        </w:rPr>
        <w:t>od</w:t>
      </w:r>
      <w:r w:rsidR="00D66DB2">
        <w:rPr>
          <w:rFonts w:eastAsiaTheme="minorEastAsia"/>
          <w:color w:val="FF0000"/>
        </w:rPr>
        <w:t xml:space="preserve">es the selected response, with </w:t>
      </w:r>
      <w:r w:rsidR="00D66DB2" w:rsidRPr="00907F07">
        <w:rPr>
          <w:color w:val="1F4E9E"/>
        </w:rPr>
        <w:t>−</w:t>
      </w:r>
      <w:r w:rsidR="00D66DB2" w:rsidRPr="00D66DB2">
        <w:rPr>
          <w:rFonts w:eastAsiaTheme="minorEastAsia"/>
          <w:color w:val="FF0000"/>
        </w:rPr>
        <w:t>1 denoting the left-hand response and +1 the right-hand response, following the arbitrary s</w:t>
      </w:r>
      <w:r w:rsidR="00D66DB2">
        <w:rPr>
          <w:rFonts w:eastAsiaTheme="minorEastAsia"/>
          <w:color w:val="FF0000"/>
        </w:rPr>
        <w:t xml:space="preserve">ign convention defined for </w:t>
      </w:r>
      <w:r w:rsidR="00D66DB2" w:rsidRPr="00D66DB2">
        <w:rPr>
          <w:rFonts w:eastAsiaTheme="minorEastAsia"/>
          <w:i/>
          <w:color w:val="1F4E9E"/>
        </w:rPr>
        <w:t>y(t)</w:t>
      </w:r>
      <w:r w:rsidR="00B17E95">
        <w:rPr>
          <w:rFonts w:eastAsiaTheme="minorEastAsia"/>
          <w:color w:val="1F4E9E"/>
        </w:rPr>
        <w:t xml:space="preserve">. </w:t>
      </w:r>
      <w:r w:rsidR="00B17E95" w:rsidRPr="00B17E95">
        <w:rPr>
          <w:rFonts w:eastAsiaTheme="minorEastAsia"/>
          <w:color w:val="1F4E9E"/>
        </w:rPr>
        <w:t xml:space="preserve">If </w:t>
      </w:r>
      <w:r w:rsidR="00B17E95" w:rsidRPr="00B17E95">
        <w:rPr>
          <w:rFonts w:eastAsiaTheme="minorEastAsia"/>
          <w:i/>
          <w:color w:val="1F4E9E"/>
        </w:rPr>
        <w:t>θ</w:t>
      </w:r>
      <w:r w:rsidR="00B17E95" w:rsidRPr="00B17E95">
        <w:rPr>
          <w:rFonts w:eastAsiaTheme="minorEastAsia"/>
          <w:color w:val="1F4E9E"/>
        </w:rPr>
        <w:t xml:space="preserve"> was reached, </w:t>
      </w:r>
      <w:r w:rsidR="00B17E95" w:rsidRPr="00B17E95">
        <w:rPr>
          <w:rFonts w:eastAsiaTheme="minorEastAsia"/>
          <w:i/>
          <w:color w:val="1F4E9E"/>
        </w:rPr>
        <w:t>y(t)</w:t>
      </w:r>
      <w:r w:rsidR="00B17E95" w:rsidRPr="00B17E95">
        <w:rPr>
          <w:rFonts w:eastAsiaTheme="minorEastAsia"/>
          <w:color w:val="1F4E9E"/>
        </w:rPr>
        <w:t xml:space="preserve"> was se</w:t>
      </w:r>
      <w:r w:rsidR="00D66DB2">
        <w:rPr>
          <w:rFonts w:eastAsiaTheme="minorEastAsia"/>
          <w:color w:val="FF0000"/>
        </w:rPr>
        <w:t>t to the threshold value in the selected</w:t>
      </w:r>
      <w:r w:rsidR="00B17E95" w:rsidRPr="00B17E95">
        <w:rPr>
          <w:rFonts w:eastAsiaTheme="minorEastAsia"/>
          <w:color w:val="1F4E9E"/>
        </w:rPr>
        <w:t xml:space="preserve"> direction.</w:t>
      </w:r>
      <w:r w:rsidR="00B17E95">
        <w:rPr>
          <w:rFonts w:eastAsiaTheme="minorEastAsia"/>
        </w:rPr>
        <w:t xml:space="preserve"> </w:t>
      </w:r>
      <w:r w:rsidR="00B17E95" w:rsidRPr="00B17E95">
        <w:rPr>
          <w:rFonts w:eastAsiaTheme="minorEastAsia"/>
          <w:color w:val="1F4E9E"/>
        </w:rPr>
        <w:t xml:space="preserve">If </w:t>
      </w:r>
      <w:r w:rsidR="00B17E95" w:rsidRPr="00B17E95">
        <w:rPr>
          <w:rFonts w:eastAsiaTheme="minorEastAsia"/>
          <w:i/>
          <w:color w:val="1F4E9E"/>
        </w:rPr>
        <w:t>θ</w:t>
      </w:r>
      <w:r w:rsidR="00B17E95" w:rsidRPr="00B17E95">
        <w:rPr>
          <w:rFonts w:eastAsiaTheme="minorEastAsia"/>
          <w:color w:val="FF0000"/>
        </w:rPr>
        <w:t xml:space="preserve"> was not reached, the graded state attained when encoded motion evidence ceased was retained.</w:t>
      </w:r>
      <w:r w:rsidR="00B17E95">
        <w:rPr>
          <w:rFonts w:eastAsiaTheme="minorEastAsia"/>
        </w:rPr>
        <w:t xml:space="preserve"> </w:t>
      </w:r>
      <w:r w:rsidR="00B17E95" w:rsidRPr="00B17E95">
        <w:rPr>
          <w:rFonts w:eastAsiaTheme="minorEastAsia"/>
          <w:color w:val="FF0000"/>
        </w:rPr>
        <w:t xml:space="preserve">The model therefore did not require every trial to reach </w:t>
      </w:r>
      <w:r w:rsidR="00B17E95" w:rsidRPr="00FF76B0">
        <w:rPr>
          <w:rFonts w:eastAsiaTheme="minorEastAsia"/>
          <w:i/>
          <w:color w:val="1F4E9E"/>
        </w:rPr>
        <w:t>θ</w:t>
      </w:r>
      <w:r w:rsidR="00B17E95" w:rsidRPr="00B17E95">
        <w:rPr>
          <w:rFonts w:eastAsiaTheme="minorEastAsia"/>
          <w:color w:val="FF0000"/>
        </w:rPr>
        <w:t>: short or weak stimuli could leave a below-</w:t>
      </w:r>
      <w:r w:rsidR="00B17E95" w:rsidRPr="00B17E95">
        <w:rPr>
          <w:rFonts w:eastAsiaTheme="minorEastAsia"/>
          <w:color w:val="FF0000"/>
        </w:rPr>
        <w:lastRenderedPageBreak/>
        <w:t>threshold motor-preparatory state whose magnitude retained information about the preceding accumulation process.</w:t>
      </w:r>
    </w:p>
    <w:p w14:paraId="2621277A" w14:textId="77777777" w:rsidR="00E064A7" w:rsidRDefault="00B17E95" w:rsidP="00902EC4">
      <w:pPr>
        <w:rPr>
          <w:color w:val="1F4E9E"/>
        </w:rPr>
      </w:pPr>
      <w:r w:rsidRPr="00B17E95">
        <w:rPr>
          <w:i/>
          <w:color w:val="FF0000"/>
        </w:rPr>
        <w:t>Maintenance dynamics.</w:t>
      </w:r>
      <w:r w:rsidR="004C5C08">
        <w:t xml:space="preserve"> </w:t>
      </w:r>
      <w:r w:rsidR="006C1FCA" w:rsidRPr="006C1FCA">
        <w:rPr>
          <w:color w:val="FF0000"/>
        </w:rPr>
        <w:t xml:space="preserve">The maintenance mechanism was identical in the two candidate models. Once maintenance began, the input to the low-pass filter generating </w:t>
      </w:r>
      <w:r w:rsidR="006C1FCA" w:rsidRPr="006C1FCA">
        <w:rPr>
          <w:i/>
          <w:color w:val="1F4E9E"/>
        </w:rPr>
        <w:t>y(t)</w:t>
      </w:r>
      <w:r w:rsidR="006C1FCA" w:rsidRPr="006C1FCA">
        <w:rPr>
          <w:color w:val="FF0000"/>
        </w:rPr>
        <w:t xml:space="preserve"> switched from the evolving decision variable </w:t>
      </w:r>
      <w:r w:rsidR="006C1FCA" w:rsidRPr="006C1FCA">
        <w:rPr>
          <w:i/>
          <w:color w:val="1F4E9E"/>
        </w:rPr>
        <w:t>x(t)</w:t>
      </w:r>
      <w:r w:rsidR="006C1FCA" w:rsidRPr="006C1FCA">
        <w:rPr>
          <w:color w:val="FF0000"/>
        </w:rPr>
        <w:t xml:space="preserve"> to the maintenance target m. Because the filter causes </w:t>
      </w:r>
      <w:r w:rsidR="006C1FCA" w:rsidRPr="006C1FCA">
        <w:rPr>
          <w:i/>
          <w:color w:val="1F4E9E"/>
        </w:rPr>
        <w:t>y(t)</w:t>
      </w:r>
      <w:r w:rsidR="006C1FCA" w:rsidRPr="006C1FCA">
        <w:rPr>
          <w:color w:val="FF0000"/>
        </w:rPr>
        <w:t xml:space="preserve"> to track its input, a constant input </w:t>
      </w:r>
      <w:r w:rsidR="006C1FCA" w:rsidRPr="006C1FCA">
        <w:rPr>
          <w:i/>
          <w:color w:val="1F4E9E"/>
        </w:rPr>
        <w:t>m</w:t>
      </w:r>
      <w:r w:rsidR="006C1FCA" w:rsidRPr="006C1FCA">
        <w:rPr>
          <w:color w:val="1F4E9E"/>
        </w:rPr>
        <w:t xml:space="preserve"> would cause </w:t>
      </w:r>
      <w:r w:rsidR="006C1FCA" w:rsidRPr="006C1FCA">
        <w:rPr>
          <w:i/>
          <w:color w:val="1F4E9E"/>
        </w:rPr>
        <w:t>y(t)</w:t>
      </w:r>
      <w:r w:rsidR="006C1FCA" w:rsidRPr="006C1FCA">
        <w:rPr>
          <w:color w:val="FF0000"/>
        </w:rPr>
        <w:t xml:space="preserve"> to converge toward </w:t>
      </w:r>
      <w:r w:rsidR="006C1FCA" w:rsidRPr="006C1FCA">
        <w:rPr>
          <w:i/>
          <w:color w:val="1F4E9E"/>
        </w:rPr>
        <w:t>m</w:t>
      </w:r>
      <w:r w:rsidR="006C1FCA" w:rsidRPr="006C1FCA">
        <w:rPr>
          <w:color w:val="FF0000"/>
        </w:rPr>
        <w:t xml:space="preserve"> and remain there in the absence of noise. Such stable maintenance has a plausible neural basis in recurrent-circuit dynamics, in which strong recurrent interactions can support self-sustained attractor states after the external evidence driving the system is no longer present </w:t>
      </w:r>
      <w:r w:rsidR="006C1FCA" w:rsidRPr="006C1FCA">
        <w:rPr>
          <w:color w:val="1F4E9E"/>
        </w:rPr>
        <w:fldChar w:fldCharType="begin"/>
      </w:r>
      <w:r w:rsidR="006C1FCA" w:rsidRPr="006C1FCA">
        <w:rPr>
          <w:color w:val="1F4E9E"/>
        </w:rPr>
        <w:instrText xml:space="preserve"> ADDIN ZOTERO_ITEM CSL_CITATION {"citationID":"h56eThm2","properties":{"unsorted":false,"formattedCitation":"(Wang, 2008)","plainCitation":"(Wang, 2008)","noteIndex":0},"citationItems":[{"id":8496,"uris":["http://zotero.org/users/5679506/items/KFHH3AKL"],"itemData":{"id":8496,"type":"article-journal","abstract":"Decision making has recently emerged as a central theme in neurophysiological studies of cognition, and experimental and computational work has led to the proposal of a cortical circuit mechanism of elemental decision computations. This mechanism depends on slow recurrent synaptic excitation balanced by fast feedback inhibition, which not only instantiates attractor states for forming categorical choices but also long transients for gradually accumulating evidence in favor of or against alternative options. Such a circuit endowed with reward-dependent synaptic plasticity is able to produce adaptive choice behavior. While decision threshold is a core concept for reaction time tasks, it can be dissociated from a general decision rule. Moreover, perceptual decisions and value-based economic choices are described within a unified framework in which probabilistic choices result from irregular neuronal activity as well as iterative interactions of a decision maker with an uncertain environment or other unpredictable decision makers in a social group.","container-title":"Neuron","DOI":"10.1016/j.neuron.2008.09.034","ISSN":"1097-4199","issue":"2","journalAbbreviation":"Neuron","language":"eng","page":"215-234","PMID":"18957215","PMCID":"PMC2710297","source":"PubMed","title":"Decision making in recurrent neuronal circuits","volume":"60","author":[{"family":"Wang","given":"Xiao-Jing"}],"issued":{"date-parts":[["2008",10,23]]}}}],"schema":"https://github.com/citation-style-language/schema/raw/master/csl-citation.json"} </w:instrText>
      </w:r>
      <w:r w:rsidR="006C1FCA" w:rsidRPr="006C1FCA">
        <w:rPr>
          <w:color w:val="1F4E9E"/>
        </w:rPr>
        <w:fldChar w:fldCharType="separate"/>
      </w:r>
      <w:r w:rsidR="006C1FCA" w:rsidRPr="006C1FCA">
        <w:rPr>
          <w:color w:val="1F4E9E"/>
        </w:rPr>
        <w:t>(Wang, 2008)</w:t>
      </w:r>
      <w:r w:rsidR="006C1FCA" w:rsidRPr="006C1FCA">
        <w:rPr>
          <w:color w:val="1F4E9E"/>
        </w:rPr>
        <w:fldChar w:fldCharType="end"/>
      </w:r>
      <w:r w:rsidR="006C1FCA" w:rsidRPr="006C1FCA">
        <w:rPr>
          <w:color w:val="FF0000"/>
        </w:rPr>
        <w:t xml:space="preserve">. At the same time, activity within such recurrent circuits is intrinsically stochastic, making perfectly stationary maintenance at the single-trial level unlikely. To capture this variability without specifying its detailed circuit-level origin, we allowed the effective maintenance input to fluctuate around </w:t>
      </w:r>
      <w:r w:rsidR="006C1FCA" w:rsidRPr="006C1FCA">
        <w:rPr>
          <w:i/>
          <w:color w:val="1F4E9E"/>
        </w:rPr>
        <w:t>m</w:t>
      </w:r>
      <w:r w:rsidR="006C1FCA" w:rsidRPr="006C1FCA">
        <w:rPr>
          <w:color w:val="1F4E9E"/>
        </w:rPr>
        <w:t>.</w:t>
      </w:r>
      <w:r w:rsidR="006C1FCA">
        <w:t xml:space="preserve"> </w:t>
      </w:r>
      <w:r w:rsidR="00283D26" w:rsidRPr="00283D26">
        <w:rPr>
          <w:color w:val="FF0000"/>
        </w:rPr>
        <w:t xml:space="preserve">These fluctuations, denoted </w:t>
      </w:r>
      <w:r w:rsidR="00283D26">
        <w:rPr>
          <w:rFonts w:ascii="Calibri" w:hAnsi="Calibri" w:cs="Calibri"/>
          <w:i/>
          <w:color w:val="1F4E9E"/>
        </w:rPr>
        <w:t>ε</w:t>
      </w:r>
      <w:r w:rsidR="00283D26" w:rsidRPr="00283D26">
        <w:rPr>
          <w:i/>
          <w:color w:val="1F4E9E"/>
        </w:rPr>
        <w:t>(t)</w:t>
      </w:r>
      <w:r w:rsidR="00283D26" w:rsidRPr="00283D26">
        <w:rPr>
          <w:color w:val="FF0000"/>
        </w:rPr>
        <w:t>, followed an Ornstein–</w:t>
      </w:r>
      <w:proofErr w:type="spellStart"/>
      <w:r w:rsidR="00283D26" w:rsidRPr="00283D26">
        <w:rPr>
          <w:color w:val="1F4E9E"/>
        </w:rPr>
        <w:t>Uhlenbeck</w:t>
      </w:r>
      <w:proofErr w:type="spellEnd"/>
      <w:r w:rsidR="00283D26" w:rsidRPr="00283D26">
        <w:rPr>
          <w:color w:val="1F4E9E"/>
        </w:rPr>
        <w:t xml:space="preserve"> process:</w:t>
      </w:r>
    </w:p>
    <w:p w14:paraId="60F44630" w14:textId="77777777" w:rsidR="00A20E6E" w:rsidRPr="00A20E6E" w:rsidRDefault="00000000" w:rsidP="00902EC4">
      <w:pPr>
        <w:rPr>
          <w:rFonts w:eastAsiaTheme="minorEastAsia"/>
          <w:color w:val="1F4E9E"/>
        </w:rPr>
      </w:pPr>
      <m:oMathPara>
        <m:oMath>
          <m:eqArr>
            <m:eqArrPr>
              <m:maxDist m:val="1"/>
              <m:ctrlPr>
                <w:rPr>
                  <w:rFonts w:ascii="Cambria Math" w:eastAsiaTheme="minorEastAsia" w:hAnsi="Cambria Math"/>
                  <w:i/>
                  <w:color w:val="1F4E9E"/>
                </w:rPr>
              </m:ctrlPr>
            </m:eqArrPr>
            <m:e>
              <m:r>
                <w:rPr>
                  <w:rFonts w:ascii="Cambria Math" w:eastAsiaTheme="minorEastAsia" w:hAnsi="Cambria Math"/>
                  <w:color w:val="1F4E9E"/>
                </w:rPr>
                <m:t>dε</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m:t>
              </m:r>
              <m:r>
                <w:rPr>
                  <w:rFonts w:ascii="Cambria Math" w:hAnsi="Cambria Math"/>
                  <w:color w:val="1F4E9E"/>
                </w:rPr>
                <m:t>κ</m:t>
              </m:r>
              <m:r>
                <w:rPr>
                  <w:rFonts w:ascii="Cambria Math" w:eastAsiaTheme="minorEastAsia" w:hAnsi="Cambria Math"/>
                  <w:color w:val="1F4E9E"/>
                </w:rPr>
                <m:t>ε</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xml:space="preserve">dt+ </m:t>
              </m:r>
              <m:sSub>
                <m:sSubPr>
                  <m:ctrlPr>
                    <w:rPr>
                      <w:rFonts w:ascii="Cambria Math" w:eastAsiaTheme="minorEastAsia" w:hAnsi="Cambria Math"/>
                      <w:i/>
                      <w:color w:val="1F4E9E"/>
                    </w:rPr>
                  </m:ctrlPr>
                </m:sSubPr>
                <m:e>
                  <m:r>
                    <w:rPr>
                      <w:rFonts w:ascii="Cambria Math" w:eastAsiaTheme="minorEastAsia" w:hAnsi="Cambria Math"/>
                      <w:color w:val="1F4E9E"/>
                    </w:rPr>
                    <m:t>σ</m:t>
                  </m:r>
                </m:e>
                <m:sub>
                  <m:r>
                    <w:rPr>
                      <w:rFonts w:ascii="Cambria Math" w:eastAsiaTheme="minorEastAsia" w:hAnsi="Cambria Math"/>
                      <w:color w:val="1F4E9E"/>
                    </w:rPr>
                    <m:t>ε</m:t>
                  </m:r>
                </m:sub>
              </m:sSub>
              <m:r>
                <w:rPr>
                  <w:rFonts w:ascii="Cambria Math" w:eastAsiaTheme="minorEastAsia" w:hAnsi="Cambria Math"/>
                  <w:color w:val="1F4E9E"/>
                </w:rPr>
                <m:t>d</m:t>
              </m:r>
              <m:sSub>
                <m:sSubPr>
                  <m:ctrlPr>
                    <w:rPr>
                      <w:rFonts w:ascii="Cambria Math" w:eastAsiaTheme="minorEastAsia" w:hAnsi="Cambria Math"/>
                      <w:i/>
                      <w:color w:val="1F4E9E"/>
                    </w:rPr>
                  </m:ctrlPr>
                </m:sSubPr>
                <m:e>
                  <m:r>
                    <w:rPr>
                      <w:rFonts w:ascii="Cambria Math" w:eastAsiaTheme="minorEastAsia" w:hAnsi="Cambria Math"/>
                      <w:color w:val="1F4E9E"/>
                    </w:rPr>
                    <m:t>W</m:t>
                  </m:r>
                </m:e>
                <m:sub>
                  <m:r>
                    <w:rPr>
                      <w:rFonts w:ascii="Cambria Math" w:eastAsiaTheme="minorEastAsia" w:hAnsi="Cambria Math"/>
                      <w:color w:val="1F4E9E"/>
                    </w:rPr>
                    <m:t>ε</m:t>
                  </m:r>
                </m:sub>
              </m:sSub>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ε</m:t>
              </m:r>
              <m:d>
                <m:dPr>
                  <m:ctrlPr>
                    <w:rPr>
                      <w:rFonts w:ascii="Cambria Math" w:eastAsiaTheme="minorEastAsia" w:hAnsi="Cambria Math"/>
                      <w:i/>
                      <w:color w:val="1F4E9E"/>
                    </w:rPr>
                  </m:ctrlPr>
                </m:dPr>
                <m:e>
                  <m:r>
                    <w:rPr>
                      <w:rFonts w:ascii="Cambria Math" w:eastAsiaTheme="minorEastAsia" w:hAnsi="Cambria Math"/>
                      <w:color w:val="1F4E9E"/>
                    </w:rPr>
                    <m:t>τ</m:t>
                  </m:r>
                </m:e>
              </m:d>
              <m:r>
                <w:rPr>
                  <w:rFonts w:ascii="Cambria Math" w:eastAsiaTheme="minorEastAsia" w:hAnsi="Cambria Math"/>
                  <w:color w:val="1F4E9E"/>
                </w:rPr>
                <m:t>=0,#</m:t>
              </m:r>
              <m:d>
                <m:dPr>
                  <m:ctrlPr>
                    <w:rPr>
                      <w:rFonts w:ascii="Cambria Math" w:eastAsiaTheme="minorEastAsia" w:hAnsi="Cambria Math"/>
                      <w:i/>
                      <w:color w:val="1F4E9E"/>
                    </w:rPr>
                  </m:ctrlPr>
                </m:dPr>
                <m:e>
                  <m:r>
                    <w:rPr>
                      <w:rFonts w:ascii="Cambria Math" w:eastAsiaTheme="minorEastAsia" w:hAnsi="Cambria Math"/>
                      <w:color w:val="1F4E9E"/>
                    </w:rPr>
                    <m:t>5</m:t>
                  </m:r>
                </m:e>
              </m:d>
            </m:e>
          </m:eqArr>
        </m:oMath>
      </m:oMathPara>
    </w:p>
    <w:p w14:paraId="16359B99" w14:textId="77777777" w:rsidR="00283D26" w:rsidRDefault="00E23931" w:rsidP="00902EC4">
      <w:pPr>
        <w:rPr>
          <w:rFonts w:eastAsiaTheme="minorEastAsia"/>
          <w:color w:val="1F4E9E"/>
        </w:rPr>
      </w:pPr>
      <w:r w:rsidRPr="00E23931">
        <w:rPr>
          <w:rFonts w:eastAsiaTheme="minorEastAsia"/>
          <w:color w:val="1F4E9E"/>
        </w:rPr>
        <w:t>where</w:t>
      </w:r>
      <w:r w:rsidRPr="00E23931">
        <w:rPr>
          <w:rFonts w:eastAsiaTheme="minorEastAsia"/>
        </w:rPr>
        <w:t xml:space="preserve"> </w:t>
      </w:r>
      <w:r w:rsidRPr="00E23931">
        <w:rPr>
          <w:rFonts w:eastAsiaTheme="minorEastAsia"/>
          <w:i/>
          <w:color w:val="1F4E9E"/>
        </w:rPr>
        <w:t>κ</w:t>
      </w:r>
      <w:r w:rsidRPr="00E23931">
        <w:rPr>
          <w:rFonts w:eastAsiaTheme="minorEastAsia"/>
        </w:rPr>
        <w:t xml:space="preserve"> </w:t>
      </w:r>
      <w:r w:rsidR="00283D26" w:rsidRPr="00283D26">
        <w:rPr>
          <w:rFonts w:eastAsiaTheme="minorEastAsia"/>
          <w:color w:val="FF0000"/>
        </w:rPr>
        <w:t>controls the rate at whic</w:t>
      </w:r>
      <w:r w:rsidR="00283D26">
        <w:rPr>
          <w:rFonts w:eastAsiaTheme="minorEastAsia"/>
          <w:color w:val="FF0000"/>
        </w:rPr>
        <w:t>h deviations return toward zero</w:t>
      </w:r>
      <w:r w:rsidR="00B9093E" w:rsidRPr="00B9093E">
        <w:rPr>
          <w:rFonts w:eastAsiaTheme="minorEastAsia"/>
          <w:color w:val="1F4E9E"/>
        </w:rPr>
        <w:t>,</w:t>
      </w:r>
      <w:r w:rsidRPr="00E23931">
        <w:rPr>
          <w:rFonts w:eastAsiaTheme="minorEastAsia"/>
        </w:rPr>
        <w:t xml:space="preserve"> </w:t>
      </w:r>
      <w:proofErr w:type="spellStart"/>
      <w:r w:rsidRPr="00E23931">
        <w:rPr>
          <w:rFonts w:eastAsiaTheme="minorEastAsia"/>
          <w:i/>
          <w:color w:val="1F4E9E"/>
        </w:rPr>
        <w:t>σ</w:t>
      </w:r>
      <w:r w:rsidRPr="00E23931">
        <w:rPr>
          <w:rFonts w:eastAsiaTheme="minorEastAsia"/>
          <w:i/>
          <w:color w:val="1F4E9E"/>
          <w:vertAlign w:val="subscript"/>
        </w:rPr>
        <w:t>ε</w:t>
      </w:r>
      <w:proofErr w:type="spellEnd"/>
      <w:r w:rsidRPr="00E23931">
        <w:rPr>
          <w:rFonts w:eastAsiaTheme="minorEastAsia"/>
        </w:rPr>
        <w:t xml:space="preserve"> </w:t>
      </w:r>
      <w:r w:rsidR="00677F0A">
        <w:rPr>
          <w:rFonts w:eastAsiaTheme="minorEastAsia"/>
          <w:color w:val="1F4E9E"/>
        </w:rPr>
        <w:t xml:space="preserve">controls </w:t>
      </w:r>
      <w:r w:rsidR="00283D26">
        <w:rPr>
          <w:rFonts w:eastAsiaTheme="minorEastAsia"/>
          <w:color w:val="FF0000"/>
        </w:rPr>
        <w:t xml:space="preserve">the magnitude of </w:t>
      </w:r>
      <w:r w:rsidR="00B9093E" w:rsidRPr="00B9093E">
        <w:rPr>
          <w:rFonts w:eastAsiaTheme="minorEastAsia"/>
          <w:color w:val="FF0000"/>
        </w:rPr>
        <w:t>stochastic fluctuations</w:t>
      </w:r>
      <w:r>
        <w:rPr>
          <w:rFonts w:eastAsiaTheme="minorEastAsia"/>
          <w:color w:val="1F4E9E"/>
        </w:rPr>
        <w:t xml:space="preserve">, and </w:t>
      </w:r>
      <w:proofErr w:type="spellStart"/>
      <w:r w:rsidRPr="00E23931">
        <w:rPr>
          <w:rFonts w:eastAsiaTheme="minorEastAsia"/>
          <w:i/>
          <w:color w:val="1F4E9E"/>
        </w:rPr>
        <w:t>dW</w:t>
      </w:r>
      <w:r w:rsidRPr="00E23931">
        <w:rPr>
          <w:rFonts w:ascii="Calibri" w:eastAsiaTheme="minorEastAsia" w:hAnsi="Calibri" w:cs="Calibri"/>
          <w:i/>
          <w:color w:val="1F4E9E"/>
          <w:vertAlign w:val="subscript"/>
        </w:rPr>
        <w:t>ε</w:t>
      </w:r>
      <w:proofErr w:type="spellEnd"/>
      <w:r w:rsidRPr="00E23931">
        <w:rPr>
          <w:rFonts w:eastAsiaTheme="minorEastAsia"/>
          <w:i/>
          <w:color w:val="1F4E9E"/>
        </w:rPr>
        <w:t>(t)</w:t>
      </w:r>
      <w:r>
        <w:rPr>
          <w:rFonts w:eastAsiaTheme="minorEastAsia"/>
          <w:color w:val="FF0000"/>
        </w:rPr>
        <w:t xml:space="preserve"> is an increment of a standard Wiener process. </w:t>
      </w:r>
      <w:r w:rsidR="00283D26" w:rsidRPr="00283D26">
        <w:rPr>
          <w:rFonts w:eastAsiaTheme="minorEastAsia"/>
          <w:color w:val="FF0000"/>
        </w:rPr>
        <w:t>The resulting maintenance dynamics were therefore</w:t>
      </w:r>
      <w:r w:rsidR="00283D26">
        <w:rPr>
          <w:rFonts w:eastAsiaTheme="minorEastAsia"/>
          <w:color w:val="1F4E9E"/>
        </w:rPr>
        <w:t>:</w:t>
      </w:r>
    </w:p>
    <w:p w14:paraId="219EEF3C" w14:textId="77777777" w:rsidR="00283D26" w:rsidRPr="000D3146" w:rsidRDefault="00000000" w:rsidP="00283D26">
      <w:pPr>
        <w:rPr>
          <w:rFonts w:eastAsiaTheme="minorEastAsia"/>
          <w:color w:val="1F4E9E"/>
        </w:rPr>
      </w:pPr>
      <m:oMathPara>
        <m:oMath>
          <m:eqArr>
            <m:eqArrPr>
              <m:maxDist m:val="1"/>
              <m:ctrlPr>
                <w:rPr>
                  <w:rFonts w:ascii="Cambria Math" w:eastAsiaTheme="minorEastAsia" w:hAnsi="Cambria Math"/>
                  <w:i/>
                  <w:color w:val="1F4E9E"/>
                </w:rPr>
              </m:ctrlPr>
            </m:eqArrPr>
            <m:e>
              <m:r>
                <w:rPr>
                  <w:rFonts w:ascii="Cambria Math" w:eastAsiaTheme="minorEastAsia" w:hAnsi="Cambria Math"/>
                  <w:color w:val="1F4E9E"/>
                </w:rPr>
                <m:t>dy</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=λ</m:t>
              </m:r>
              <m:d>
                <m:dPr>
                  <m:begChr m:val="["/>
                  <m:endChr m:val="]"/>
                  <m:ctrlPr>
                    <w:rPr>
                      <w:rFonts w:ascii="Cambria Math" w:eastAsiaTheme="minorEastAsia" w:hAnsi="Cambria Math"/>
                      <w:i/>
                      <w:color w:val="1F4E9E"/>
                    </w:rPr>
                  </m:ctrlPr>
                </m:dPr>
                <m:e>
                  <m:r>
                    <w:rPr>
                      <w:rFonts w:ascii="Cambria Math" w:eastAsiaTheme="minorEastAsia" w:hAnsi="Cambria Math"/>
                      <w:color w:val="1F4E9E"/>
                    </w:rPr>
                    <m:t>m+ε</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-y(t)</m:t>
                  </m:r>
                </m:e>
              </m:d>
              <m:r>
                <w:rPr>
                  <w:rFonts w:ascii="Cambria Math" w:eastAsiaTheme="minorEastAsia" w:hAnsi="Cambria Math"/>
                  <w:color w:val="1F4E9E"/>
                </w:rPr>
                <m:t>dt. #</m:t>
              </m:r>
              <m:d>
                <m:dPr>
                  <m:ctrlPr>
                    <w:rPr>
                      <w:rFonts w:ascii="Cambria Math" w:eastAsiaTheme="minorEastAsia" w:hAnsi="Cambria Math"/>
                      <w:i/>
                      <w:color w:val="1F4E9E"/>
                    </w:rPr>
                  </m:ctrlPr>
                </m:dPr>
                <m:e>
                  <m:r>
                    <w:rPr>
                      <w:rFonts w:ascii="Cambria Math" w:eastAsiaTheme="minorEastAsia" w:hAnsi="Cambria Math"/>
                      <w:color w:val="1F4E9E"/>
                    </w:rPr>
                    <m:t>6</m:t>
                  </m:r>
                </m:e>
              </m:d>
            </m:e>
          </m:eqArr>
        </m:oMath>
      </m:oMathPara>
    </w:p>
    <w:p w14:paraId="694CA28B" w14:textId="77777777" w:rsidR="00283D26" w:rsidRDefault="00C91F3A" w:rsidP="00902EC4">
      <w:pPr>
        <w:rPr>
          <w:rFonts w:eastAsiaTheme="minorEastAsia"/>
          <w:color w:val="1F4E9E"/>
        </w:rPr>
      </w:pPr>
      <w:r w:rsidRPr="00C91F3A">
        <w:rPr>
          <w:rFonts w:eastAsiaTheme="minorEastAsia"/>
          <w:color w:val="1F4E9E"/>
        </w:rPr>
        <w:t>The Ornstein–</w:t>
      </w:r>
      <w:proofErr w:type="spellStart"/>
      <w:r w:rsidRPr="00C91F3A">
        <w:rPr>
          <w:rFonts w:eastAsiaTheme="minorEastAsia"/>
          <w:color w:val="1F4E9E"/>
        </w:rPr>
        <w:t>Uhlenbeck</w:t>
      </w:r>
      <w:proofErr w:type="spellEnd"/>
      <w:r w:rsidRPr="00C91F3A">
        <w:rPr>
          <w:rFonts w:eastAsiaTheme="minorEastAsia"/>
          <w:color w:val="FF0000"/>
        </w:rPr>
        <w:t xml:space="preserve"> process provides a parsimonious description of temporally correlated fluctuations around the maintained state, with a finite stationary variance. Because deviations are driven back toward zero, stochastic perturbations do not accumulate indefinitely over the delay, as they wo</w:t>
      </w:r>
      <w:r>
        <w:rPr>
          <w:rFonts w:eastAsiaTheme="minorEastAsia"/>
          <w:color w:val="FF0000"/>
        </w:rPr>
        <w:t>uld under a pure Wiener process</w:t>
      </w:r>
      <w:r w:rsidR="00523FFE" w:rsidRPr="00523FFE">
        <w:rPr>
          <w:rFonts w:eastAsiaTheme="minorEastAsia"/>
          <w:color w:val="1F4E9E"/>
        </w:rPr>
        <w:t xml:space="preserve">. </w:t>
      </w:r>
      <w:r>
        <w:rPr>
          <w:rFonts w:eastAsiaTheme="minorEastAsia"/>
          <w:color w:val="1F4E9E"/>
        </w:rPr>
        <w:t>Consequently</w:t>
      </w:r>
      <w:r w:rsidR="00523FFE" w:rsidRPr="00523FFE">
        <w:rPr>
          <w:rFonts w:eastAsiaTheme="minorEastAsia"/>
          <w:color w:val="1F4E9E"/>
        </w:rPr>
        <w:t xml:space="preserve">, </w:t>
      </w:r>
      <w:r w:rsidR="00523FFE" w:rsidRPr="00523FFE">
        <w:rPr>
          <w:rFonts w:eastAsiaTheme="minorEastAsia"/>
          <w:i/>
          <w:color w:val="1F4E9E"/>
        </w:rPr>
        <w:t>y(t)</w:t>
      </w:r>
      <w:r w:rsidR="00523FFE" w:rsidRPr="00523FFE">
        <w:rPr>
          <w:rFonts w:eastAsiaTheme="minorEastAsia"/>
          <w:color w:val="FF0000"/>
        </w:rPr>
        <w:t xml:space="preserve"> </w:t>
      </w:r>
      <w:r w:rsidR="00523FFE" w:rsidRPr="00523FFE">
        <w:rPr>
          <w:rFonts w:eastAsiaTheme="minorEastAsia"/>
          <w:color w:val="FF0000"/>
        </w:rPr>
        <w:lastRenderedPageBreak/>
        <w:t xml:space="preserve">remains centered on </w:t>
      </w:r>
      <w:r w:rsidR="00523FFE" w:rsidRPr="001748EA">
        <w:rPr>
          <w:rFonts w:eastAsiaTheme="minorEastAsia"/>
          <w:i/>
          <w:color w:val="1F4E9E"/>
        </w:rPr>
        <w:t>m</w:t>
      </w:r>
      <w:r w:rsidR="00523FFE" w:rsidRPr="00523FFE">
        <w:rPr>
          <w:rFonts w:eastAsiaTheme="minorEastAsia"/>
          <w:color w:val="FF0000"/>
        </w:rPr>
        <w:t xml:space="preserve"> in expectation while </w:t>
      </w:r>
      <w:r w:rsidRPr="00C91F3A">
        <w:rPr>
          <w:rFonts w:eastAsiaTheme="minorEastAsia"/>
          <w:color w:val="FF0000"/>
        </w:rPr>
        <w:t>exhibiting temporally structured variability within individual trials.</w:t>
      </w:r>
    </w:p>
    <w:p w14:paraId="3C048EDB" w14:textId="77777777" w:rsidR="0097351A" w:rsidRDefault="00E7596E" w:rsidP="00227978">
      <w:pPr>
        <w:rPr>
          <w:rFonts w:eastAsiaTheme="minorEastAsia"/>
          <w:color w:val="1F4E9E"/>
        </w:rPr>
      </w:pPr>
      <w:r w:rsidRPr="00E7596E">
        <w:rPr>
          <w:rFonts w:eastAsiaTheme="minorEastAsia"/>
          <w:i/>
          <w:color w:val="FF0000"/>
        </w:rPr>
        <w:t>Temporal preparation.</w:t>
      </w:r>
      <w:r>
        <w:rPr>
          <w:rFonts w:eastAsiaTheme="minorEastAsia"/>
          <w:i/>
        </w:rPr>
        <w:t xml:space="preserve"> </w:t>
      </w:r>
      <w:r w:rsidR="0000674D" w:rsidRPr="0000674D">
        <w:rPr>
          <w:rFonts w:eastAsiaTheme="minorEastAsia"/>
          <w:color w:val="FF0000"/>
        </w:rPr>
        <w:t>The two candidate models differed in whether the motor-preparatory signal reaching the downstream gate included an additional contrib</w:t>
      </w:r>
      <w:r w:rsidR="0000674D">
        <w:rPr>
          <w:rFonts w:eastAsiaTheme="minorEastAsia"/>
          <w:color w:val="FF0000"/>
        </w:rPr>
        <w:t>ution from temporal preparation</w:t>
      </w:r>
      <w:r w:rsidR="008C41A0" w:rsidRPr="008C41A0">
        <w:rPr>
          <w:rFonts w:eastAsiaTheme="minorEastAsia"/>
          <w:color w:val="FF0000"/>
        </w:rPr>
        <w:t xml:space="preserve">. Model 1 included no such contribution. Model 2 assumed that motor preparation could additionally increase as the expected opportunity to act approached. This assumption was motivated by evidence that learned temporal regularities </w:t>
      </w:r>
      <w:r w:rsidR="007B78AB" w:rsidRPr="007B78AB">
        <w:rPr>
          <w:rFonts w:eastAsiaTheme="minorEastAsia"/>
          <w:color w:val="FF0000"/>
        </w:rPr>
        <w:t xml:space="preserve">can shape anticipatory motor preparation </w:t>
      </w:r>
      <w:r w:rsidR="008C41A0" w:rsidRPr="008C41A0">
        <w:rPr>
          <w:rFonts w:eastAsiaTheme="minorEastAsia"/>
          <w:color w:val="1F4E9E"/>
        </w:rPr>
        <w:fldChar w:fldCharType="begin"/>
      </w:r>
      <w:r w:rsidR="008C41A0" w:rsidRPr="008C41A0">
        <w:rPr>
          <w:rFonts w:eastAsiaTheme="minorEastAsia"/>
          <w:color w:val="1F4E9E"/>
        </w:rPr>
        <w:instrText xml:space="preserve"> ADDIN ZOTERO_ITEM CSL_CITATION {"citationID":"9N2yhQ8G","properties":{"unsorted":false,"formattedCitation":"(Heideman et al., 2018; Li et al., 2026; Ramayya et al., 2025)","plainCitation":"(Heideman et al., 2018; Li et al., 2026; Ramayya et al., 2025)","noteIndex":0},"citationItems":[{"id":16430,"uris":["http://zotero.org/users/5679506/items/G8RUJYMQ"],"itemData":{"id":16430,"type":"article-journal","abstract":"Performance improves when participants respond to events that are structured in repeating sequences, suggesting that learning can lead to proactive anticipatory preparation. Whereas most sequence‐learning studies have emphasised spatial structure, most sequences also contain a prominent temporal structure. We used MEG to investigate spatial and temporal anticipatory neural dynamics in a modified serial reaction time (SRT) task. Performance and brain activity were compared between blocks with learned spatial‐temporal sequences and blocks with new sequences. After confirming a strong behavioural benefit of spatial‐temporal predictability, we show lateralisation of beta oscillations in anticipation of the response associated with the upcoming target location and show that this also aligns to the expected timing of these forthcoming events. This effect was found both when comparing between repeated (learned) and new (unlearned) sequences, as well as when comparing targets that were expected after short vs. long intervals within the repeated (learned) sequence. Our findings suggest that learning of spatial‐temporal structure leads to proactive and dynamic modulation of motor cortical excitability in anticipation of both the location and timing of events that are relevant to guide action.","container-title":"The European Journal of Neuroscience","DOI":"10.1111/ejn.13700","ISSN":"0953-816X","issue":"8","journalAbbreviation":"Eur J Neurosci","page":"2684-2695","PMID":"28921756","PMCID":"PMC6220967","source":"PubMed Central","title":"Temporal alignment of anticipatory motor cortical beta lateralisation in hidden visual‐motor sequences","volume":"48","author":[{"family":"Heideman","given":"Simone G."},{"family":"Ede","given":"Freek","non-dropping-particle":"van"},{"family":"Nobre","given":"Anna C."}],"issued":{"date-parts":[["2018",10]]}}},{"id":16756,"uris":["http://zotero.org/users/5679506/items/DL8V7XX9"],"itemData":{"id":16756,"type":"article-journal","abstract":"Anticipating when and where an event will occur can facilitate motor preparation, yet the independent role of temporal predictability-and its neural basis-remains unclear. This study tested the hypothesis that motor-related beta oscillations reflect an internal timing process sensitive to the regularity of stimulus timing. We recorded EEG while 28 participants performed a modified serial reaction time task in which spatial and temporal predictability were orthogonally manipulated. Spatial predictability was set at three levels (high, medium, low) by varying the regularity of target location sequences. Temporal predictability was manipulated via response-stimulus intervals (RSIs) that were either fixed at 700, 1200, or 1700 ms throughout a block or randomly selected from these three intervals on each trial. Behaviorally, temporal predictability significantly improved reaction times (RTs), even in the absence of spatial regularities. When both types of predictability were present, their facilitative effects were additive, especially at shorter intervals. Neurally, temporal predictability modulated beta-band (13-30 Hz) activity during the post-movement phase. In fixed-RSI conditions, beta power declined gradually and independently of upcoming stimulus onset during the movement-related beta desynchronization (MRBD) phase, suggesting reliance on internal timing. In contrast, under random-RSI conditions, beta power showed a sharper decline after stimulus onset, indicating increased reliance on external sensory input. These results support the view that beta oscillations serve as a flexible internal timer, adapting to the temporal structure of the environment to support anticipatory motor control.","container-title":"Psychophysiology","DOI":"10.1111/psyp.70249","ISSN":"1469-8986","issue":"2","journalAbbreviation":"Psychophysiology","language":"eng","page":"e70249","PMID":"41709474","source":"PubMed","title":"Beta Oscillations as Internal Timers: Independent Contributions of Temporal Predictability to Motor Preparation","title-short":"Beta Oscillations as Internal Timers","volume":"63","author":[{"family":"Li","given":"Junhui"},{"family":"Zhai","given":"Mengdie"},{"family":"Liu","given":"Lizi"},{"family":"Qian","given":"Yuchen"},{"family":"Liao","given":"Yu"}],"issued":{"date-parts":[["2026",2]]}}},{"id":16428,"uris":["http://zotero.org/users/5679506/items/T2MCZXNF"],"itemData":{"id":16428,"type":"article-journal","abstract":"Human behavior is strongly influenced by anticipation, but the underlying neural mechanisms are poorly understood. We obtained intracranial electrocephalography (iEEG) measurements in neurosurgical patients as they performed a simple sensory-motor task with variable (short or long) foreperiod delays that affected anticipation of the cue to respond. Participants showed two forms of anticipatory response biases, distinguished by more premature false alarms (FAs) or faster response times (RTs) on long-delay trials. These biases had distinct neural signatures in prestimulus neural activity modulations that were distributed and intermixed across the brain: the FA bias was most evident in preparatory motor activity immediately prior to response-cue presentation, whereas the RT bias was most evident in visuospatial activity at the beginning of the foreperiod. These results suggest that human anticipatory behavior emerges from a combination of motor-preparatory and attention-like modulations of neural activity, implemented by anatomically widespread and intermixed, but functionally identifiable, brain networks.","container-title":"Communications Biology","DOI":"10.1038/s42003-025-07516-y","ISSN":"2399-3642","issue":"1","journalAbbreviation":"Commun Biol","language":"en","license":"2025 The Author(s)","page":"124","publisher":"Nature Publishing Group","source":"www.nature.com","title":"Human response times are governed by dual anticipatory processes with distinct neural signatures","volume":"8","author":[{"family":"Ramayya","given":"Ashwin G."},{"family":"Buch","given":"Vivek"},{"family":"Richardson","given":"Andrew"},{"family":"Lucas","given":"Timothy"},{"family":"Gold","given":"Joshua I."}],"issued":{"date-parts":[["2025",1,26]]}}}],"schema":"https://github.com/citation-style-language/schema/raw/master/csl-citation.json"} </w:instrText>
      </w:r>
      <w:r w:rsidR="008C41A0" w:rsidRPr="008C41A0">
        <w:rPr>
          <w:rFonts w:eastAsiaTheme="minorEastAsia"/>
          <w:color w:val="1F4E9E"/>
        </w:rPr>
        <w:fldChar w:fldCharType="separate"/>
      </w:r>
      <w:r w:rsidR="008C41A0" w:rsidRPr="008C41A0">
        <w:rPr>
          <w:color w:val="FF0000"/>
        </w:rPr>
        <w:t>(Heideman et al., 2018; Li et al., 2026; Ramayya et al., 2025)</w:t>
      </w:r>
      <w:r w:rsidR="008C41A0" w:rsidRPr="008C41A0">
        <w:rPr>
          <w:rFonts w:eastAsiaTheme="minorEastAsia"/>
          <w:color w:val="1F4E9E"/>
        </w:rPr>
        <w:fldChar w:fldCharType="end"/>
      </w:r>
      <w:r w:rsidR="0065078C" w:rsidRPr="008C41A0">
        <w:rPr>
          <w:rFonts w:eastAsiaTheme="minorEastAsia"/>
          <w:color w:val="1F4E9E"/>
        </w:rPr>
        <w:t xml:space="preserve">. </w:t>
      </w:r>
      <w:r w:rsidR="00227978" w:rsidRPr="00227978">
        <w:rPr>
          <w:rFonts w:eastAsiaTheme="minorEastAsia"/>
          <w:color w:val="FF0000"/>
        </w:rPr>
        <w:t xml:space="preserve">In the present task, RS onset occurred 3 s after motion-stimulus offset irrespective of stimulus duration, defining a fixed temporal interval between these two events. </w:t>
      </w:r>
      <w:r w:rsidR="00852011" w:rsidRPr="00852011">
        <w:rPr>
          <w:rFonts w:eastAsiaTheme="minorEastAsia"/>
          <w:color w:val="FF0000"/>
        </w:rPr>
        <w:t>We therefore anchored temporal</w:t>
      </w:r>
      <w:r w:rsidR="00852011">
        <w:rPr>
          <w:rFonts w:eastAsiaTheme="minorEastAsia"/>
        </w:rPr>
        <w:t xml:space="preserve"> </w:t>
      </w:r>
      <w:r w:rsidR="00852011">
        <w:rPr>
          <w:rFonts w:eastAsiaTheme="minorEastAsia"/>
          <w:color w:val="FF0000"/>
        </w:rPr>
        <w:t>preparation to stimulus offset</w:t>
      </w:r>
      <w:r w:rsidR="0065078C">
        <w:rPr>
          <w:rFonts w:eastAsiaTheme="minorEastAsia"/>
          <w:color w:val="1F4E9E"/>
        </w:rPr>
        <w:t xml:space="preserve">. </w:t>
      </w:r>
      <w:r w:rsidR="00227978" w:rsidRPr="00227978">
        <w:rPr>
          <w:rFonts w:eastAsiaTheme="minorEastAsia"/>
          <w:color w:val="1F4E9E"/>
        </w:rPr>
        <w:t xml:space="preserve">We </w:t>
      </w:r>
      <w:r w:rsidR="00852011">
        <w:rPr>
          <w:rFonts w:eastAsiaTheme="minorEastAsia"/>
          <w:color w:val="1F4E9E"/>
        </w:rPr>
        <w:t>defined</w:t>
      </w:r>
      <w:r w:rsidR="00B51EDF">
        <w:rPr>
          <w:rFonts w:eastAsiaTheme="minorEastAsia"/>
        </w:rPr>
        <w:t xml:space="preserve"> </w:t>
      </w:r>
      <w:proofErr w:type="spellStart"/>
      <w:r w:rsidR="00B51EDF" w:rsidRPr="00A00426">
        <w:rPr>
          <w:rFonts w:eastAsiaTheme="minorEastAsia"/>
          <w:i/>
          <w:color w:val="1F4E9E"/>
        </w:rPr>
        <w:t>t</w:t>
      </w:r>
      <w:r w:rsidR="00B51EDF" w:rsidRPr="00A00426">
        <w:rPr>
          <w:rFonts w:eastAsiaTheme="minorEastAsia"/>
          <w:color w:val="1F4E9E"/>
          <w:vertAlign w:val="subscript"/>
        </w:rPr>
        <w:t>offset</w:t>
      </w:r>
      <w:proofErr w:type="spellEnd"/>
      <w:r w:rsidR="00B51EDF">
        <w:rPr>
          <w:rFonts w:eastAsiaTheme="minorEastAsia"/>
          <w:color w:val="1F4E9E"/>
        </w:rPr>
        <w:t xml:space="preserve">, </w:t>
      </w:r>
      <w:r w:rsidR="00B51EDF" w:rsidRPr="00B51EDF">
        <w:rPr>
          <w:rFonts w:eastAsiaTheme="minorEastAsia"/>
          <w:color w:val="FF0000"/>
        </w:rPr>
        <w:t xml:space="preserve">the time at which stimulus offset became </w:t>
      </w:r>
      <w:r w:rsidR="00227978">
        <w:rPr>
          <w:rFonts w:eastAsiaTheme="minorEastAsia"/>
          <w:color w:val="FF0000"/>
        </w:rPr>
        <w:t>internally available as a</w:t>
      </w:r>
      <w:r w:rsidR="00B51EDF" w:rsidRPr="00B51EDF">
        <w:rPr>
          <w:rFonts w:eastAsiaTheme="minorEastAsia"/>
          <w:color w:val="FF0000"/>
        </w:rPr>
        <w:t xml:space="preserve"> temporal reference</w:t>
      </w:r>
      <w:r w:rsidR="00852011">
        <w:rPr>
          <w:rFonts w:eastAsiaTheme="minorEastAsia"/>
          <w:color w:val="1F4E9E"/>
        </w:rPr>
        <w:t>,</w:t>
      </w:r>
      <w:r w:rsidR="00227978">
        <w:rPr>
          <w:rFonts w:eastAsiaTheme="minorEastAsia"/>
        </w:rPr>
        <w:t xml:space="preserve"> </w:t>
      </w:r>
      <w:r w:rsidR="00B51EDF">
        <w:rPr>
          <w:rFonts w:eastAsiaTheme="minorEastAsia"/>
          <w:color w:val="1F4E9E"/>
        </w:rPr>
        <w:t>as</w:t>
      </w:r>
      <w:r w:rsidR="0097351A">
        <w:rPr>
          <w:rFonts w:eastAsiaTheme="minorEastAsia"/>
          <w:color w:val="1F4E9E"/>
        </w:rPr>
        <w:t>:</w:t>
      </w:r>
    </w:p>
    <w:p w14:paraId="15E931AA" w14:textId="77777777" w:rsidR="0097351A" w:rsidRDefault="00000000" w:rsidP="00227978">
      <w:pPr>
        <w:rPr>
          <w:rFonts w:eastAsiaTheme="minorEastAsia"/>
          <w:color w:val="1F4E9E"/>
        </w:rPr>
      </w:pPr>
      <m:oMathPara>
        <m:oMath>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offset</m:t>
              </m:r>
            </m:sub>
          </m:sSub>
          <m:r>
            <w:rPr>
              <w:rFonts w:ascii="Cambria Math" w:eastAsiaTheme="minorEastAsia" w:hAnsi="Cambria Math"/>
              <w:color w:val="1F4E9E"/>
            </w:rPr>
            <m:t>=D+</m:t>
          </m:r>
          <m:sSub>
            <m:sSubPr>
              <m:ctrlPr>
                <w:rPr>
                  <w:rFonts w:ascii="Cambria Math" w:eastAsiaTheme="minorEastAsia" w:hAnsi="Cambria Math"/>
                  <w:i/>
                  <w:color w:val="1F4E9E"/>
                </w:rPr>
              </m:ctrlPr>
            </m:sSubPr>
            <m:e>
              <m:r>
                <w:rPr>
                  <w:rFonts w:ascii="Cambria Math" w:eastAsiaTheme="minorEastAsia" w:hAnsi="Cambria Math"/>
                  <w:color w:val="1F4E9E"/>
                </w:rPr>
                <m:t>L</m:t>
              </m:r>
            </m:e>
            <m:sub>
              <m:r>
                <m:rPr>
                  <m:sty m:val="p"/>
                </m:rPr>
                <w:rPr>
                  <w:rFonts w:ascii="Cambria Math" w:eastAsiaTheme="minorEastAsia" w:hAnsi="Cambria Math"/>
                  <w:color w:val="1F4E9E"/>
                </w:rPr>
                <m:t>motion</m:t>
              </m:r>
            </m:sub>
          </m:sSub>
          <m:r>
            <w:rPr>
              <w:rFonts w:ascii="Cambria Math" w:eastAsiaTheme="minorEastAsia" w:hAnsi="Cambria Math"/>
              <w:color w:val="1F4E9E"/>
            </w:rPr>
            <m:t>,</m:t>
          </m:r>
        </m:oMath>
      </m:oMathPara>
    </w:p>
    <w:p w14:paraId="2E2312E3" w14:textId="77777777" w:rsidR="0097351A" w:rsidRDefault="00852011" w:rsidP="00227978">
      <w:pPr>
        <w:rPr>
          <w:rFonts w:eastAsiaTheme="minorEastAsia"/>
          <w:color w:val="1F4E9E"/>
        </w:rPr>
      </w:pPr>
      <w:r w:rsidRPr="00852011">
        <w:rPr>
          <w:rFonts w:eastAsiaTheme="minorEastAsia"/>
          <w:color w:val="1F4E9E"/>
        </w:rPr>
        <w:t>coinciding</w:t>
      </w:r>
      <w:r w:rsidRPr="00852011">
        <w:rPr>
          <w:rFonts w:eastAsiaTheme="minorEastAsia"/>
          <w:color w:val="FF0000"/>
        </w:rPr>
        <w:t xml:space="preserve"> with the time at which</w:t>
      </w:r>
      <w:r>
        <w:rPr>
          <w:rFonts w:eastAsiaTheme="minorEastAsia"/>
          <w:color w:val="FF0000"/>
        </w:rPr>
        <w:t xml:space="preserve"> encoded motion evidence ceased</w:t>
      </w:r>
      <w:r w:rsidR="00F369EF" w:rsidRPr="00F369EF">
        <w:rPr>
          <w:rFonts w:eastAsiaTheme="minorEastAsia"/>
          <w:color w:val="1F4E9E"/>
        </w:rPr>
        <w:t>.</w:t>
      </w:r>
      <w:r w:rsidR="00F369EF">
        <w:rPr>
          <w:rFonts w:eastAsiaTheme="minorEastAsia"/>
        </w:rPr>
        <w:t xml:space="preserve"> </w:t>
      </w:r>
      <w:r w:rsidRPr="00852011">
        <w:rPr>
          <w:rFonts w:eastAsiaTheme="minorEastAsia"/>
          <w:color w:val="FF0000"/>
        </w:rPr>
        <w:t>To define the internal endpoint corresponding to the RS, we introduced an RS-evidence encoding latency</w:t>
      </w:r>
      <w:r w:rsidR="00B51EDF">
        <w:rPr>
          <w:rFonts w:eastAsiaTheme="minorEastAsia"/>
        </w:rPr>
        <w:t xml:space="preserve"> </w:t>
      </w:r>
      <w:r w:rsidR="00B51EDF">
        <w:rPr>
          <w:rFonts w:eastAsiaTheme="minorEastAsia"/>
          <w:i/>
          <w:color w:val="1F4E9E"/>
        </w:rPr>
        <w:t>L</w:t>
      </w:r>
      <w:r w:rsidR="00B51EDF" w:rsidRPr="00595A46">
        <w:rPr>
          <w:rFonts w:eastAsiaTheme="minorEastAsia"/>
          <w:color w:val="1F4E9E"/>
          <w:vertAlign w:val="subscript"/>
        </w:rPr>
        <w:t>RS</w:t>
      </w:r>
      <w:r w:rsidR="00B51EDF">
        <w:rPr>
          <w:rFonts w:eastAsiaTheme="minorEastAsia"/>
          <w:color w:val="1F4E9E"/>
        </w:rPr>
        <w:t xml:space="preserve">, </w:t>
      </w:r>
      <w:r w:rsidR="00B51EDF" w:rsidRPr="00B51EDF">
        <w:rPr>
          <w:rFonts w:eastAsiaTheme="minorEastAsia"/>
          <w:color w:val="FF0000"/>
        </w:rPr>
        <w:t xml:space="preserve">corresponding to the delay between physical RS onset </w:t>
      </w:r>
      <w:r w:rsidR="00F021A1" w:rsidRPr="00F021A1">
        <w:rPr>
          <w:rFonts w:eastAsiaTheme="minorEastAsia"/>
          <w:color w:val="FF0000"/>
        </w:rPr>
        <w:t>and the availability of RS-related evidence to the accumulation process</w:t>
      </w:r>
      <w:r w:rsidR="00B51EDF" w:rsidRPr="00B51EDF">
        <w:rPr>
          <w:rFonts w:eastAsiaTheme="minorEastAsia"/>
          <w:color w:val="1F4E9E"/>
        </w:rPr>
        <w:t>.</w:t>
      </w:r>
      <w:r w:rsidR="00B51EDF" w:rsidRPr="00B51EDF">
        <w:t xml:space="preserve"> </w:t>
      </w:r>
      <w:r w:rsidR="00B51EDF" w:rsidRPr="00B51EDF">
        <w:rPr>
          <w:rFonts w:eastAsiaTheme="minorEastAsia"/>
          <w:color w:val="1F4E9E"/>
        </w:rPr>
        <w:t>Accordingly,</w:t>
      </w:r>
      <w:r w:rsidR="00B51EDF">
        <w:rPr>
          <w:rFonts w:eastAsiaTheme="minorEastAsia"/>
        </w:rPr>
        <w:t xml:space="preserve"> </w:t>
      </w:r>
      <w:proofErr w:type="spellStart"/>
      <w:r w:rsidR="00B51EDF" w:rsidRPr="00A00426">
        <w:rPr>
          <w:rFonts w:eastAsiaTheme="minorEastAsia"/>
          <w:i/>
          <w:color w:val="1F4E9E"/>
        </w:rPr>
        <w:t>t</w:t>
      </w:r>
      <w:r w:rsidR="00B51EDF" w:rsidRPr="00A00426">
        <w:rPr>
          <w:rFonts w:eastAsiaTheme="minorEastAsia"/>
          <w:color w:val="1F4E9E"/>
          <w:vertAlign w:val="subscript"/>
        </w:rPr>
        <w:t>RS</w:t>
      </w:r>
      <w:proofErr w:type="spellEnd"/>
      <w:r w:rsidR="00B51EDF">
        <w:rPr>
          <w:rFonts w:eastAsiaTheme="minorEastAsia"/>
          <w:color w:val="1F4E9E"/>
        </w:rPr>
        <w:t xml:space="preserve">, </w:t>
      </w:r>
      <w:r w:rsidR="00974533" w:rsidRPr="00974533">
        <w:rPr>
          <w:rFonts w:eastAsiaTheme="minorEastAsia"/>
          <w:color w:val="FF0000"/>
        </w:rPr>
        <w:t>the time at which RS-related evidence became internally available to the accumulation process</w:t>
      </w:r>
      <w:r w:rsidR="00B51EDF" w:rsidRPr="00B51EDF">
        <w:rPr>
          <w:rFonts w:eastAsiaTheme="minorEastAsia"/>
          <w:color w:val="1F4E9E"/>
        </w:rPr>
        <w:t>, was defined as</w:t>
      </w:r>
      <w:r w:rsidR="0097351A">
        <w:rPr>
          <w:rFonts w:eastAsiaTheme="minorEastAsia"/>
          <w:color w:val="1F4E9E"/>
        </w:rPr>
        <w:t>:</w:t>
      </w:r>
    </w:p>
    <w:p w14:paraId="129856EC" w14:textId="77777777" w:rsidR="0097351A" w:rsidRDefault="00000000" w:rsidP="0097351A">
      <w:pPr>
        <w:rPr>
          <w:rFonts w:eastAsiaTheme="minorEastAsia"/>
          <w:color w:val="1F4E9E"/>
        </w:rPr>
      </w:pPr>
      <m:oMathPara>
        <m:oMath>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r>
            <w:rPr>
              <w:rFonts w:ascii="Cambria Math" w:eastAsiaTheme="minorEastAsia" w:hAnsi="Cambria Math"/>
              <w:color w:val="1F4E9E"/>
            </w:rPr>
            <m:t>=D+3+</m:t>
          </m:r>
          <m:sSub>
            <m:sSubPr>
              <m:ctrlPr>
                <w:rPr>
                  <w:rFonts w:ascii="Cambria Math" w:eastAsiaTheme="minorEastAsia" w:hAnsi="Cambria Math"/>
                  <w:i/>
                  <w:color w:val="1F4E9E"/>
                </w:rPr>
              </m:ctrlPr>
            </m:sSubPr>
            <m:e>
              <m:r>
                <w:rPr>
                  <w:rFonts w:ascii="Cambria Math" w:eastAsiaTheme="minorEastAsia" w:hAnsi="Cambria Math"/>
                  <w:color w:val="1F4E9E"/>
                </w:rPr>
                <m:t>L</m:t>
              </m:r>
            </m:e>
            <m:sub>
              <m:r>
                <m:rPr>
                  <m:sty m:val="p"/>
                </m:rPr>
                <w:rPr>
                  <w:rFonts w:ascii="Cambria Math" w:eastAsiaTheme="minorEastAsia" w:hAnsi="Cambria Math"/>
                  <w:color w:val="1F4E9E"/>
                </w:rPr>
                <m:t>RS</m:t>
              </m:r>
            </m:sub>
          </m:sSub>
          <m:r>
            <w:rPr>
              <w:rFonts w:ascii="Cambria Math" w:eastAsiaTheme="minorEastAsia" w:hAnsi="Cambria Math"/>
              <w:color w:val="1F4E9E"/>
            </w:rPr>
            <m:t>.</m:t>
          </m:r>
        </m:oMath>
      </m:oMathPara>
    </w:p>
    <w:p w14:paraId="794B6802" w14:textId="77777777" w:rsidR="00852011" w:rsidRDefault="00852011" w:rsidP="00227978">
      <w:pPr>
        <w:rPr>
          <w:rFonts w:eastAsiaTheme="minorEastAsia"/>
          <w:color w:val="1F4E9E"/>
        </w:rPr>
      </w:pPr>
      <w:r w:rsidRPr="00852011">
        <w:rPr>
          <w:color w:val="FF0000"/>
        </w:rPr>
        <w:t xml:space="preserve">Because maintenance began no later than </w:t>
      </w:r>
      <w:proofErr w:type="spellStart"/>
      <w:r w:rsidRPr="00852011">
        <w:rPr>
          <w:rStyle w:val="mord"/>
          <w:i/>
          <w:color w:val="1F4E9E"/>
        </w:rPr>
        <w:t>t</w:t>
      </w:r>
      <w:r w:rsidRPr="00852011">
        <w:rPr>
          <w:rStyle w:val="mord"/>
          <w:color w:val="1F4E9E"/>
          <w:vertAlign w:val="subscript"/>
        </w:rPr>
        <w:t>offset</w:t>
      </w:r>
      <w:proofErr w:type="spellEnd"/>
      <w:r w:rsidRPr="00852011">
        <w:rPr>
          <w:rStyle w:val="vlist-s"/>
          <w:color w:val="1F4E9E"/>
          <w:vertAlign w:val="subscript"/>
        </w:rPr>
        <w:t>​</w:t>
      </w:r>
      <w:r w:rsidRPr="00852011">
        <w:rPr>
          <w:color w:val="1F4E9E"/>
          <w:vertAlign w:val="subscript"/>
        </w:rPr>
        <w:t>,</w:t>
      </w:r>
      <w:r w:rsidRPr="00852011">
        <w:t xml:space="preserve"> the selected response </w:t>
      </w:r>
      <w:proofErr w:type="spellStart"/>
      <w:r w:rsidRPr="00852011">
        <w:rPr>
          <w:rStyle w:val="mord"/>
          <w:i/>
          <w:color w:val="1F4E9E"/>
        </w:rPr>
        <w:t>s</w:t>
      </w:r>
      <w:r w:rsidRPr="00852011">
        <w:rPr>
          <w:rStyle w:val="mord"/>
          <w:color w:val="1F4E9E"/>
          <w:vertAlign w:val="subscript"/>
        </w:rPr>
        <w:t>resp</w:t>
      </w:r>
      <w:proofErr w:type="spellEnd"/>
      <w:r w:rsidRPr="00852011">
        <w:rPr>
          <w:rStyle w:val="vlist-s"/>
          <w:color w:val="1F4E9E"/>
        </w:rPr>
        <w:t>​</w:t>
      </w:r>
      <w:r w:rsidRPr="00852011">
        <w:rPr>
          <w:color w:val="FF0000"/>
        </w:rPr>
        <w:t xml:space="preserve"> was always available when temporal preparation began.</w:t>
      </w:r>
      <w:r>
        <w:t xml:space="preserve"> </w:t>
      </w:r>
      <w:r w:rsidRPr="00852011">
        <w:rPr>
          <w:color w:val="FF0000"/>
        </w:rPr>
        <w:t xml:space="preserve">During the interval from </w:t>
      </w:r>
      <w:proofErr w:type="spellStart"/>
      <w:r w:rsidRPr="00852011">
        <w:rPr>
          <w:rStyle w:val="mord"/>
          <w:i/>
          <w:color w:val="1F4E9E"/>
        </w:rPr>
        <w:t>t</w:t>
      </w:r>
      <w:r w:rsidRPr="00852011">
        <w:rPr>
          <w:rStyle w:val="mord"/>
          <w:color w:val="1F4E9E"/>
          <w:vertAlign w:val="subscript"/>
        </w:rPr>
        <w:t>offset</w:t>
      </w:r>
      <w:proofErr w:type="spellEnd"/>
      <w:r w:rsidRPr="00852011">
        <w:rPr>
          <w:rStyle w:val="vlist-s"/>
          <w:color w:val="1F4E9E"/>
          <w:vertAlign w:val="subscript"/>
        </w:rPr>
        <w:t>​</w:t>
      </w:r>
      <w:r w:rsidRPr="00852011">
        <w:rPr>
          <w:rStyle w:val="vlist-s"/>
          <w:color w:val="1F4E9E"/>
        </w:rPr>
        <w:t>​</w:t>
      </w:r>
      <w:r w:rsidRPr="00852011">
        <w:rPr>
          <w:color w:val="1F4E9E"/>
        </w:rPr>
        <w:t xml:space="preserve"> to </w:t>
      </w:r>
      <w:proofErr w:type="spellStart"/>
      <w:r w:rsidRPr="00A00426">
        <w:rPr>
          <w:rFonts w:eastAsiaTheme="minorEastAsia"/>
          <w:i/>
          <w:color w:val="1F4E9E"/>
        </w:rPr>
        <w:t>t</w:t>
      </w:r>
      <w:r w:rsidRPr="00A00426">
        <w:rPr>
          <w:rFonts w:eastAsiaTheme="minorEastAsia"/>
          <w:color w:val="1F4E9E"/>
          <w:vertAlign w:val="subscript"/>
        </w:rPr>
        <w:t>RS</w:t>
      </w:r>
      <w:proofErr w:type="spellEnd"/>
      <w:r w:rsidRPr="00852011">
        <w:rPr>
          <w:rStyle w:val="vlist-s"/>
          <w:color w:val="1F4E9E"/>
        </w:rPr>
        <w:t>​</w:t>
      </w:r>
      <w:r>
        <w:rPr>
          <w:color w:val="1F4E9E"/>
        </w:rPr>
        <w:t>, Model 1</w:t>
      </w:r>
      <w:r w:rsidRPr="00852011">
        <w:rPr>
          <w:color w:val="FF0000"/>
        </w:rPr>
        <w:t xml:space="preserve"> continued to transmit </w:t>
      </w:r>
      <w:r w:rsidRPr="00852011">
        <w:rPr>
          <w:rStyle w:val="mord"/>
          <w:i/>
          <w:color w:val="1F4E9E"/>
        </w:rPr>
        <w:t>y</w:t>
      </w:r>
      <w:r w:rsidRPr="00852011">
        <w:rPr>
          <w:rStyle w:val="mopen"/>
          <w:i/>
          <w:color w:val="1F4E9E"/>
        </w:rPr>
        <w:t>(</w:t>
      </w:r>
      <w:r w:rsidRPr="00852011">
        <w:rPr>
          <w:rStyle w:val="mord"/>
          <w:i/>
          <w:color w:val="1F4E9E"/>
        </w:rPr>
        <w:t>t</w:t>
      </w:r>
      <w:r w:rsidRPr="00852011">
        <w:rPr>
          <w:rStyle w:val="mclose"/>
          <w:i/>
          <w:color w:val="1F4E9E"/>
        </w:rPr>
        <w:t>)</w:t>
      </w:r>
      <w:r w:rsidRPr="00852011">
        <w:rPr>
          <w:color w:val="FF0000"/>
        </w:rPr>
        <w:t xml:space="preserve"> to the downstream gating mechanism.</w:t>
      </w:r>
      <w:r w:rsidRPr="00852011">
        <w:t xml:space="preserve"> </w:t>
      </w:r>
      <w:r w:rsidRPr="00852011">
        <w:rPr>
          <w:color w:val="FF0000"/>
        </w:rPr>
        <w:t>In Model 2, temporal preparation instead provided an additional response-specific contribution that increased linearly from zero</w:t>
      </w:r>
      <w:r>
        <w:rPr>
          <w:color w:val="1F4E9E"/>
        </w:rPr>
        <w:t xml:space="preserve"> at </w:t>
      </w:r>
      <w:proofErr w:type="spellStart"/>
      <w:r w:rsidRPr="00852011">
        <w:rPr>
          <w:rStyle w:val="mord"/>
          <w:i/>
          <w:color w:val="1F4E9E"/>
        </w:rPr>
        <w:t>t</w:t>
      </w:r>
      <w:r w:rsidRPr="00852011">
        <w:rPr>
          <w:rStyle w:val="mord"/>
          <w:color w:val="1F4E9E"/>
          <w:vertAlign w:val="subscript"/>
        </w:rPr>
        <w:t>offset</w:t>
      </w:r>
      <w:proofErr w:type="spellEnd"/>
      <w:r>
        <w:rPr>
          <w:rStyle w:val="mord"/>
          <w:color w:val="FF0000"/>
        </w:rPr>
        <w:t xml:space="preserve"> to a maximum magnitude </w:t>
      </w:r>
      <w:r w:rsidRPr="00852011">
        <w:rPr>
          <w:rStyle w:val="mord"/>
          <w:i/>
          <w:color w:val="1F4E9E"/>
        </w:rPr>
        <w:t>β</w:t>
      </w:r>
      <w:r>
        <w:rPr>
          <w:rStyle w:val="mord"/>
        </w:rPr>
        <w:t xml:space="preserve"> </w:t>
      </w:r>
      <w:r w:rsidR="00560F0C">
        <w:rPr>
          <w:rStyle w:val="mord"/>
          <w:color w:val="1F4E9E"/>
        </w:rPr>
        <w:t xml:space="preserve">at </w:t>
      </w:r>
      <w:proofErr w:type="spellStart"/>
      <w:r w:rsidR="00560F0C" w:rsidRPr="00A00426">
        <w:rPr>
          <w:rFonts w:eastAsiaTheme="minorEastAsia"/>
          <w:i/>
          <w:color w:val="1F4E9E"/>
        </w:rPr>
        <w:t>t</w:t>
      </w:r>
      <w:r w:rsidR="00560F0C" w:rsidRPr="00A00426">
        <w:rPr>
          <w:rFonts w:eastAsiaTheme="minorEastAsia"/>
          <w:color w:val="1F4E9E"/>
          <w:vertAlign w:val="subscript"/>
        </w:rPr>
        <w:t>RS</w:t>
      </w:r>
      <w:proofErr w:type="spellEnd"/>
      <w:r w:rsidR="00560F0C">
        <w:rPr>
          <w:rFonts w:eastAsiaTheme="minorEastAsia"/>
          <w:color w:val="1F4E9E"/>
        </w:rPr>
        <w:t xml:space="preserve">. </w:t>
      </w:r>
      <w:r>
        <w:rPr>
          <w:color w:val="1F4E9E"/>
        </w:rPr>
        <w:t xml:space="preserve"> Thus, during this interval the </w:t>
      </w:r>
      <w:r>
        <w:rPr>
          <w:color w:val="1F4E9E"/>
        </w:rPr>
        <w:lastRenderedPageBreak/>
        <w:t>signal reaching the gate, ỹ(t) (a tilde marks the gate-facing signal, distinct from the maintained state y(t) itself), was given by:</w:t>
      </w:r>
    </w:p>
    <w:p w14:paraId="5CE2117B" w14:textId="77777777" w:rsidR="00560F0C" w:rsidRPr="0097351A" w:rsidRDefault="00000000" w:rsidP="00227978">
      <w:pPr>
        <w:rPr>
          <w:rFonts w:eastAsiaTheme="minorEastAsia"/>
          <w:color w:val="1F4E9E"/>
        </w:rPr>
      </w:pPr>
      <m:oMathPara>
        <m:oMath>
          <m:eqArr>
            <m:eqArrPr>
              <m:maxDist m:val="1"/>
              <m:ctrlPr>
                <w:rPr>
                  <w:rFonts w:ascii="Cambria Math" w:eastAsiaTheme="minorEastAsia" w:hAnsi="Cambria Math"/>
                  <w:i/>
                  <w:color w:val="1F4E9E"/>
                </w:rPr>
              </m:ctrlPr>
            </m:eqArrPr>
            <m:e>
              <m:acc>
                <m:accPr>
                  <m:chr m:val="̃"/>
                  <m:ctrlPr>
                    <w:rPr>
                      <w:rFonts w:ascii="Cambria Math" w:hAnsi="Cambria Math"/>
                      <w:i/>
                      <w:color w:val="1F4E9E"/>
                    </w:rPr>
                  </m:ctrlPr>
                </m:accPr>
                <m:e>
                  <m:r>
                    <w:rPr>
                      <w:rFonts w:ascii="Cambria Math" w:hAnsi="Cambria Math"/>
                      <w:color w:val="1F4E9E"/>
                    </w:rPr>
                    <m:t>y</m:t>
                  </m:r>
                </m:e>
              </m:acc>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y</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m:t>
              </m:r>
              <m:sSub>
                <m:sSubPr>
                  <m:ctrlPr>
                    <w:rPr>
                      <w:rFonts w:ascii="Cambria Math" w:eastAsiaTheme="minorEastAsia" w:hAnsi="Cambria Math"/>
                      <w:i/>
                      <w:color w:val="1F4E9E"/>
                    </w:rPr>
                  </m:ctrlPr>
                </m:sSubPr>
                <m:e>
                  <m:r>
                    <w:rPr>
                      <w:rFonts w:ascii="Cambria Math" w:eastAsiaTheme="minorEastAsia" w:hAnsi="Cambria Math"/>
                      <w:color w:val="1F4E9E"/>
                    </w:rPr>
                    <m:t>s</m:t>
                  </m:r>
                </m:e>
                <m:sub>
                  <m:r>
                    <w:rPr>
                      <w:rFonts w:ascii="Cambria Math" w:eastAsiaTheme="minorEastAsia" w:hAnsi="Cambria Math"/>
                      <w:color w:val="1F4E9E"/>
                    </w:rPr>
                    <m:t>resp</m:t>
                  </m:r>
                </m:sub>
              </m:sSub>
              <m:r>
                <w:rPr>
                  <w:rFonts w:ascii="Cambria Math" w:eastAsiaTheme="minorEastAsia" w:hAnsi="Cambria Math"/>
                  <w:color w:val="1F4E9E"/>
                </w:rPr>
                <m:t>β</m:t>
              </m:r>
              <m:f>
                <m:fPr>
                  <m:ctrlPr>
                    <w:rPr>
                      <w:rFonts w:ascii="Cambria Math" w:eastAsiaTheme="minorEastAsia" w:hAnsi="Cambria Math"/>
                      <w:i/>
                      <w:color w:val="1F4E9E"/>
                    </w:rPr>
                  </m:ctrlPr>
                </m:fPr>
                <m:num>
                  <m:r>
                    <w:rPr>
                      <w:rFonts w:ascii="Cambria Math" w:eastAsiaTheme="minorEastAsia" w:hAnsi="Cambria Math"/>
                      <w:color w:val="1F4E9E"/>
                    </w:rPr>
                    <m:t>t-</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offset</m:t>
                      </m:r>
                    </m:sub>
                  </m:sSub>
                </m:num>
                <m:den>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r>
                    <w:rPr>
                      <w:rFonts w:ascii="Cambria Math" w:eastAsiaTheme="minorEastAsia" w:hAnsi="Cambria Math"/>
                      <w:color w:val="1F4E9E"/>
                    </w:rPr>
                    <m:t>-</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offset</m:t>
                      </m:r>
                    </m:sub>
                  </m:sSub>
                </m:den>
              </m:f>
              <m:r>
                <w:rPr>
                  <w:rFonts w:ascii="Cambria Math" w:eastAsiaTheme="minorEastAsia" w:hAnsi="Cambria Math"/>
                  <w:color w:val="1F4E9E"/>
                </w:rPr>
                <m:t xml:space="preserve">,  </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offset</m:t>
                  </m:r>
                </m:sub>
              </m:sSub>
              <m:r>
                <w:rPr>
                  <w:rFonts w:ascii="Cambria Math" w:eastAsiaTheme="minorEastAsia" w:hAnsi="Cambria Math"/>
                  <w:color w:val="1F4E9E"/>
                </w:rPr>
                <m:t>≤t≤</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r>
                <w:rPr>
                  <w:rFonts w:ascii="Cambria Math" w:eastAsiaTheme="minorEastAsia" w:hAnsi="Cambria Math"/>
                  <w:color w:val="1F4E9E"/>
                </w:rPr>
                <m:t>.#</m:t>
              </m:r>
              <m:d>
                <m:dPr>
                  <m:ctrlPr>
                    <w:rPr>
                      <w:rFonts w:ascii="Cambria Math" w:eastAsiaTheme="minorEastAsia" w:hAnsi="Cambria Math"/>
                      <w:i/>
                      <w:color w:val="1F4E9E"/>
                    </w:rPr>
                  </m:ctrlPr>
                </m:dPr>
                <m:e>
                  <m:r>
                    <w:rPr>
                      <w:rFonts w:ascii="Cambria Math" w:eastAsiaTheme="minorEastAsia" w:hAnsi="Cambria Math"/>
                      <w:color w:val="1F4E9E"/>
                    </w:rPr>
                    <m:t>7</m:t>
                  </m:r>
                </m:e>
              </m:d>
            </m:e>
          </m:eqArr>
        </m:oMath>
      </m:oMathPara>
    </w:p>
    <w:p w14:paraId="67C58628" w14:textId="77777777" w:rsidR="00F26D50" w:rsidRPr="00B4516B" w:rsidRDefault="00560F0C" w:rsidP="00F26D50">
      <w:pPr>
        <w:rPr>
          <w:rFonts w:eastAsiaTheme="minorEastAsia"/>
          <w:color w:val="1F4E9E"/>
        </w:rPr>
      </w:pPr>
      <w:r w:rsidRPr="00560F0C">
        <w:rPr>
          <w:rFonts w:eastAsiaTheme="minorEastAsia"/>
          <w:color w:val="1F4E9E"/>
        </w:rPr>
        <w:t>W</w:t>
      </w:r>
      <w:r w:rsidR="005F4E2C">
        <w:rPr>
          <w:rFonts w:eastAsiaTheme="minorEastAsia"/>
          <w:color w:val="FF0000"/>
        </w:rPr>
        <w:t>e assumed that the</w:t>
      </w:r>
      <w:r w:rsidRPr="00560F0C">
        <w:rPr>
          <w:rFonts w:eastAsiaTheme="minorEastAsia"/>
          <w:color w:val="FF0000"/>
        </w:rPr>
        <w:t xml:space="preserve"> temporal-preparation contribution</w:t>
      </w:r>
      <w:r w:rsidR="005F4E2C">
        <w:rPr>
          <w:rFonts w:eastAsiaTheme="minorEastAsia"/>
          <w:color w:val="1F4E9E"/>
        </w:rPr>
        <w:t xml:space="preserve"> in Equation (7)</w:t>
      </w:r>
      <w:r w:rsidRPr="00560F0C">
        <w:rPr>
          <w:rFonts w:eastAsiaTheme="minorEastAsia"/>
          <w:color w:val="FF0000"/>
        </w:rPr>
        <w:t xml:space="preserve"> did not pass through the low-pass filter</w:t>
      </w:r>
      <w:r w:rsidR="005F4E2C">
        <w:rPr>
          <w:rFonts w:eastAsiaTheme="minorEastAsia"/>
          <w:color w:val="1F4E9E"/>
        </w:rPr>
        <w:t xml:space="preserve"> a</w:t>
      </w:r>
      <w:r w:rsidR="005F4E2C" w:rsidRPr="005F4E2C">
        <w:rPr>
          <w:rFonts w:eastAsiaTheme="minorEastAsia"/>
          <w:color w:val="FF0000"/>
        </w:rPr>
        <w:t>nd was instead added directly to the motor-preparatory signal reaching the downstream gate.</w:t>
      </w:r>
      <w:r w:rsidR="00CF7743">
        <w:rPr>
          <w:rFonts w:eastAsiaTheme="minorEastAsia"/>
        </w:rPr>
        <w:t xml:space="preserve"> </w:t>
      </w:r>
      <w:r w:rsidR="00CE261F" w:rsidRPr="00CE261F">
        <w:rPr>
          <w:color w:val="FF0000"/>
        </w:rPr>
        <w:t xml:space="preserve">The rationale is that the filter was inherited from the immediate-report architecture, where it describes the transmission of decision-related input </w:t>
      </w:r>
      <w:r w:rsidR="00CE261F" w:rsidRPr="00CE261F">
        <w:rPr>
          <w:i/>
          <w:color w:val="1F4E9E"/>
        </w:rPr>
        <w:t>x(t)</w:t>
      </w:r>
      <w:r w:rsidR="00CE261F" w:rsidRPr="00CE261F">
        <w:rPr>
          <w:color w:val="FF0000"/>
        </w:rPr>
        <w:t xml:space="preserve"> to the motor-preparatory state </w:t>
      </w:r>
      <w:r w:rsidR="00CE261F" w:rsidRPr="00CE261F">
        <w:rPr>
          <w:i/>
          <w:color w:val="1F4E9E"/>
        </w:rPr>
        <w:t>y(t)</w:t>
      </w:r>
      <w:r w:rsidR="00D15FC4">
        <w:rPr>
          <w:color w:val="FF0000"/>
        </w:rPr>
        <w:t>. Temporal preparation</w:t>
      </w:r>
      <w:r w:rsidR="00CE261F" w:rsidRPr="00CE261F">
        <w:rPr>
          <w:color w:val="FF0000"/>
        </w:rPr>
        <w:t xml:space="preserve">, by contrast, arises from learned temporal regularities and was treated as a distinct source of motor preparation rather than part of this </w:t>
      </w:r>
      <w:r w:rsidR="00CE261F" w:rsidRPr="00CE261F">
        <w:rPr>
          <w:color w:val="1F4E9E"/>
        </w:rPr>
        <w:t>d</w:t>
      </w:r>
      <w:r w:rsidR="00673369">
        <w:rPr>
          <w:color w:val="FF0000"/>
        </w:rPr>
        <w:t>ecision-to-motor transformation</w:t>
      </w:r>
      <w:r w:rsidR="00CE261F" w:rsidRPr="00CE261F">
        <w:rPr>
          <w:color w:val="1F4E9E"/>
        </w:rPr>
        <w:t xml:space="preserve">. </w:t>
      </w:r>
      <w:r w:rsidR="00CF7743" w:rsidRPr="00CF7743">
        <w:rPr>
          <w:color w:val="1F4E9E"/>
        </w:rPr>
        <w:t xml:space="preserve">Accordingly, </w:t>
      </w:r>
      <w:r w:rsidR="00673369">
        <w:rPr>
          <w:color w:val="1F4E9E"/>
        </w:rPr>
        <w:t>it</w:t>
      </w:r>
      <w:r w:rsidR="00CF7743" w:rsidRPr="00CF7743">
        <w:rPr>
          <w:color w:val="FF0000"/>
        </w:rPr>
        <w:t xml:space="preserve"> did not alter either the maintenance target </w:t>
      </w:r>
      <w:r w:rsidR="00CF7743" w:rsidRPr="0097351A">
        <w:rPr>
          <w:i/>
          <w:color w:val="1F4E9E"/>
        </w:rPr>
        <w:t>m</w:t>
      </w:r>
      <w:r w:rsidR="00CF7743" w:rsidRPr="00CF7743">
        <w:rPr>
          <w:color w:val="FF0000"/>
        </w:rPr>
        <w:t xml:space="preserve"> or the dynamics by which </w:t>
      </w:r>
      <w:r w:rsidR="00CF7743" w:rsidRPr="00CF7743">
        <w:rPr>
          <w:i/>
          <w:color w:val="1F4E9E"/>
        </w:rPr>
        <w:t>y(t)</w:t>
      </w:r>
      <w:r w:rsidR="00CF7743" w:rsidRPr="00CF7743">
        <w:rPr>
          <w:color w:val="1F4E9E"/>
        </w:rPr>
        <w:t xml:space="preserve"> was maintained.</w:t>
      </w:r>
    </w:p>
    <w:p w14:paraId="1FB88AA5" w14:textId="77777777" w:rsidR="00CC2192" w:rsidRPr="00E17315" w:rsidRDefault="00CC2192" w:rsidP="00BA7134">
      <w:r w:rsidRPr="00CC2192">
        <w:rPr>
          <w:rFonts w:eastAsiaTheme="minorEastAsia"/>
          <w:i/>
          <w:color w:val="FF0000"/>
        </w:rPr>
        <w:t>RS-driven response initiation</w:t>
      </w:r>
      <w:r w:rsidRPr="00CC2192">
        <w:rPr>
          <w:rFonts w:eastAsiaTheme="minorEastAsia"/>
          <w:color w:val="1F4E9E"/>
        </w:rPr>
        <w:t>.</w:t>
      </w:r>
      <w:r>
        <w:rPr>
          <w:rFonts w:eastAsiaTheme="minorEastAsia"/>
        </w:rPr>
        <w:t xml:space="preserve"> </w:t>
      </w:r>
      <w:r w:rsidR="00595A46">
        <w:rPr>
          <w:rFonts w:eastAsiaTheme="minorEastAsia"/>
          <w:color w:val="1F4E9E"/>
        </w:rPr>
        <w:t xml:space="preserve">At </w:t>
      </w:r>
      <w:proofErr w:type="spellStart"/>
      <w:r w:rsidR="00595A46">
        <w:rPr>
          <w:rFonts w:eastAsiaTheme="minorEastAsia"/>
          <w:i/>
          <w:color w:val="1F4E9E"/>
        </w:rPr>
        <w:t>t</w:t>
      </w:r>
      <w:r w:rsidR="00595A46" w:rsidRPr="00595A46">
        <w:rPr>
          <w:rFonts w:eastAsiaTheme="minorEastAsia"/>
          <w:color w:val="1F4E9E"/>
          <w:vertAlign w:val="subscript"/>
        </w:rPr>
        <w:t>RS</w:t>
      </w:r>
      <w:proofErr w:type="spellEnd"/>
      <w:r w:rsidR="00595A46">
        <w:rPr>
          <w:rFonts w:eastAsiaTheme="minorEastAsia"/>
          <w:color w:val="1F4E9E"/>
        </w:rPr>
        <w:t>,</w:t>
      </w:r>
      <w:r w:rsidR="00595A46" w:rsidRPr="00595A46">
        <w:rPr>
          <w:rFonts w:eastAsiaTheme="minorEastAsia"/>
        </w:rPr>
        <w:t xml:space="preserve"> </w:t>
      </w:r>
      <w:r w:rsidR="003B1803" w:rsidRPr="003B1803">
        <w:rPr>
          <w:rFonts w:eastAsiaTheme="minorEastAsia"/>
          <w:color w:val="1F4E9E"/>
        </w:rPr>
        <w:t xml:space="preserve">once RS </w:t>
      </w:r>
      <w:r w:rsidR="00974533">
        <w:rPr>
          <w:rFonts w:eastAsiaTheme="minorEastAsia"/>
          <w:color w:val="1F4E9E"/>
        </w:rPr>
        <w:t>evidence</w:t>
      </w:r>
      <w:r w:rsidR="003B1803" w:rsidRPr="003B1803">
        <w:rPr>
          <w:rFonts w:eastAsiaTheme="minorEastAsia"/>
        </w:rPr>
        <w:t xml:space="preserve"> </w:t>
      </w:r>
      <w:r w:rsidR="00974533" w:rsidRPr="00974533">
        <w:rPr>
          <w:rFonts w:eastAsiaTheme="minorEastAsia"/>
          <w:color w:val="FF0000"/>
        </w:rPr>
        <w:t>became available to the accumulation process</w:t>
      </w:r>
      <w:r w:rsidR="003B1803" w:rsidRPr="003B1803">
        <w:rPr>
          <w:rFonts w:eastAsiaTheme="minorEastAsia"/>
          <w:color w:val="FF0000"/>
        </w:rPr>
        <w:t xml:space="preserve">, the maintenance-noise process </w:t>
      </w:r>
      <w:r w:rsidR="003B1803" w:rsidRPr="003B1803">
        <w:rPr>
          <w:rFonts w:ascii="Calibri" w:eastAsiaTheme="minorEastAsia" w:hAnsi="Calibri" w:cs="Calibri"/>
          <w:i/>
          <w:color w:val="1F4E9E"/>
        </w:rPr>
        <w:t>ε</w:t>
      </w:r>
      <w:r w:rsidR="003B1803" w:rsidRPr="003B1803">
        <w:rPr>
          <w:rFonts w:eastAsiaTheme="minorEastAsia"/>
          <w:i/>
          <w:color w:val="1F4E9E"/>
        </w:rPr>
        <w:t>(t)</w:t>
      </w:r>
      <w:r w:rsidR="003B1803" w:rsidRPr="003B1803">
        <w:rPr>
          <w:rFonts w:eastAsiaTheme="minorEastAsia"/>
          <w:color w:val="FF0000"/>
        </w:rPr>
        <w:t xml:space="preserve"> was discontinued, and the </w:t>
      </w:r>
      <w:r w:rsidR="00E17315">
        <w:rPr>
          <w:rFonts w:eastAsiaTheme="minorEastAsia"/>
          <w:color w:val="1F4E9E"/>
        </w:rPr>
        <w:t>filtered</w:t>
      </w:r>
      <w:r w:rsidR="003B1803">
        <w:rPr>
          <w:rFonts w:eastAsiaTheme="minorEastAsia"/>
          <w:color w:val="FF0000"/>
        </w:rPr>
        <w:t xml:space="preserve"> motor-preparatory state </w:t>
      </w:r>
      <w:r w:rsidR="003B1803" w:rsidRPr="00E17315">
        <w:rPr>
          <w:rFonts w:eastAsiaTheme="minorEastAsia"/>
          <w:i/>
          <w:color w:val="1F4E9E"/>
        </w:rPr>
        <w:t>y(</w:t>
      </w:r>
      <w:proofErr w:type="spellStart"/>
      <w:r w:rsidR="003B1803" w:rsidRPr="00E17315">
        <w:rPr>
          <w:rFonts w:eastAsiaTheme="minorEastAsia"/>
          <w:i/>
          <w:color w:val="1F4E9E"/>
        </w:rPr>
        <w:t>t</w:t>
      </w:r>
      <w:r w:rsidR="004F7779" w:rsidRPr="00E17315">
        <w:rPr>
          <w:rFonts w:eastAsiaTheme="minorEastAsia"/>
          <w:i/>
          <w:color w:val="1F4E9E"/>
          <w:vertAlign w:val="subscript"/>
        </w:rPr>
        <w:t>RS</w:t>
      </w:r>
      <w:proofErr w:type="spellEnd"/>
      <w:r w:rsidR="003B1803" w:rsidRPr="00E17315">
        <w:rPr>
          <w:rFonts w:eastAsiaTheme="minorEastAsia"/>
          <w:i/>
          <w:color w:val="1F4E9E"/>
        </w:rPr>
        <w:t>)</w:t>
      </w:r>
      <w:r w:rsidR="003B1803" w:rsidRPr="003B1803">
        <w:rPr>
          <w:rFonts w:eastAsiaTheme="minorEastAsia"/>
          <w:color w:val="FF0000"/>
        </w:rPr>
        <w:t xml:space="preserve"> was retained as the baseline for subsequent RS-driven processing.</w:t>
      </w:r>
      <w:r w:rsidR="003B1803" w:rsidRPr="003B1803">
        <w:t xml:space="preserve"> </w:t>
      </w:r>
      <w:r w:rsidR="003B1803" w:rsidRPr="003B1803">
        <w:rPr>
          <w:rFonts w:eastAsiaTheme="minorEastAsia"/>
          <w:color w:val="1F4E9E"/>
        </w:rPr>
        <w:t>In M</w:t>
      </w:r>
      <w:r w:rsidR="00D15FC4">
        <w:rPr>
          <w:rFonts w:eastAsiaTheme="minorEastAsia"/>
          <w:color w:val="FF0000"/>
        </w:rPr>
        <w:t>odel 2, the temporal-preparation</w:t>
      </w:r>
      <w:r w:rsidR="00E17315">
        <w:rPr>
          <w:rFonts w:eastAsiaTheme="minorEastAsia"/>
          <w:color w:val="1F4E9E"/>
        </w:rPr>
        <w:t xml:space="preserve"> contribution</w:t>
      </w:r>
      <w:r w:rsidR="003B1803">
        <w:rPr>
          <w:rFonts w:eastAsiaTheme="minorEastAsia"/>
          <w:color w:val="1F4E9E"/>
        </w:rPr>
        <w:t xml:space="preserve"> had </w:t>
      </w:r>
      <w:r w:rsidR="00E17315" w:rsidRPr="00E17315">
        <w:rPr>
          <w:rFonts w:eastAsiaTheme="minorEastAsia"/>
          <w:color w:val="FF0000"/>
        </w:rPr>
        <w:t>simultaneously</w:t>
      </w:r>
      <w:r w:rsidR="00E17315">
        <w:rPr>
          <w:rFonts w:eastAsiaTheme="minorEastAsia"/>
        </w:rPr>
        <w:t xml:space="preserve"> </w:t>
      </w:r>
      <w:r w:rsidR="003B1803">
        <w:rPr>
          <w:rFonts w:eastAsiaTheme="minorEastAsia"/>
          <w:color w:val="FF0000"/>
        </w:rPr>
        <w:t xml:space="preserve">reached its maximum </w:t>
      </w:r>
      <w:r w:rsidR="00E17315">
        <w:rPr>
          <w:rFonts w:eastAsiaTheme="minorEastAsia"/>
          <w:color w:val="1F4E9E"/>
        </w:rPr>
        <w:t xml:space="preserve">magnitude </w:t>
      </w:r>
      <w:proofErr w:type="spellStart"/>
      <w:r w:rsidR="003B1803" w:rsidRPr="00B36F81">
        <w:rPr>
          <w:rFonts w:eastAsiaTheme="minorEastAsia"/>
          <w:i/>
          <w:color w:val="1F4E9E"/>
        </w:rPr>
        <w:t>s</w:t>
      </w:r>
      <w:r w:rsidR="00BA7134" w:rsidRPr="00BA7134">
        <w:rPr>
          <w:rFonts w:eastAsiaTheme="minorEastAsia"/>
          <w:color w:val="1F4E9E"/>
          <w:vertAlign w:val="subscript"/>
        </w:rPr>
        <w:t>resp</w:t>
      </w:r>
      <w:proofErr w:type="spellEnd"/>
      <w:r w:rsidR="003B1803" w:rsidRPr="00B36F81">
        <w:rPr>
          <w:rFonts w:eastAsiaTheme="minorEastAsia"/>
          <w:i/>
          <w:color w:val="1F4E9E"/>
        </w:rPr>
        <w:t>β</w:t>
      </w:r>
      <w:r w:rsidR="003B1803" w:rsidRPr="003B1803">
        <w:rPr>
          <w:rFonts w:eastAsiaTheme="minorEastAsia"/>
        </w:rPr>
        <w:t xml:space="preserve"> </w:t>
      </w:r>
      <w:r w:rsidR="00E17315">
        <w:rPr>
          <w:rFonts w:eastAsiaTheme="minorEastAsia"/>
          <w:color w:val="1F4E9E"/>
        </w:rPr>
        <w:t xml:space="preserve">and </w:t>
      </w:r>
      <w:r w:rsidR="003B1803" w:rsidRPr="003B1803">
        <w:rPr>
          <w:rFonts w:eastAsiaTheme="minorEastAsia"/>
          <w:color w:val="1F4E9E"/>
        </w:rPr>
        <w:t>remain</w:t>
      </w:r>
      <w:r w:rsidR="00B36F81">
        <w:rPr>
          <w:rFonts w:eastAsiaTheme="minorEastAsia"/>
          <w:color w:val="1F4E9E"/>
        </w:rPr>
        <w:t>ed fixed</w:t>
      </w:r>
      <w:r w:rsidR="00E17315">
        <w:rPr>
          <w:rFonts w:eastAsiaTheme="minorEastAsia"/>
          <w:color w:val="1F4E9E"/>
        </w:rPr>
        <w:t xml:space="preserve"> thereafter</w:t>
      </w:r>
      <w:r w:rsidR="00BA7134">
        <w:rPr>
          <w:rFonts w:eastAsiaTheme="minorEastAsia"/>
          <w:color w:val="1F4E9E"/>
        </w:rPr>
        <w:t>.</w:t>
      </w:r>
      <w:r w:rsidR="00B36F81" w:rsidRPr="00B36F81">
        <w:rPr>
          <w:rFonts w:eastAsiaTheme="minorEastAsia"/>
        </w:rPr>
        <w:t xml:space="preserve"> </w:t>
      </w:r>
      <w:r w:rsidR="00BA7134" w:rsidRPr="00BA7134">
        <w:rPr>
          <w:rFonts w:eastAsiaTheme="minorEastAsia"/>
          <w:color w:val="FF0000"/>
        </w:rPr>
        <w:t>RS-driven processing was modeled by a distinct stochastic variable</w:t>
      </w:r>
      <w:r w:rsidR="00D10DAE" w:rsidRPr="00D10DAE">
        <w:rPr>
          <w:rFonts w:eastAsiaTheme="minorEastAsia"/>
        </w:rPr>
        <w:t xml:space="preserve"> </w:t>
      </w:r>
      <w:r w:rsidR="00D10DAE" w:rsidRPr="00D10DAE">
        <w:rPr>
          <w:rFonts w:eastAsiaTheme="minorEastAsia"/>
          <w:i/>
          <w:color w:val="1F4E9E"/>
        </w:rPr>
        <w:t>q(t)</w:t>
      </w:r>
      <w:r w:rsidR="00BA7134">
        <w:rPr>
          <w:rFonts w:eastAsiaTheme="minorEastAsia"/>
          <w:color w:val="FF0000"/>
        </w:rPr>
        <w:t xml:space="preserve">, which accumulated </w:t>
      </w:r>
      <w:r w:rsidR="00D10DAE" w:rsidRPr="00D10DAE">
        <w:rPr>
          <w:rFonts w:eastAsiaTheme="minorEastAsia"/>
          <w:color w:val="FF0000"/>
        </w:rPr>
        <w:t>noisy evidence that the</w:t>
      </w:r>
      <w:r w:rsidR="00D10DAE">
        <w:rPr>
          <w:rFonts w:eastAsiaTheme="minorEastAsia"/>
          <w:color w:val="1F4E9E"/>
        </w:rPr>
        <w:t xml:space="preserve"> RS was present:</w:t>
      </w:r>
    </w:p>
    <w:p w14:paraId="05AB94D1" w14:textId="77777777" w:rsidR="00D10DAE" w:rsidRPr="00D10DAE" w:rsidRDefault="00000000" w:rsidP="00902EC4">
      <w:pPr>
        <w:rPr>
          <w:rFonts w:eastAsiaTheme="minorEastAsia"/>
          <w:color w:val="1F4E9E"/>
        </w:rPr>
      </w:pPr>
      <m:oMathPara>
        <m:oMath>
          <m:eqArr>
            <m:eqArrPr>
              <m:maxDist m:val="1"/>
              <m:ctrlPr>
                <w:rPr>
                  <w:rFonts w:ascii="Cambria Math" w:eastAsiaTheme="minorEastAsia" w:hAnsi="Cambria Math"/>
                  <w:i/>
                  <w:color w:val="1F4E9E"/>
                </w:rPr>
              </m:ctrlPr>
            </m:eqArrPr>
            <m:e>
              <m:r>
                <w:rPr>
                  <w:rFonts w:ascii="Cambria Math" w:eastAsiaTheme="minorEastAsia" w:hAnsi="Cambria Math"/>
                  <w:color w:val="1F4E9E"/>
                </w:rPr>
                <m:t>dq</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m:t>
              </m:r>
              <m:sSub>
                <m:sSubPr>
                  <m:ctrlPr>
                    <w:rPr>
                      <w:rFonts w:ascii="Cambria Math" w:eastAsiaTheme="minorEastAsia" w:hAnsi="Cambria Math"/>
                      <w:i/>
                      <w:color w:val="1F4E9E"/>
                    </w:rPr>
                  </m:ctrlPr>
                </m:sSubPr>
                <m:e>
                  <m:r>
                    <w:rPr>
                      <w:rFonts w:ascii="Cambria Math" w:eastAsiaTheme="minorEastAsia" w:hAnsi="Cambria Math"/>
                      <w:color w:val="1F4E9E"/>
                    </w:rPr>
                    <m:t>μ</m:t>
                  </m:r>
                </m:e>
                <m:sub>
                  <m:r>
                    <m:rPr>
                      <m:sty m:val="p"/>
                    </m:rPr>
                    <w:rPr>
                      <w:rFonts w:ascii="Cambria Math" w:eastAsiaTheme="minorEastAsia" w:hAnsi="Cambria Math"/>
                      <w:color w:val="1F4E9E"/>
                    </w:rPr>
                    <m:t>RS</m:t>
                  </m:r>
                </m:sub>
              </m:sSub>
              <m:r>
                <w:rPr>
                  <w:rFonts w:ascii="Cambria Math" w:eastAsiaTheme="minorEastAsia" w:hAnsi="Cambria Math"/>
                  <w:color w:val="1F4E9E"/>
                </w:rPr>
                <m:t>dt+</m:t>
              </m:r>
              <m:sSub>
                <m:sSubPr>
                  <m:ctrlPr>
                    <w:rPr>
                      <w:rFonts w:ascii="Cambria Math" w:eastAsiaTheme="minorEastAsia" w:hAnsi="Cambria Math"/>
                      <w:i/>
                      <w:color w:val="1F4E9E"/>
                    </w:rPr>
                  </m:ctrlPr>
                </m:sSubPr>
                <m:e>
                  <m:r>
                    <w:rPr>
                      <w:rFonts w:ascii="Cambria Math" w:eastAsiaTheme="minorEastAsia" w:hAnsi="Cambria Math"/>
                      <w:color w:val="1F4E9E"/>
                    </w:rPr>
                    <m:t>σ</m:t>
                  </m:r>
                </m:e>
                <m:sub>
                  <m:r>
                    <w:rPr>
                      <w:rFonts w:ascii="Cambria Math" w:eastAsiaTheme="minorEastAsia" w:hAnsi="Cambria Math"/>
                      <w:color w:val="1F4E9E"/>
                    </w:rPr>
                    <m:t>q</m:t>
                  </m:r>
                </m:sub>
              </m:sSub>
              <m:r>
                <w:rPr>
                  <w:rFonts w:ascii="Cambria Math" w:eastAsiaTheme="minorEastAsia" w:hAnsi="Cambria Math"/>
                  <w:color w:val="1F4E9E"/>
                </w:rPr>
                <m:t>d</m:t>
              </m:r>
              <m:sSub>
                <m:sSubPr>
                  <m:ctrlPr>
                    <w:rPr>
                      <w:rFonts w:ascii="Cambria Math" w:eastAsiaTheme="minorEastAsia" w:hAnsi="Cambria Math"/>
                      <w:i/>
                      <w:color w:val="1F4E9E"/>
                    </w:rPr>
                  </m:ctrlPr>
                </m:sSubPr>
                <m:e>
                  <m:r>
                    <w:rPr>
                      <w:rFonts w:ascii="Cambria Math" w:eastAsiaTheme="minorEastAsia" w:hAnsi="Cambria Math"/>
                      <w:color w:val="1F4E9E"/>
                    </w:rPr>
                    <m:t>W</m:t>
                  </m:r>
                </m:e>
                <m:sub>
                  <m:r>
                    <w:rPr>
                      <w:rFonts w:ascii="Cambria Math" w:eastAsiaTheme="minorEastAsia" w:hAnsi="Cambria Math"/>
                      <w:color w:val="1F4E9E"/>
                    </w:rPr>
                    <m:t>q</m:t>
                  </m:r>
                </m:sub>
              </m:sSub>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q</m:t>
              </m:r>
              <m:d>
                <m:dPr>
                  <m:ctrlPr>
                    <w:rPr>
                      <w:rFonts w:ascii="Cambria Math" w:eastAsiaTheme="minorEastAsia" w:hAnsi="Cambria Math"/>
                      <w:i/>
                      <w:color w:val="1F4E9E"/>
                    </w:rPr>
                  </m:ctrlPr>
                </m:dPr>
                <m:e>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e>
              </m:d>
              <m:r>
                <w:rPr>
                  <w:rFonts w:ascii="Cambria Math" w:eastAsiaTheme="minorEastAsia" w:hAnsi="Cambria Math"/>
                  <w:color w:val="1F4E9E"/>
                </w:rPr>
                <m:t>=0,#</m:t>
              </m:r>
              <m:d>
                <m:dPr>
                  <m:ctrlPr>
                    <w:rPr>
                      <w:rFonts w:ascii="Cambria Math" w:eastAsiaTheme="minorEastAsia" w:hAnsi="Cambria Math"/>
                      <w:i/>
                      <w:color w:val="1F4E9E"/>
                    </w:rPr>
                  </m:ctrlPr>
                </m:dPr>
                <m:e>
                  <m:r>
                    <w:rPr>
                      <w:rFonts w:ascii="Cambria Math" w:eastAsiaTheme="minorEastAsia" w:hAnsi="Cambria Math"/>
                      <w:color w:val="1F4E9E"/>
                    </w:rPr>
                    <m:t>8</m:t>
                  </m:r>
                </m:e>
              </m:d>
            </m:e>
          </m:eqArr>
        </m:oMath>
      </m:oMathPara>
    </w:p>
    <w:p w14:paraId="2278C43C" w14:textId="77777777" w:rsidR="00D10DAE" w:rsidRPr="00D10DAE" w:rsidRDefault="00D10DAE" w:rsidP="00902EC4">
      <w:pPr>
        <w:rPr>
          <w:rFonts w:eastAsiaTheme="minorEastAsia"/>
          <w:color w:val="1F4E9E"/>
        </w:rPr>
      </w:pPr>
      <w:r w:rsidRPr="00D10DAE">
        <w:rPr>
          <w:rFonts w:eastAsiaTheme="minorEastAsia"/>
          <w:color w:val="1F4E9E"/>
        </w:rPr>
        <w:t>where</w:t>
      </w:r>
      <w:r w:rsidRPr="00D10DAE">
        <w:rPr>
          <w:rFonts w:eastAsiaTheme="minorEastAsia"/>
        </w:rPr>
        <w:t xml:space="preserve"> </w:t>
      </w:r>
      <w:proofErr w:type="spellStart"/>
      <w:r w:rsidR="00450743">
        <w:rPr>
          <w:rFonts w:eastAsiaTheme="minorEastAsia"/>
          <w:i/>
          <w:color w:val="1F4E9E"/>
        </w:rPr>
        <w:t>μ</w:t>
      </w:r>
      <w:r w:rsidR="00450743" w:rsidRPr="00450743">
        <w:rPr>
          <w:rFonts w:eastAsiaTheme="minorEastAsia"/>
          <w:color w:val="1F4E9E"/>
          <w:vertAlign w:val="subscript"/>
        </w:rPr>
        <w:t>RS</w:t>
      </w:r>
      <w:proofErr w:type="spellEnd"/>
      <w:r w:rsidRPr="00D10DAE">
        <w:rPr>
          <w:rFonts w:eastAsiaTheme="minorEastAsia"/>
          <w:color w:val="FF0000"/>
        </w:rPr>
        <w:t xml:space="preserve"> is the mean rate of RS-evidence accumulation,</w:t>
      </w:r>
      <w:r>
        <w:rPr>
          <w:rFonts w:eastAsiaTheme="minorEastAsia"/>
        </w:rPr>
        <w:t xml:space="preserve"> </w:t>
      </w:r>
      <w:proofErr w:type="spellStart"/>
      <w:r w:rsidRPr="00D10DAE">
        <w:rPr>
          <w:rFonts w:eastAsiaTheme="minorEastAsia"/>
          <w:i/>
          <w:color w:val="1F4E9E"/>
        </w:rPr>
        <w:t>σ</w:t>
      </w:r>
      <w:r w:rsidRPr="00D10DAE">
        <w:rPr>
          <w:rFonts w:eastAsiaTheme="minorEastAsia"/>
          <w:i/>
          <w:color w:val="1F4E9E"/>
          <w:vertAlign w:val="subscript"/>
        </w:rPr>
        <w:t>q</w:t>
      </w:r>
      <w:proofErr w:type="spellEnd"/>
      <w:r w:rsidRPr="00D10DAE">
        <w:rPr>
          <w:rFonts w:eastAsiaTheme="minorEastAsia"/>
          <w:color w:val="FF0000"/>
        </w:rPr>
        <w:t xml:space="preserve"> is the diffusion coefficient controlling within-trial noise, and </w:t>
      </w:r>
      <w:proofErr w:type="spellStart"/>
      <w:r w:rsidRPr="00D10DAE">
        <w:rPr>
          <w:rFonts w:eastAsiaTheme="minorEastAsia"/>
          <w:i/>
          <w:color w:val="1F4E9E"/>
        </w:rPr>
        <w:t>dWq</w:t>
      </w:r>
      <w:proofErr w:type="spellEnd"/>
      <w:r w:rsidRPr="00D10DAE">
        <w:rPr>
          <w:rFonts w:eastAsiaTheme="minorEastAsia"/>
          <w:i/>
          <w:color w:val="1F4E9E"/>
        </w:rPr>
        <w:t>(t)</w:t>
      </w:r>
      <w:r w:rsidRPr="00D10DAE">
        <w:rPr>
          <w:rFonts w:eastAsiaTheme="minorEastAsia"/>
          <w:color w:val="FF0000"/>
        </w:rPr>
        <w:t xml:space="preserve"> is an increment of a standard Wiener process.</w:t>
      </w:r>
      <w:r>
        <w:rPr>
          <w:rFonts w:eastAsiaTheme="minorEastAsia"/>
        </w:rPr>
        <w:t xml:space="preserve"> </w:t>
      </w:r>
      <w:r w:rsidRPr="00D10DAE">
        <w:rPr>
          <w:rFonts w:eastAsiaTheme="minorEastAsia"/>
          <w:color w:val="FF0000"/>
        </w:rPr>
        <w:t xml:space="preserve">As explained in the Introduction, noisy temporal integration of an unambiguous signal is consistent with accumulator accounts of one-choice </w:t>
      </w:r>
      <w:r w:rsidRPr="00DE714A">
        <w:rPr>
          <w:rFonts w:eastAsiaTheme="minorEastAsia"/>
          <w:color w:val="1F4E9E"/>
        </w:rPr>
        <w:t xml:space="preserve">RT </w:t>
      </w:r>
      <w:r w:rsidR="00DE714A" w:rsidRPr="00DE714A">
        <w:rPr>
          <w:rFonts w:eastAsiaTheme="minorEastAsia"/>
          <w:color w:val="1F4E9E"/>
        </w:rPr>
        <w:fldChar w:fldCharType="begin"/>
      </w:r>
      <w:r w:rsidR="00DE714A" w:rsidRPr="00DE714A">
        <w:rPr>
          <w:rFonts w:eastAsiaTheme="minorEastAsia"/>
          <w:color w:val="1F4E9E"/>
        </w:rPr>
        <w:instrText xml:space="preserve"> ADDIN ZOTERO_ITEM CSL_CITATION {"citationID":"hfbkIJU3","properties":{"unsorted":false,"formattedCitation":"(Ratcliff &amp; Van Dongen, 2011; Smith, 1995)","plainCitation":"(Ratcliff &amp; Van Dongen, 2011; Smith, 1995)","noteIndex":0},"citationItems":[{"id":11886,"uris":["http://zotero.org/users/5679506/items/26KZ7MM8"],"itemData":{"id":11886,"type":"article-journal","abstract":"One-choice reaction-time (RT) tasks are used in many domains, including assessments of motor vehicle driving and assessments of the cognitive/behavioral consequences of sleep deprivation. In such tasks, subjects are asked to respond when they detect the onset of a stimulus; the dependent variable is RT. We present a cognitive model for one-choice RT tasks that uses a one-boundary diffusion process to represent the accumulation of stimulus information. When the accumulated evidence reaches a decision criterion, a response is initiated. This model is distinct in accounting for the RT distributions observed for one-choice RT tasks, which can have long tails that have not been accurately captured by earlier cognitive modeling approaches. We show that the model explains performance on a brightness-detection task (a \"simple RT task\") and on a psychomotor vigilance test. The latter is used extensively to examine the clinical and behavioral effects of sleep deprivation. For the brightness-detection task, the model explains the behavior of RT distributions as a function of brightness. For the psychomotor vigilance test, it accounts for lapses in performance under conditions of sleep deprivation and for changes in the shapes of RT distributions over the course of sleep deprivation. The model also successfully maps the rate of accumulation of stimulus information onto independently derived predictions of alertness. The model is a unified, mechanistic account of one-choice RT under conditions of sleep deprivation.","container-title":"Proceedings of the National Academy of Sciences of the United States of America","DOI":"10.1073/pnas.1100483108","ISSN":"1091-6490","issue":"27","journalAbbreviation":"Proc Natl Acad Sci U S A","language":"eng","page":"11285-11290","PMID":"21690336","PMCID":"PMC3131321","source":"PubMed","title":"Diffusion model for one-choice reaction-time tasks and the cognitive effects of sleep deprivation","volume":"108","author":[{"family":"Ratcliff","given":"Roger"},{"family":"Van Dongen","given":"Hans P. A."}],"issued":{"date-parts":[["2011",7,5]]}}},{"id":709,"uris":["http://zotero.org/users/5679506/items/E3EFBJ9W"],"itemData":{"id":709,"type":"article-journal","abstract":"Visual psychophysics has shown that the perceptual representation of a stimulus has complex time-varying properties that depend on the response characteristics of the channel on which it is encoded. A fundamental expression of these properties is the distinction between sustained and transient processing channels. A theoretical and mathematical framework is introduced that allows such properties to be incorporated into fully stochastic models of simple reaction time (RT). These models, the multichannel leaky stochastic integrators, combine a linear filter model of stimulus encoding with an accumulative decision process and yield a stimulus representation described by a time-inhomogeneous Ornstein-Uhlenbeck diffusion process. Methods for obtaining RT distributions for these models are described, together with comparative fits to luminance-increment data obtained under conditions of channel pooling and channel independence. (PsycINFO Database Record (c) 2016 APA, all rights reserved)","container-title":"Psychological Review","DOI":"10.1037/0033-295X.102.3.567","ISSN":"1939-1471(Electronic),0033-295X(Print)","issue":"3","note":"publisher-place: US","page":"567-593","publisher":"American Psychological Association","source":"APA PsycNET","title":"Psychophysically principled models of visual simple reaction time","volume":"102","author":[{"family":"Smith","given":"Philip L."}],"issued":{"date-parts":[["1995"]]}}}],"schema":"https://github.com/citation-style-language/schema/raw/master/csl-citation.json"} </w:instrText>
      </w:r>
      <w:r w:rsidR="00DE714A" w:rsidRPr="00DE714A">
        <w:rPr>
          <w:rFonts w:eastAsiaTheme="minorEastAsia"/>
          <w:color w:val="1F4E9E"/>
        </w:rPr>
        <w:fldChar w:fldCharType="separate"/>
      </w:r>
      <w:r w:rsidR="00DE714A" w:rsidRPr="00DE714A">
        <w:rPr>
          <w:color w:val="FF0000"/>
        </w:rPr>
        <w:t xml:space="preserve">(Ratcliff &amp; Van Dongen, 2011; </w:t>
      </w:r>
      <w:r w:rsidR="00DE714A" w:rsidRPr="00DE714A">
        <w:rPr>
          <w:color w:val="FF0000"/>
        </w:rPr>
        <w:lastRenderedPageBreak/>
        <w:t>Smith, 1995)</w:t>
      </w:r>
      <w:r w:rsidR="00DE714A" w:rsidRPr="00DE714A">
        <w:rPr>
          <w:rFonts w:eastAsiaTheme="minorEastAsia"/>
          <w:color w:val="1F4E9E"/>
        </w:rPr>
        <w:fldChar w:fldCharType="end"/>
      </w:r>
      <w:r w:rsidR="00DE714A">
        <w:rPr>
          <w:rFonts w:eastAsiaTheme="minorEastAsia"/>
          <w:color w:val="1F4E9E"/>
        </w:rPr>
        <w:t xml:space="preserve"> and with </w:t>
      </w:r>
      <w:r w:rsidR="00DE714A" w:rsidRPr="00DE714A">
        <w:rPr>
          <w:rFonts w:eastAsiaTheme="minorEastAsia"/>
          <w:color w:val="FF0000"/>
        </w:rPr>
        <w:t xml:space="preserve">EEG signatures of evidence accumulation under near-ceiling target-detection conditions </w:t>
      </w:r>
      <w:r w:rsidR="00DE714A" w:rsidRPr="00DE714A">
        <w:rPr>
          <w:rFonts w:eastAsiaTheme="minorEastAsia"/>
          <w:color w:val="1F4E9E"/>
        </w:rPr>
        <w:fldChar w:fldCharType="begin"/>
      </w:r>
      <w:r w:rsidR="00DE714A" w:rsidRPr="00DE714A">
        <w:rPr>
          <w:rFonts w:eastAsiaTheme="minorEastAsia"/>
          <w:color w:val="1F4E9E"/>
        </w:rPr>
        <w:instrText xml:space="preserve"> ADDIN ZOTERO_ITEM CSL_CITATION {"citationID":"PWrk2JFs","properties":{"unsorted":false,"formattedCitation":"(O\\uc0\\u8217{}Connell et al., 2012)","plainCitation":"(O’Connell et al., 2012)","noteIndex":0},"citationItems":[{"id":754,"uris":["http://zotero.org/users/5679506/items/F3IPA6WY"],"itemData":{"id":754,"type":"article-journal","abstract":"In theoretical accounts of perceptual decision-making, a decision variable integrates noisy sensory evidence and determines action through a boundary-crossing criterion. Signals bearing these very properties have been characterized in single neurons in monkeys, but have yet to be directly identified in humans. Using a gradual target detection task, we isolated a freely evolving decision variable signal in human subjects that exhibited every aspect of the dynamics observed in its single-neuron counterparts. This signal could be continuously tracked in parallel with fully dissociable sensory encoding and motor preparation signals, and could be systematically perturbed mid-flight during decision formation. Furthermore, we found that the signal was completely domain general: it exhibited the same decision-predictive dynamics regardless of sensory modality and stimulus features and tracked cumulative evidence even in the absence of overt action. These findings provide a uniquely clear view on the neural determinants of simple perceptual decisions in humans.","container-title":"Nature Neuroscience","DOI":"10.1038/nn.3248","ISSN":"1546-1726","issue":"12","journalAbbreviation":"Nat. Neurosci.","language":"eng","page":"1729-1735","PMID":"23103963","source":"PubMed","title":"A supramodal accumulation-to-bound signal that determines perceptual decisions in humans","volume":"15","author":[{"family":"O'Connell","given":"Redmond G."},{"family":"Dockree","given":"Paul M."},{"family":"Kelly","given":"Simon P."}],"issued":{"date-parts":[["2012",12]]}}}],"schema":"https://github.com/citation-style-language/schema/raw/master/csl-citation.json"} </w:instrText>
      </w:r>
      <w:r w:rsidR="00DE714A" w:rsidRPr="00DE714A">
        <w:rPr>
          <w:rFonts w:eastAsiaTheme="minorEastAsia"/>
          <w:color w:val="1F4E9E"/>
        </w:rPr>
        <w:fldChar w:fldCharType="separate"/>
      </w:r>
      <w:r w:rsidR="00DE714A" w:rsidRPr="00DE714A">
        <w:rPr>
          <w:color w:val="FF0000"/>
        </w:rPr>
        <w:t>(O’Connell et al., 2012)</w:t>
      </w:r>
      <w:r w:rsidR="00DE714A" w:rsidRPr="00DE714A">
        <w:rPr>
          <w:rFonts w:eastAsiaTheme="minorEastAsia"/>
          <w:color w:val="1F4E9E"/>
        </w:rPr>
        <w:fldChar w:fldCharType="end"/>
      </w:r>
      <w:r w:rsidR="00DE714A" w:rsidRPr="00DE714A">
        <w:rPr>
          <w:rFonts w:eastAsiaTheme="minorEastAsia"/>
          <w:color w:val="1F4E9E"/>
        </w:rPr>
        <w:t xml:space="preserve">. </w:t>
      </w:r>
    </w:p>
    <w:p w14:paraId="0E0CEF04" w14:textId="77777777" w:rsidR="00A20E6E" w:rsidRDefault="00A20E6E" w:rsidP="00902EC4">
      <w:pPr>
        <w:rPr>
          <w:rFonts w:eastAsiaTheme="minorEastAsia"/>
          <w:color w:val="1F4E9E"/>
        </w:rPr>
      </w:pPr>
      <w:r>
        <w:rPr>
          <w:rFonts w:eastAsiaTheme="minorEastAsia"/>
        </w:rPr>
        <w:tab/>
      </w:r>
      <w:r w:rsidR="00DE714A" w:rsidRPr="00DE714A">
        <w:rPr>
          <w:rFonts w:eastAsiaTheme="minorEastAsia"/>
          <w:color w:val="1F4E9E"/>
        </w:rPr>
        <w:t xml:space="preserve">The variable </w:t>
      </w:r>
      <w:r w:rsidR="00DE714A" w:rsidRPr="00DE714A">
        <w:rPr>
          <w:rFonts w:eastAsiaTheme="minorEastAsia"/>
          <w:i/>
          <w:color w:val="1F4E9E"/>
        </w:rPr>
        <w:t>q(t)</w:t>
      </w:r>
      <w:r w:rsidR="00DE714A" w:rsidRPr="00DE714A">
        <w:rPr>
          <w:rFonts w:eastAsiaTheme="minorEastAsia"/>
          <w:color w:val="FF0000"/>
        </w:rPr>
        <w:t xml:space="preserve"> had no independent boundary. Its accumulated value was continuously transmitted along the selected motor direction and added to the input of the motor-preparation filter:</w:t>
      </w:r>
    </w:p>
    <w:p w14:paraId="213A2F4B" w14:textId="77777777" w:rsidR="00DE714A" w:rsidRPr="00E23931" w:rsidRDefault="00000000" w:rsidP="00DE714A">
      <w:pPr>
        <w:rPr>
          <w:rFonts w:eastAsiaTheme="minorEastAsia"/>
          <w:color w:val="1F4E9E"/>
        </w:rPr>
      </w:pPr>
      <m:oMathPara>
        <m:oMath>
          <m:eqArr>
            <m:eqArrPr>
              <m:maxDist m:val="1"/>
              <m:ctrlPr>
                <w:rPr>
                  <w:rFonts w:ascii="Cambria Math" w:eastAsiaTheme="minorEastAsia" w:hAnsi="Cambria Math"/>
                  <w:i/>
                  <w:color w:val="1F4E9E"/>
                </w:rPr>
              </m:ctrlPr>
            </m:eqArrPr>
            <m:e>
              <m:r>
                <w:rPr>
                  <w:rFonts w:ascii="Cambria Math" w:eastAsiaTheme="minorEastAsia" w:hAnsi="Cambria Math"/>
                  <w:color w:val="1F4E9E"/>
                </w:rPr>
                <m:t>dy</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=λ</m:t>
              </m:r>
              <m:d>
                <m:dPr>
                  <m:begChr m:val="["/>
                  <m:endChr m:val="]"/>
                  <m:ctrlPr>
                    <w:rPr>
                      <w:rFonts w:ascii="Cambria Math" w:eastAsiaTheme="minorEastAsia" w:hAnsi="Cambria Math"/>
                      <w:i/>
                      <w:color w:val="1F4E9E"/>
                    </w:rPr>
                  </m:ctrlPr>
                </m:dPr>
                <m:e>
                  <m:r>
                    <w:rPr>
                      <w:rFonts w:ascii="Cambria Math" w:eastAsiaTheme="minorEastAsia" w:hAnsi="Cambria Math"/>
                      <w:color w:val="1F4E9E"/>
                    </w:rPr>
                    <m:t>y</m:t>
                  </m:r>
                  <m:d>
                    <m:dPr>
                      <m:ctrlPr>
                        <w:rPr>
                          <w:rFonts w:ascii="Cambria Math" w:eastAsiaTheme="minorEastAsia" w:hAnsi="Cambria Math"/>
                          <w:i/>
                          <w:color w:val="1F4E9E"/>
                        </w:rPr>
                      </m:ctrlPr>
                    </m:dPr>
                    <m:e>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e>
                  </m:d>
                  <m:r>
                    <w:rPr>
                      <w:rFonts w:ascii="Cambria Math" w:eastAsiaTheme="minorEastAsia" w:hAnsi="Cambria Math"/>
                      <w:color w:val="1F4E9E"/>
                    </w:rPr>
                    <m:t>+</m:t>
                  </m:r>
                  <m:sSub>
                    <m:sSubPr>
                      <m:ctrlPr>
                        <w:rPr>
                          <w:rFonts w:ascii="Cambria Math" w:hAnsi="Cambria Math"/>
                          <w:i/>
                          <w:color w:val="1F4E9E"/>
                        </w:rPr>
                      </m:ctrlPr>
                    </m:sSubPr>
                    <m:e>
                      <m:r>
                        <w:rPr>
                          <w:rFonts w:ascii="Cambria Math" w:hAnsi="Cambria Math"/>
                          <w:color w:val="1F4E9E"/>
                        </w:rPr>
                        <m:t>s</m:t>
                      </m:r>
                    </m:e>
                    <m:sub>
                      <m:r>
                        <m:rPr>
                          <m:sty m:val="p"/>
                        </m:rPr>
                        <w:rPr>
                          <w:rFonts w:ascii="Cambria Math" w:hAnsi="Cambria Math"/>
                          <w:color w:val="1F4E9E"/>
                        </w:rPr>
                        <m:t>resp</m:t>
                      </m:r>
                    </m:sub>
                  </m:sSub>
                  <m:r>
                    <w:rPr>
                      <w:rFonts w:ascii="Cambria Math" w:eastAsiaTheme="minorEastAsia" w:hAnsi="Cambria Math"/>
                      <w:color w:val="1F4E9E"/>
                    </w:rPr>
                    <m:t>q(t)-y(t)</m:t>
                  </m:r>
                </m:e>
              </m:d>
              <m:r>
                <w:rPr>
                  <w:rFonts w:ascii="Cambria Math" w:eastAsiaTheme="minorEastAsia" w:hAnsi="Cambria Math"/>
                  <w:color w:val="1F4E9E"/>
                </w:rPr>
                <m:t>dt,  t≥</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r>
                <w:rPr>
                  <w:rFonts w:ascii="Cambria Math" w:eastAsiaTheme="minorEastAsia" w:hAnsi="Cambria Math"/>
                  <w:color w:val="1F4E9E"/>
                </w:rPr>
                <m:t>.#</m:t>
              </m:r>
              <m:d>
                <m:dPr>
                  <m:ctrlPr>
                    <w:rPr>
                      <w:rFonts w:ascii="Cambria Math" w:eastAsiaTheme="minorEastAsia" w:hAnsi="Cambria Math"/>
                      <w:i/>
                      <w:color w:val="1F4E9E"/>
                    </w:rPr>
                  </m:ctrlPr>
                </m:dPr>
                <m:e>
                  <m:r>
                    <w:rPr>
                      <w:rFonts w:ascii="Cambria Math" w:eastAsiaTheme="minorEastAsia" w:hAnsi="Cambria Math"/>
                      <w:color w:val="1F4E9E"/>
                    </w:rPr>
                    <m:t>9</m:t>
                  </m:r>
                </m:e>
              </m:d>
            </m:e>
          </m:eqArr>
        </m:oMath>
      </m:oMathPara>
    </w:p>
    <w:p w14:paraId="5035049F" w14:textId="77777777" w:rsidR="004F7316" w:rsidRDefault="004F7316" w:rsidP="004F7316">
      <w:pPr>
        <w:rPr>
          <w:color w:val="1F4E9E"/>
        </w:rPr>
      </w:pPr>
      <w:r>
        <w:rPr>
          <w:color w:val="1F4E9E"/>
        </w:rPr>
        <w:t xml:space="preserve">The term </w:t>
      </w:r>
      <w:proofErr w:type="spellStart"/>
      <w:r w:rsidRPr="004F7316">
        <w:rPr>
          <w:i/>
          <w:color w:val="1F4E9E"/>
        </w:rPr>
        <w:t>s</w:t>
      </w:r>
      <w:r w:rsidR="003F12FB" w:rsidRPr="003F12FB">
        <w:rPr>
          <w:color w:val="1F4E9E"/>
          <w:vertAlign w:val="subscript"/>
        </w:rPr>
        <w:t>resp</w:t>
      </w:r>
      <w:proofErr w:type="spellEnd"/>
      <w:r>
        <w:rPr>
          <w:i/>
          <w:vertAlign w:val="subscript"/>
        </w:rPr>
        <w:t xml:space="preserve"> </w:t>
      </w:r>
      <w:r w:rsidRPr="004F7316">
        <w:rPr>
          <w:i/>
          <w:color w:val="1F4E9E"/>
        </w:rPr>
        <w:t>q(t)</w:t>
      </w:r>
      <w:r w:rsidRPr="004F7316">
        <w:rPr>
          <w:color w:val="FF0000"/>
        </w:rPr>
        <w:t xml:space="preserve"> therefore provided an increasing response-directed drive as </w:t>
      </w:r>
      <w:r w:rsidR="00976140">
        <w:rPr>
          <w:color w:val="1F4E9E"/>
        </w:rPr>
        <w:t xml:space="preserve">RS </w:t>
      </w:r>
      <w:r w:rsidRPr="004F7316">
        <w:rPr>
          <w:color w:val="1F4E9E"/>
        </w:rPr>
        <w:t>evi</w:t>
      </w:r>
      <w:r w:rsidR="00976140">
        <w:rPr>
          <w:color w:val="1F4E9E"/>
        </w:rPr>
        <w:t xml:space="preserve">dence </w:t>
      </w:r>
      <w:r w:rsidRPr="004F7316">
        <w:rPr>
          <w:color w:val="FF0000"/>
        </w:rPr>
        <w:t>accumulated. In Model 2, the temporal-preparation contribution remained separate from this filtered input, consistent with its trea</w:t>
      </w:r>
      <w:r w:rsidR="00C44B7A">
        <w:rPr>
          <w:color w:val="FF0000"/>
        </w:rPr>
        <w:t>tment during the delay. F</w:t>
      </w:r>
      <w:r w:rsidRPr="004F7316">
        <w:rPr>
          <w:color w:val="1F4E9E"/>
        </w:rPr>
        <w:t xml:space="preserve">rom </w:t>
      </w:r>
      <w:proofErr w:type="spellStart"/>
      <w:r w:rsidRPr="00FC3E9F">
        <w:rPr>
          <w:rStyle w:val="mord"/>
          <w:i/>
          <w:color w:val="1F4E9E"/>
        </w:rPr>
        <w:t>t</w:t>
      </w:r>
      <w:r w:rsidR="003F12FB">
        <w:rPr>
          <w:rStyle w:val="mord"/>
          <w:color w:val="1F4E9E"/>
          <w:vertAlign w:val="subscript"/>
        </w:rPr>
        <w:t>RS</w:t>
      </w:r>
      <w:proofErr w:type="spellEnd"/>
      <w:r w:rsidRPr="004F7316">
        <w:rPr>
          <w:color w:val="1F4E9E"/>
        </w:rPr>
        <w:t xml:space="preserve"> onward, </w:t>
      </w:r>
      <w:r>
        <w:rPr>
          <w:color w:val="1F4E9E"/>
        </w:rPr>
        <w:t xml:space="preserve"> the gate-facing signal was instead given by:</w:t>
      </w:r>
    </w:p>
    <w:p w14:paraId="1CFF2054" w14:textId="77777777" w:rsidR="00584FFF" w:rsidRPr="00825E74" w:rsidRDefault="00000000" w:rsidP="00584FFF">
      <w:pPr>
        <w:rPr>
          <w:rFonts w:eastAsiaTheme="minorEastAsia"/>
          <w:color w:val="1F4E9E"/>
        </w:rPr>
      </w:pPr>
      <m:oMathPara>
        <m:oMath>
          <m:eqArr>
            <m:eqArrPr>
              <m:maxDist m:val="1"/>
              <m:ctrlPr>
                <w:rPr>
                  <w:rFonts w:ascii="Cambria Math" w:hAnsi="Cambria Math"/>
                  <w:i/>
                  <w:color w:val="1F4E9E"/>
                </w:rPr>
              </m:ctrlPr>
            </m:eqArrPr>
            <m:e>
              <m:acc>
                <m:accPr>
                  <m:chr m:val="̃"/>
                  <m:ctrlPr>
                    <w:rPr>
                      <w:rFonts w:ascii="Cambria Math" w:hAnsi="Cambria Math"/>
                      <w:i/>
                      <w:color w:val="1F4E9E"/>
                    </w:rPr>
                  </m:ctrlPr>
                </m:accPr>
                <m:e>
                  <m:r>
                    <w:rPr>
                      <w:rFonts w:ascii="Cambria Math" w:hAnsi="Cambria Math"/>
                      <w:color w:val="1F4E9E"/>
                    </w:rPr>
                    <m:t>y</m:t>
                  </m:r>
                </m:e>
              </m:acc>
              <m:r>
                <w:rPr>
                  <w:rFonts w:ascii="Cambria Math" w:hAnsi="Cambria Math"/>
                  <w:color w:val="1F4E9E"/>
                </w:rPr>
                <m:t xml:space="preserve">(t) := </m:t>
              </m:r>
              <m:d>
                <m:dPr>
                  <m:begChr m:val="{"/>
                  <m:endChr m:val=""/>
                  <m:ctrlPr>
                    <w:rPr>
                      <w:rFonts w:ascii="Cambria Math" w:hAnsi="Cambria Math"/>
                      <w:i/>
                      <w:color w:val="1F4E9E"/>
                    </w:rPr>
                  </m:ctrlPr>
                </m:dPr>
                <m:e>
                  <m:eqArr>
                    <m:eqArrPr>
                      <m:ctrlPr>
                        <w:rPr>
                          <w:rFonts w:ascii="Cambria Math" w:hAnsi="Cambria Math"/>
                          <w:i/>
                          <w:color w:val="1F4E9E"/>
                        </w:rPr>
                      </m:ctrlPr>
                    </m:eqArrPr>
                    <m:e>
                      <m:r>
                        <w:rPr>
                          <w:rFonts w:ascii="Cambria Math" w:hAnsi="Cambria Math"/>
                          <w:color w:val="1F4E9E"/>
                        </w:rPr>
                        <m:t>y</m:t>
                      </m:r>
                      <m:d>
                        <m:dPr>
                          <m:ctrlPr>
                            <w:rPr>
                              <w:rFonts w:ascii="Cambria Math" w:hAnsi="Cambria Math"/>
                              <w:i/>
                              <w:color w:val="1F4E9E"/>
                            </w:rPr>
                          </m:ctrlPr>
                        </m:dPr>
                        <m:e>
                          <m:r>
                            <w:rPr>
                              <w:rFonts w:ascii="Cambria Math" w:hAnsi="Cambria Math"/>
                              <w:color w:val="1F4E9E"/>
                            </w:rPr>
                            <m:t>t</m:t>
                          </m:r>
                        </m:e>
                      </m:d>
                      <m:r>
                        <m:rPr>
                          <m:sty m:val="p"/>
                        </m:rPr>
                        <w:rPr>
                          <w:rFonts w:ascii="Cambria Math" w:hAnsi="Cambria Math"/>
                          <w:color w:val="1F4E9E"/>
                        </w:rPr>
                        <m:t>,  Model</m:t>
                      </m:r>
                      <m:r>
                        <w:rPr>
                          <w:rFonts w:ascii="Cambria Math" w:hAnsi="Cambria Math"/>
                          <w:color w:val="1F4E9E"/>
                        </w:rPr>
                        <m:t xml:space="preserve"> 1</m:t>
                      </m:r>
                      <m:r>
                        <m:rPr>
                          <m:sty m:val="p"/>
                        </m:rPr>
                        <w:rPr>
                          <w:rFonts w:ascii="Cambria Math" w:hAnsi="Cambria Math"/>
                          <w:color w:val="1F4E9E"/>
                        </w:rPr>
                        <m:t>,</m:t>
                      </m:r>
                    </m:e>
                    <m:e>
                      <m:r>
                        <w:rPr>
                          <w:rFonts w:ascii="Cambria Math" w:hAnsi="Cambria Math"/>
                          <w:color w:val="1F4E9E"/>
                        </w:rPr>
                        <m:t xml:space="preserve"> y</m:t>
                      </m:r>
                      <m:d>
                        <m:dPr>
                          <m:ctrlPr>
                            <w:rPr>
                              <w:rFonts w:ascii="Cambria Math" w:hAnsi="Cambria Math"/>
                              <w:i/>
                              <w:color w:val="1F4E9E"/>
                            </w:rPr>
                          </m:ctrlPr>
                        </m:dPr>
                        <m:e>
                          <m:r>
                            <w:rPr>
                              <w:rFonts w:ascii="Cambria Math" w:eastAsiaTheme="minorEastAsia" w:hAnsi="Cambria Math"/>
                              <w:color w:val="1F4E9E"/>
                            </w:rPr>
                            <m:t>t</m:t>
                          </m:r>
                        </m:e>
                      </m:d>
                      <m:r>
                        <w:rPr>
                          <w:rFonts w:ascii="Cambria Math" w:hAnsi="Cambria Math"/>
                          <w:color w:val="1F4E9E"/>
                        </w:rPr>
                        <m:t>+</m:t>
                      </m:r>
                      <m:sSub>
                        <m:sSubPr>
                          <m:ctrlPr>
                            <w:rPr>
                              <w:rFonts w:ascii="Cambria Math" w:hAnsi="Cambria Math"/>
                              <w:i/>
                              <w:color w:val="1F4E9E"/>
                            </w:rPr>
                          </m:ctrlPr>
                        </m:sSubPr>
                        <m:e>
                          <m:r>
                            <w:rPr>
                              <w:rFonts w:ascii="Cambria Math" w:hAnsi="Cambria Math"/>
                              <w:color w:val="1F4E9E"/>
                            </w:rPr>
                            <m:t>s</m:t>
                          </m:r>
                        </m:e>
                        <m:sub>
                          <m:r>
                            <m:rPr>
                              <m:sty m:val="p"/>
                            </m:rPr>
                            <w:rPr>
                              <w:rFonts w:ascii="Cambria Math" w:hAnsi="Cambria Math"/>
                              <w:color w:val="1F4E9E"/>
                            </w:rPr>
                            <m:t>resp</m:t>
                          </m:r>
                        </m:sub>
                      </m:sSub>
                      <m:r>
                        <w:rPr>
                          <w:rFonts w:ascii="Cambria Math" w:hAnsi="Cambria Math"/>
                          <w:color w:val="1F4E9E"/>
                        </w:rPr>
                        <m:t>β</m:t>
                      </m:r>
                      <m:r>
                        <m:rPr>
                          <m:sty m:val="p"/>
                        </m:rPr>
                        <w:rPr>
                          <w:rFonts w:ascii="Cambria Math" w:hAnsi="Cambria Math"/>
                          <w:color w:val="1F4E9E"/>
                        </w:rPr>
                        <m:t>,  Model</m:t>
                      </m:r>
                      <m:r>
                        <w:rPr>
                          <w:rFonts w:ascii="Cambria Math" w:hAnsi="Cambria Math"/>
                          <w:color w:val="1F4E9E"/>
                        </w:rPr>
                        <m:t xml:space="preserve"> 2</m:t>
                      </m:r>
                      <m:r>
                        <m:rPr>
                          <m:sty m:val="p"/>
                        </m:rPr>
                        <w:rPr>
                          <w:rFonts w:ascii="Cambria Math" w:hAnsi="Cambria Math"/>
                          <w:color w:val="1F4E9E"/>
                        </w:rPr>
                        <m:t>.</m:t>
                      </m:r>
                    </m:e>
                  </m:eqArr>
                </m:e>
              </m:d>
              <m:r>
                <w:rPr>
                  <w:rFonts w:ascii="Cambria Math" w:hAnsi="Cambria Math"/>
                  <w:color w:val="1F4E9E"/>
                </w:rPr>
                <m:t>#</m:t>
              </m:r>
              <m:d>
                <m:dPr>
                  <m:ctrlPr>
                    <w:rPr>
                      <w:rFonts w:ascii="Cambria Math" w:hAnsi="Cambria Math"/>
                      <w:i/>
                      <w:color w:val="1F4E9E"/>
                    </w:rPr>
                  </m:ctrlPr>
                </m:dPr>
                <m:e>
                  <m:r>
                    <w:rPr>
                      <w:rFonts w:ascii="Cambria Math" w:hAnsi="Cambria Math"/>
                      <w:color w:val="1F4E9E"/>
                    </w:rPr>
                    <m:t>10</m:t>
                  </m:r>
                </m:e>
              </m:d>
            </m:e>
          </m:eqArr>
        </m:oMath>
      </m:oMathPara>
    </w:p>
    <w:p w14:paraId="028804D2" w14:textId="77777777" w:rsidR="00584FFF" w:rsidRPr="00584FFF" w:rsidRDefault="00E34E27" w:rsidP="00E34E27">
      <w:pPr>
        <w:rPr>
          <w:color w:val="1F4E9E"/>
        </w:rPr>
      </w:pPr>
      <w:r>
        <w:rPr>
          <w:color w:val="1F4E9E"/>
        </w:rPr>
        <w:t>O</w:t>
      </w:r>
      <w:r w:rsidRPr="00E34E27">
        <w:rPr>
          <w:color w:val="1F4E9E"/>
        </w:rPr>
        <w:t xml:space="preserve">nce the </w:t>
      </w:r>
      <w:r w:rsidR="00C44B7A">
        <w:rPr>
          <w:color w:val="1F4E9E"/>
        </w:rPr>
        <w:t xml:space="preserve">corresponding </w:t>
      </w:r>
      <w:r w:rsidRPr="00E34E27">
        <w:rPr>
          <w:color w:val="FF0000"/>
        </w:rPr>
        <w:t>gated neural drive</w:t>
      </w:r>
      <w:r w:rsidR="00C44B7A">
        <w:rPr>
          <w:color w:val="1F4E9E"/>
        </w:rPr>
        <w:t xml:space="preserve"> reached</w:t>
      </w:r>
      <w:r>
        <w:rPr>
          <w:color w:val="FF0000"/>
        </w:rPr>
        <w:t xml:space="preserve"> the response criterion</w:t>
      </w:r>
      <w:r w:rsidRPr="00E34E27">
        <w:t xml:space="preserve"> </w:t>
      </w:r>
      <w:r w:rsidRPr="00E34E27">
        <w:rPr>
          <w:i/>
          <w:color w:val="1F4E9E"/>
        </w:rPr>
        <w:t>r</w:t>
      </w:r>
      <w:r>
        <w:rPr>
          <w:color w:val="FF0000"/>
        </w:rPr>
        <w:t xml:space="preserve">, the residual motor </w:t>
      </w:r>
      <w:r w:rsidRPr="005D54F9">
        <w:rPr>
          <w:color w:val="1F4E9E"/>
        </w:rPr>
        <w:t xml:space="preserve">latency </w:t>
      </w:r>
      <w:proofErr w:type="spellStart"/>
      <w:r w:rsidRPr="005D54F9">
        <w:rPr>
          <w:i/>
          <w:color w:val="1F4E9E"/>
        </w:rPr>
        <w:t>L</w:t>
      </w:r>
      <w:r w:rsidRPr="005D54F9">
        <w:rPr>
          <w:color w:val="1F4E9E"/>
          <w:vertAlign w:val="subscript"/>
        </w:rPr>
        <w:t>motor</w:t>
      </w:r>
      <w:proofErr w:type="spellEnd"/>
      <w:r w:rsidRPr="005D54F9">
        <w:t xml:space="preserve"> </w:t>
      </w:r>
      <w:r w:rsidR="00C44B7A" w:rsidRPr="005D54F9">
        <w:rPr>
          <w:color w:val="1F4E9E"/>
        </w:rPr>
        <w:t>was</w:t>
      </w:r>
      <w:r w:rsidRPr="005D54F9">
        <w:rPr>
          <w:color w:val="FF0000"/>
        </w:rPr>
        <w:t xml:space="preserve"> added before the overt response, as in the immediate-report architecture</w:t>
      </w:r>
      <w:r w:rsidR="005D54F9">
        <w:rPr>
          <w:color w:val="1F4E9E"/>
        </w:rPr>
        <w:t xml:space="preserve">. </w:t>
      </w:r>
      <w:r w:rsidR="005D54F9" w:rsidRPr="005D54F9">
        <w:rPr>
          <w:color w:val="1F4E9E"/>
        </w:rPr>
        <w:t xml:space="preserve">Because gating </w:t>
      </w:r>
      <w:r w:rsidR="00502F12" w:rsidRPr="00502F12">
        <w:rPr>
          <w:i/>
          <w:color w:val="1F4E9E"/>
        </w:rPr>
        <w:t>g</w:t>
      </w:r>
      <w:r w:rsidR="00502F12">
        <w:t xml:space="preserve"> </w:t>
      </w:r>
      <w:r w:rsidR="005D54F9" w:rsidRPr="005D54F9">
        <w:rPr>
          <w:color w:val="FF0000"/>
        </w:rPr>
        <w:t xml:space="preserve">remained active throughout the delayed-report trial, stochastic fluctuations in the motor-preparatory signal could produce transient crossings of </w:t>
      </w:r>
      <w:r w:rsidR="005D54F9" w:rsidRPr="005D54F9">
        <w:rPr>
          <w:i/>
          <w:color w:val="1F4E9E"/>
        </w:rPr>
        <w:t xml:space="preserve">g </w:t>
      </w:r>
      <w:r w:rsidR="005D54F9" w:rsidRPr="005D54F9">
        <w:rPr>
          <w:color w:val="FF0000"/>
        </w:rPr>
        <w:t xml:space="preserve">during motion processing, maintenance, and RS-driven response initiation. Such crossings generated muscle activation but remained partial when the resulting neural drive returned to zero before reaching </w:t>
      </w:r>
      <w:r w:rsidR="005D54F9" w:rsidRPr="00502F12">
        <w:rPr>
          <w:i/>
          <w:color w:val="1F4E9E"/>
        </w:rPr>
        <w:t>r</w:t>
      </w:r>
      <w:r w:rsidR="005D54F9" w:rsidRPr="005D54F9">
        <w:rPr>
          <w:color w:val="FF0000"/>
        </w:rPr>
        <w:t>. The time-varying rate of partial muscle activations therefore provides a nonlinear peripheral readout of the position and variability of the motor-preparatory signal relative to t</w:t>
      </w:r>
      <w:r w:rsidR="005D54F9">
        <w:rPr>
          <w:color w:val="FF0000"/>
        </w:rPr>
        <w:t>he gating and response criteria</w:t>
      </w:r>
      <w:r w:rsidR="005D54F9" w:rsidRPr="005D54F9">
        <w:rPr>
          <w:color w:val="1F4E9E"/>
        </w:rPr>
        <w:t>.</w:t>
      </w:r>
    </w:p>
    <w:p>
      <w:pPr/>
      <w:r>
        <w:rPr>
          <w:b w:val="0"/>
          <w:i w:val="0"/>
          <w:color w:val="1F4E9E"/>
        </w:rPr>
        <w:t>Simulation enters this paper in one role, which is not model fitting. The two models’ qualitative predictions are derived analytically from their architecture and proved in the Appendix; those derivations, and not any simulation, are what the empirical results are tested against. What a derivation cannot supply is a sense of scale — whether an architecture that produces the right ordering of effects can also produce effects of about the right size, in all six experimental conditions at once, and whether it does so throughout its parameter space or only at a favorable point in it. Both questions concern the space rather than any point in it, and both are answered the same way: by sampling the parameter space over the ranges of Table A1 and evaluating the predictions at each draw. No parameter is estimated from these data at any stage, and no quantity reported below is conditional on a fitted value.</w:t>
      </w:r>
    </w:p>
    <w:p>
      <w:pPr/>
      <w:r>
        <w:rPr>
          <w:b w:val="0"/>
          <w:i w:val="0"/>
          <w:color w:val="1F4E9E"/>
        </w:rPr>
        <w:t>The equations above were integrated numerically in Python (NumPy) by the explicit Euler–Maruyama scheme, at a fixed time step of 1/1024 s — the EMG and EEG acquisition rate (Methods, EMG acquisition and preprocessing) — so that the detection procedure below runs on the same time grid as the recorded signals. Each simulated trial yields one continuous trace of the gated drive, from stimulus onset to the earlier of the response or the trial's end; the response time is the first time step at which this drive reaches the response criterion, after which the fixed residual motor latency is added, as in the immediate-report architecture. Partial muscle activations are extracted from this trace by the same rule applied to the recorded EMG (Methods, EMG acquisition and preprocessing): the drive crossing above zero, merging of intervals separated by 25 ms or less, and discarding merged intervals with fewer than an adaptively set minimum of supra-threshold samples. The one part of that procedure not simulated is the integrated-profile boundary refinement, which relocates interval boundaries without changing their number, and only the number is used here. Trials are simulated independently per condition from a fixed pseudo-random seed, so every reported quantity is exactly reproducible.</w:t>
      </w:r>
    </w:p>
    <w:p w14:paraId="36DED7A8" w14:textId="77777777" w:rsidR="00205CBC" w:rsidRDefault="00000000">
      <w:pPr>
        <w:pStyle w:val="Titre3"/>
      </w:pPr>
      <w:r>
        <w:rPr>
          <w:color w:val="1F4E9E"/>
        </w:rPr>
        <w:t>Evaluation over the parameter space</w:t>
      </w:r>
    </w:p>
    <w:p w14:paraId="1E041236" w14:textId="77777777" w:rsidR="00205CBC" w:rsidRDefault="00000000">
      <w:r>
        <w:rPr>
          <w:b w:val="0"/>
          <w:i w:val="0"/>
          <w:color w:val="1F4E9E"/>
        </w:rPr>
        <w:t xml:space="preserve">The predictions derived in the Appendix are claimed to hold at every admissible parameter setting rather than at a favorable one, so the claim was checked numerically over the whole space. Parameters were drawn by Latin-hypercube sampling over the ranges given in Table A1 — </w:t>
      </w:r>
      <w:r>
        <w:rPr>
          <w:b w:val="0"/>
          <w:i w:val="0"/>
          <w:color w:val="1F4E9E"/>
        </w:rPr>
        <w:t>1200 draws, 4000 trials per cell per model per draw</w:t>
      </w:r>
      <w:r>
        <w:rPr>
          <w:b w:val="0"/>
          <w:i w:val="0"/>
          <w:color w:val="1F4E9E"/>
        </w:rPr>
        <w:t xml:space="preserve"> — and each draw was screened against criteria taken from the design of the experiment and from the observed distribution of activation rates, never from any fit: in every condition, at most 10% premature responses, at most 10% responses within 0.2 s of the response signal, at most 5% failures to respond by the 4-s deadline, and accuracy above 80% in the two 50%-coherence conditions; </w:t>
      </w:r>
      <w:r>
        <w:rPr>
          <w:b w:val="0"/>
          <w:i w:val="0"/>
          <w:color w:val="1F4E9E"/>
        </w:rPr>
        <w:t>and, across conditions, a delay-period partial-activation rate between 0.04 and 3 s⁻¹ and a response-time decomposition in the range participants show — mean premotor execution time between 181 and 677 ms and mean motor execution time between 46 and 288 ms, the observed ranges of the per-participant means widened by a factor of two about their centre.</w:t>
      </w:r>
      <w:r>
        <w:rPr>
          <w:b w:val="0"/>
          <w:i w:val="0"/>
          <w:color w:val="1F4E9E"/>
        </w:rPr>
        <w:t xml:space="preserve"> </w:t>
      </w:r>
      <w:r>
        <w:rPr>
          <w:b w:val="0"/>
          <w:i w:val="0"/>
          <w:color w:val="1F4E9E"/>
        </w:rPr>
        <w:t>The last two criteria are stated at the level of a participant, since a draw of parameters stands for a hypothetical participant: they ask that the draw produce muscle activity at a rate the real participants span, and that its response time decompose into components a participant could have. Without the second, the admissible set contains settings whose mean premotor execution time is −945 ms — a response burst beginning almost a second before the reaction signal — and whose mean motor execution time reaches 1.4 s. It is important that this criterion constrains the LEVELS of the two components and not their EFFECTS: the predictions tested in this window are that coherence and duration move the premotor component and leave the motor component alone, and those remain free to be right or wrong at every admissible setting.</w:t>
      </w:r>
      <w:r>
        <w:rPr>
          <w:b w:val="0"/>
          <w:i w:val="0"/>
          <w:color w:val="1F4E9E"/>
        </w:rPr>
        <w:t xml:space="preserve"> Its window is deliberately wider than the observed one — the observed participant × condition cells run from 0.085 to 2.785 s⁻¹ — because the conclusion the evaluation supports is the exclusion of an architecture, for which erring wide is the conservative direction. Without it the screen is silent about muscle activity altogether, and admits settings that produce none: at the ranges of Table A1, nearly half of the draws admissible on behavior alone generate no delay-period partial activations whatsoever. </w:t>
      </w:r>
      <w:r>
        <w:rPr>
          <w:b w:val="0"/>
          <w:i w:val="0"/>
          <w:color w:val="1F4E9E"/>
        </w:rPr>
        <w:t>Every admissible draw was then evaluated on the two response-time effects and on the delay-period log-rate slope.</w:t>
      </w:r>
      <w:r>
        <w:rPr>
          <w:b w:val="0"/>
          <w:i w:val="0"/>
          <w:color w:val="1F4E9E"/>
        </w:rPr>
        <w:t xml:space="preserve"> The same sampled vector was evaluated in both models, with β set to zero in Model 1.</w:t>
      </w:r>
    </w:p>
    <w:p w14:paraId="1E041236" w14:textId="77777777" w:rsidR="00205CBC" w:rsidRDefault="00000000">
      <w:r>
        <w:rPr>
          <w:b w:val="0"/>
          <w:i w:val="0"/>
          <w:color w:val="1F4E9E"/>
        </w:rPr>
        <w:t xml:space="preserve">What the evaluation reports is a range of effect sizes. For each effect, the distribution of that effect over a model’s admissible draws — its median and 5th to 95th percentile — </w:t>
      </w:r>
      <w:r>
        <w:rPr>
          <w:b w:val="0"/>
          <w:i w:val="0"/>
          <w:color w:val="1F4E9E"/>
        </w:rPr>
        <w:t>says what the architecture can produce, and is compared with the value observed in the data and its between-participant standard error. The observed value of each effect is formed WITHIN participant and averaged afterwards: the six coherence × duration cell values are computed for each of the 22 participants from that participant’s own trials, the contrast defining the effect is taken on those six numbers, and the 22 resulting contrasts are averaged, the standard error being their standard deviation divided by the square root of 22. Each model’s effect is formed by the same contrast on the six cell values of one admissible draw, a draw standing for one hypothetical participant. Trial count and parameter setting play different roles here: a draw's 4000 trials per cell sharpen the precision with which that setting's own value is estimated; they do not create additional hypothetical participants. Admissible draws differ from one another only in their sampled parameters, never in trial count, so the across-draw spread reported below is expected to reflect the parameter space rather than simulation noise, provided the latter is small next to it. This was checked directly for the delay-period log-rate slope (Results, Delay-locked): re-simulating admissible draws on several seeds and decomposing the variance attributes 19% of Model 1's total spread and 0.1% of Model 2's to Monte-Carlo noise, the rest genuinely between draws; the same trial count is used for every effect, though the decomposition was not repeated for each. Because the comparison below is with this across-draw range and not with a pooled point estimate, it asks whether any admissible setting reaches the observed value, not whether the sampled parameters reproduce the population distribution of individual differences --- which is also why an interval, not a mean and a standard error, is what is reported. The order matters for the delay-period log-rate slope, where the mean of the per-participant slopes is +0.892 s⁻¹ while the slope of the profile pooled across participants is +0.817 s⁻¹: pooling mixes participants whose rates differ by a factor of thirty, and a sum of exponentials is not an exponential. The per-participant quantity is the one reported and the one the bound of the Appendix is drawn against.</w:t>
      </w:r>
      <w:r>
        <w:rPr>
          <w:b w:val="0"/>
          <w:i w:val="0"/>
          <w:color w:val="1F4E9E"/>
        </w:rPr>
        <w:t xml:space="preserve"> The effects reported are the contrasts that carry an argument rather than the main effects, since a main effect that both architectures produce with the same sign at every parameter setting adds nothing to the derivation that establishes it. They are: the duration benefit on accuracy at 12% coherence relative to the two extremes; the duration effect on response time and </w:t>
      </w:r>
      <w:r>
        <w:rPr>
          <w:b w:val="0"/>
          <w:i w:val="0"/>
          <w:color w:val="1F4E9E"/>
        </w:rPr>
        <w:t>the coherence × duration interaction on it; the coherence effect on the stimulus-period partial-activation rate</w:t>
      </w:r>
      <w:r>
        <w:rPr>
          <w:b w:val="0"/>
          <w:i w:val="0"/>
          <w:color w:val="1F4E9E"/>
        </w:rPr>
        <w:t xml:space="preserve"> and the duration effect on it (the one prediction outside the delay period on which the two models disagree, and where the sign rather than the magnitude is what discriminates); the duration effects on premotor and on motor execution time, reported together because the claim is the dissociation between them; the coherence × duration interaction on the delay-period rate; and the delay-period log-rate slope. A model whose range excludes the observed value is quantitatively inadequate on that effect whatever the sign of its prediction. </w:t>
      </w:r>
      <w:r>
        <w:rPr>
          <w:b w:val="0"/>
          <w:i w:val="0"/>
          <w:color w:val="1F4E9E"/>
        </w:rPr>
        <w:t>Figure S5 shows all nine.</w:t>
      </w:r>
    </w:p>
    <w:p w14:paraId="1E041236" w14:textId="77777777" w:rsidR="00205CBC" w:rsidRDefault="00000000">
      <w:r>
        <w:rPr>
          <w:b w:val="0"/>
          <w:i w:val="0"/>
          <w:color w:val="1F4E9E"/>
        </w:rPr>
        <w:t xml:space="preserve">Where a proposition predicts a direction rather than a magnitude, the quantity reported is the proportion of admissible settings at which the model reproduces that direction. A sign is only interpretable against the Monte-Carlo error of the effect that carries it: at 4000 trials per cell an effect a hundred times smaller than the observed one has a sign that reports the random seed and not the architecture. Each effect was therefore given a Monte-Carlo standard error propagated from the per-cell errors of the quantities entering it — </w:t>
      </w:r>
      <w:r>
        <w:rPr>
          <w:b w:val="0"/>
          <w:i w:val="0"/>
          <w:color w:val="1F4E9E"/>
        </w:rPr>
        <w:t>binomial for accuracy, Poisson</w:t>
      </w:r>
      <w:r>
        <w:rPr>
          <w:b w:val="0"/>
          <w:i w:val="0"/>
          <w:color w:val="1F4E9E"/>
        </w:rPr>
        <w:t xml:space="preserve"> for the two activation rates, and the simulated between-trial errors for the response-time components and the log-rate slope, with every count-based error floored at one event so that a cell containing no events is not credited with zero uncertainty — and each admissible setting was classified in three ways rather than two: the effect is significantly of the observed sign, significantly against it, or not distinguishable from zero, at two standard errors. The third class is not a rounding of the other two. It is the set of settings at which the model makes no directional claim, </w:t>
      </w:r>
      <w:r>
        <w:rPr>
          <w:b w:val="0"/>
          <w:i w:val="0"/>
          <w:color w:val="1F4E9E"/>
        </w:rPr>
        <w:t>and on one of the nine effects it is the majority.</w:t>
      </w:r>
    </w:p>
    <w:p w14:paraId="081D94F4" w14:textId="77777777" w:rsidR="00205CBC" w:rsidRDefault="00000000">
      <w:pPr>
        <w:pStyle w:val="Titre1"/>
        <w:spacing w:before="480"/>
      </w:pPr>
      <w:r>
        <w:t>Results</w:t>
      </w:r>
    </w:p>
    <w:p>
      <w:pPr/>
      <w:r>
        <w:rPr>
          <w:b w:val="0"/>
          <w:i w:val="0"/>
          <w:color w:val="1F4E9E"/>
        </w:rPr>
        <w:t>Each subsection below takes one analysis window: it states what the two models predict there, and tests that prediction against the data. The predictions are derived in the Appendix, and the range of effect sizes each architecture can produce is taken from the parameter-space evaluation described in Materials and Methods.</w:t>
      </w:r>
    </w:p>
    <w:p w14:paraId="71E80591" w14:textId="77777777" w:rsidR="00205CBC" w:rsidRDefault="00000000">
      <w:pPr>
        <w:pStyle w:val="Titre2"/>
      </w:pPr>
      <w:r>
        <w:t>Behavior</w:t>
      </w:r>
    </w:p>
    <w:p w14:paraId="6D2A7CF7" w14:textId="77777777" w:rsidR="00205CBC" w:rsidRDefault="00000000">
      <w:pPr>
        <w:pStyle w:val="Titre3"/>
      </w:pPr>
      <w:r>
        <w:rPr>
          <w:color w:val="1F4E9E"/>
        </w:rPr>
        <w:t>Theoretical predictions</w:t>
      </w:r>
    </w:p>
    <w:p w14:paraId="12090226" w14:textId="77777777" w:rsidR="00205CBC" w:rsidRDefault="00000000">
      <w:r>
        <w:rPr>
          <w:color w:val="1F4E9E"/>
        </w:rPr>
        <w:t>Before the response signal, the two models make identical qualitative predictions, since they differ only in the delay-period temporal-preparation ramp; behavior therefore constrains the two-stage accumulation process common to both accounts rather than testing between them. Because the choice is fixed at commitment — the sign of the first accumulator's position when it is stopped — accuracy depends only on that first stage: it increases with motion coherence, because the drift favoring the correct alternative is larger relative to the accumulation noise, and with stimulus duration, because the first accumulation runs for longer before being stopped. The duration benefit on accuracy is nevertheless confined to intermediate coherence levels, a floor-and-ceiling effect rather than a distinct mechanism: at the lowest coherence there is essentially no signal to accumulate, so additional time cannot help, whereas at the highest coherence the threshold is reached almost immediately, so additional time is not needed. Response time, in contrast, depends only on the distance the second accumulation must travel from its starting point to the response criterion: because the second accumulation's drift is the same in every condition, motion coherence and stimulus duration can act on response time only through that starting distance, which is set by the level maintained at the end of the first stage — coherence raises it because the first-stage drift is larger, and duration raises it because the first accumulation is stopped later, not because the delay before the response signal is any shorter (RS onset follows stimulus offset by a fixed 3-s interval regardless of stimulus duration; Materials and Methods). Because this maintained level increases with both motion coherence and stimulus duration, mean response time is predicted to decrease with either, with nothing downstream of the starting point contributing further. Because the maintained level is capped at an internal threshold, however, a long stimulus drives responses of every coherence toward that ceiling, compressing their starting points together and shrinking the coherence effect on response time; after a short stimulus fewer trials reach the ceiling and the starting points — and with them the coherence effect — remain more dispersed. The coherence effect on mean response time is therefore predicted to be larger after the short than after the long stimulus. The same capping argument, applied later to the delay-period rate of partial muscle activations rather than to the starting point of a single accumulation, reverses this sign: there, saturation is predicted to make the coherence effect smaller, not larger, after the long stimulus (Delay-locked, Theoretical predictions, below).</w:t>
      </w:r>
    </w:p>
    <w:p w14:paraId="7EA42D5D" w14:textId="77777777" w:rsidR="00205CBC" w:rsidRDefault="00000000">
      <w:pPr>
        <w:pStyle w:val="Titre3"/>
      </w:pPr>
      <w:r>
        <w:rPr>
          <w:color w:val="1F4E9E"/>
        </w:rPr>
        <w:t>Empirical results</w:t>
      </w:r>
    </w:p>
    <w:p w14:paraId="7B6D4683" w14:textId="77777777" w:rsidR="00205CBC" w:rsidRDefault="00000000">
      <w:r>
        <w:tab/>
        <w:t>Figures 3A and 3B show response accuracy and mean RT, respectively, as a function of motion coherence and duration. Accuracy decreased as motion coherence decreased</w:t>
      </w:r>
      <w:r>
        <w:rPr>
          <w:color w:val="1F4E9E"/>
        </w:rPr>
        <w:t xml:space="preserve"> (F(1.31,27.4) = 222.22, p &lt; .001, ηp² = 0.914)</w:t>
      </w:r>
      <w:r>
        <w:t xml:space="preserve"> and was higher in the 2 s condition than in the 0.3 s condition</w:t>
      </w:r>
      <w:r>
        <w:rPr>
          <w:color w:val="1F4E9E"/>
        </w:rPr>
        <w:t xml:space="preserve"> (F(1,21) = 22.68, p &lt; .001, ηp² = 0.519)</w:t>
      </w:r>
      <w:r>
        <w:t>, but this duration benefit was observed only at the intermediate 12% coherence level, yielding a significant motion coherence × duration interaction</w:t>
      </w:r>
      <w:r>
        <w:rPr>
          <w:color w:val="1F4E9E"/>
        </w:rPr>
        <w:t xml:space="preserve"> </w:t>
      </w:r>
      <w:r>
        <w:rPr>
          <w:color w:val="1F4E9E"/>
        </w:rPr>
        <w:t>(F(1.96,41.24) = 12.17, p &lt; .001, ηp² = 0.367)</w:t>
      </w:r>
      <w:r>
        <w:t>. Mean RT increased as motion coherence and duration decreased</w:t>
      </w:r>
      <w:r>
        <w:rPr>
          <w:color w:val="1F4E9E"/>
        </w:rPr>
        <w:t xml:space="preserve"> (coherence: F(1.5,31.39) = 14.19, p &lt; .001, ηp² = 0.403; duration: F(1,21) = 65.79, p &lt; .001, ηp² = 0.758)</w:t>
      </w:r>
      <w:r>
        <w:t>, with the effect of coherence more pronounced in the 0.3 s condition, also yielding a significant motion coherence × duration interaction</w:t>
      </w:r>
      <w:r>
        <w:rPr>
          <w:color w:val="1F4E9E"/>
        </w:rPr>
        <w:t xml:space="preserve"> </w:t>
      </w:r>
      <w:r>
        <w:rPr>
          <w:color w:val="1F4E9E"/>
        </w:rPr>
        <w:t>(F(1.68,35.25) = 4.61, p = .022, ηp² = 0.180)</w:t>
      </w:r>
      <w:r>
        <w:t>.</w:t>
      </w:r>
    </w:p>
    <w:p w14:paraId="2A3707DA" w14:textId="77777777" w:rsidR="00205CBC" w:rsidRDefault="00000000">
      <w:pPr>
        <w:pStyle w:val="Titre3"/>
      </w:pPr>
      <w:r>
        <w:rPr>
          <w:color w:val="1F4E9E"/>
        </w:rPr>
        <w:t>Simulation validation</w:t>
      </w:r>
    </w:p>
    <w:p w14:paraId="1C34FE34" w14:textId="77777777" w:rsidR="00205CBC" w:rsidRDefault="00000000">
      <w:pPr>
        <w:pStyle w:val="Titre4"/>
      </w:pPr>
      <w:r>
        <w:rPr>
          <w:color w:val="1F4E9E"/>
        </w:rPr>
        <w:t>Behavioral mimicry between the two models motivates the use of neurophysiological measures</w:t>
      </w:r>
    </w:p>
    <w:p w14:paraId="73212C5D" w14:textId="77777777" w:rsidR="00205CBC" w:rsidRDefault="00000000">
      <w:r>
        <w:rPr>
          <w:color w:val="1F4E9E"/>
        </w:rPr>
        <w:t xml:space="preserve">Behavior is where the two models are hardest to tell apart, and the reason is structural rather than empirical. The two architectures differ in exactly one term, the delay-period temporal-preparation ramp, whose magnitude </w:t>
      </w:r>
      <m:oMath>
        <m:r>
          <w:rPr>
            <w:rFonts w:ascii="Cambria Math" w:hAnsi="Cambria Math"/>
            <w:color w:val="1F4E9E"/>
          </w:rPr>
          <m:t xml:space="preserve">β</m:t>
        </m:r>
      </m:oMath>
      <w:r>
        <w:rPr>
          <w:color w:val="1F4E9E"/>
        </w:rPr>
        <w:t xml:space="preserve"> enters through </w:t>
      </w:r>
      <m:oMath>
        <m:r>
          <w:rPr>
            <w:rFonts w:ascii="Cambria Math" w:hAnsi="Cambria Math"/>
            <w:color w:val="1F4E9E"/>
          </w:rPr>
          <m:t xml:space="preserve">δ</m:t>
        </m:r>
        <m:r>
          <m:rPr>
            <m:nor/>
          </m:rPr>
          <w:rPr>
            <w:rFonts w:ascii="Cambria Math" w:hAnsi="Cambria Math"/>
            <w:color w:val="1F4E9E"/>
          </w:rPr>
          <m:t xml:space="preserve">=</m:t>
        </m:r>
        <m:sSub>
          <m:sSubPr>
            <m:ctrlPr/>
          </m:sSubPr>
          <m:e>
            <m:r>
              <w:rPr>
                <w:rFonts w:ascii="Cambria Math" w:hAnsi="Cambria Math"/>
                <w:color w:val="1F4E9E"/>
              </w:rPr>
              <m:t xml:space="preserve">t</m:t>
            </m:r>
          </m:e>
          <m:sub>
            <m:r>
              <w:rPr>
                <w:rFonts w:ascii="Cambria Math" w:hAnsi="Cambria Math"/>
                <w:color w:val="1F4E9E"/>
              </w:rPr>
              <m:t xml:space="preserve">R</m:t>
            </m:r>
            <m:r>
              <w:rPr>
                <w:rFonts w:ascii="Cambria Math" w:hAnsi="Cambria Math"/>
                <w:color w:val="1F4E9E"/>
              </w:rPr>
              <m:t xml:space="preserve">S</m:t>
            </m:r>
          </m:sub>
        </m:sSub>
        <m:r>
          <m:rPr>
            <m:nor/>
          </m:rPr>
          <w:rPr>
            <w:rFonts w:ascii="Cambria Math" w:hAnsi="Cambria Math"/>
            <w:color w:val="1F4E9E"/>
          </w:rPr>
          <m:t xml:space="preserve">-</m:t>
        </m:r>
        <m:sSub>
          <m:sSubPr>
            <m:ctrlPr/>
          </m:sSubPr>
          <m:e>
            <m:r>
              <w:rPr>
                <w:rFonts w:ascii="Cambria Math" w:hAnsi="Cambria Math"/>
                <w:color w:val="1F4E9E"/>
              </w:rPr>
              <m:t xml:space="preserve">t</m:t>
            </m:r>
          </m:e>
          <m:sub>
            <m:r>
              <w:rPr>
                <w:rFonts w:ascii="Cambria Math" w:hAnsi="Cambria Math"/>
                <w:color w:val="1F4E9E"/>
              </w:rPr>
              <m:t xml:space="preserve">o</m:t>
            </m:r>
            <m:r>
              <w:rPr>
                <w:rFonts w:ascii="Cambria Math" w:hAnsi="Cambria Math"/>
                <w:color w:val="1F4E9E"/>
              </w:rPr>
              <m:t xml:space="preserve">f</m:t>
            </m:r>
            <m:r>
              <w:rPr>
                <w:rFonts w:ascii="Cambria Math" w:hAnsi="Cambria Math"/>
                <w:color w:val="1F4E9E"/>
              </w:rPr>
              <m:t xml:space="preserve">f</m:t>
            </m:r>
            <m:r>
              <w:rPr>
                <w:rFonts w:ascii="Cambria Math" w:hAnsi="Cambria Math"/>
                <w:color w:val="1F4E9E"/>
              </w:rPr>
              <m:t xml:space="preserve">s</m:t>
            </m:r>
            <m:r>
              <w:rPr>
                <w:rFonts w:ascii="Cambria Math" w:hAnsi="Cambria Math"/>
                <w:color w:val="1F4E9E"/>
              </w:rPr>
              <m:t xml:space="preserve">e</m:t>
            </m:r>
            <m:r>
              <w:rPr>
                <w:rFonts w:ascii="Cambria Math" w:hAnsi="Cambria Math"/>
                <w:color w:val="1F4E9E"/>
              </w:rPr>
              <m:t xml:space="preserve">t</m:t>
            </m:r>
          </m:sub>
        </m:sSub>
        <m:r>
          <m:rPr>
            <m:nor/>
          </m:rPr>
          <w:rPr>
            <w:rFonts w:ascii="Cambria Math" w:hAnsi="Cambria Math"/>
            <w:color w:val="1F4E9E"/>
          </w:rPr>
          <m:t xml:space="preserve">=</m:t>
        </m:r>
        <m:r>
          <m:rPr>
            <m:nor/>
          </m:rPr>
          <w:rPr>
            <w:rFonts w:ascii="Cambria Math" w:hAnsi="Cambria Math"/>
            <w:color w:val="1F4E9E"/>
          </w:rPr>
          <m:t xml:space="preserve">3</m:t>
        </m:r>
        <m:r>
          <m:rPr>
            <m:nor/>
          </m:rPr>
          <w:rPr>
            <w:rFonts w:ascii="Cambria Math" w:hAnsi="Cambria Math"/>
            <w:color w:val="1F4E9E"/>
          </w:rPr>
          <m:t xml:space="preserve">+</m:t>
        </m:r>
        <m:sSub>
          <m:sSubPr>
            <m:ctrlPr/>
          </m:sSubPr>
          <m:e>
            <m:r>
              <w:rPr>
                <w:rFonts w:ascii="Cambria Math" w:hAnsi="Cambria Math"/>
                <w:color w:val="1F4E9E"/>
              </w:rPr>
              <m:t xml:space="preserve">L</m:t>
            </m:r>
          </m:e>
          <m:sub>
            <m:r>
              <w:rPr>
                <w:rFonts w:ascii="Cambria Math" w:hAnsi="Cambria Math"/>
                <w:color w:val="1F4E9E"/>
              </w:rPr>
              <m:t xml:space="preserve">R</m:t>
            </m:r>
            <m:r>
              <w:rPr>
                <w:rFonts w:ascii="Cambria Math" w:hAnsi="Cambria Math"/>
                <w:color w:val="1F4E9E"/>
              </w:rPr>
              <m:t xml:space="preserve">S</m:t>
            </m:r>
          </m:sub>
        </m:sSub>
        <m:r>
          <m:rPr>
            <m:nor/>
          </m:rPr>
          <w:rPr>
            <w:rFonts w:ascii="Cambria Math" w:hAnsi="Cambria Math"/>
            <w:color w:val="1F4E9E"/>
          </w:rPr>
          <m:t xml:space="preserve">-</m:t>
        </m:r>
        <m:sSub>
          <m:sSubPr>
            <m:ctrlPr/>
          </m:sSubPr>
          <m:e>
            <m:r>
              <w:rPr>
                <w:rFonts w:ascii="Cambria Math" w:hAnsi="Cambria Math"/>
                <w:color w:val="1F4E9E"/>
              </w:rPr>
              <m:t xml:space="preserve">L</m:t>
            </m:r>
          </m:e>
          <m:sub>
            <m:r>
              <w:rPr>
                <w:rFonts w:ascii="Cambria Math" w:hAnsi="Cambria Math"/>
                <w:color w:val="1F4E9E"/>
              </w:rPr>
              <m:t xml:space="preserve">m</m:t>
            </m:r>
            <m:r>
              <w:rPr>
                <w:rFonts w:ascii="Cambria Math" w:hAnsi="Cambria Math"/>
                <w:color w:val="1F4E9E"/>
              </w:rPr>
              <m:t xml:space="preserve">o</m:t>
            </m:r>
            <m:r>
              <w:rPr>
                <w:rFonts w:ascii="Cambria Math" w:hAnsi="Cambria Math"/>
                <w:color w:val="1F4E9E"/>
              </w:rPr>
              <m:t xml:space="preserve">t</m:t>
            </m:r>
            <m:r>
              <w:rPr>
                <w:rFonts w:ascii="Cambria Math" w:hAnsi="Cambria Math"/>
                <w:color w:val="1F4E9E"/>
              </w:rPr>
              <m:t xml:space="preserve">i</m:t>
            </m:r>
            <m:r>
              <w:rPr>
                <w:rFonts w:ascii="Cambria Math" w:hAnsi="Cambria Math"/>
                <w:color w:val="1F4E9E"/>
              </w:rPr>
              <m:t xml:space="preserve">o</m:t>
            </m:r>
            <m:r>
              <w:rPr>
                <w:rFonts w:ascii="Cambria Math" w:hAnsi="Cambria Math"/>
                <w:color w:val="1F4E9E"/>
              </w:rPr>
              <m:t xml:space="preserve">n</m:t>
            </m:r>
          </m:sub>
        </m:sSub>
      </m:oMath>
      <w:r>
        <w:rPr>
          <w:color w:val="1F4E9E"/>
        </w:rPr>
        <w:t xml:space="preserve">. That quantity does not depend on stimulus duration, so the ramp contributes identically in all six coherence × duration cells and cannot by itself generate any effect of coherence, of duration, or of their interaction. Every behavioral prediction above therefore holds in both models, with the same sign and the same ordering. This is not a statement about how well either model happens to describe these data; it is a property of the two architectures, and it means that no behavioral measure in this design can separate them. That is what motivates turning to the neurophysiological measures, and it is what the design was built to exploit: the models are made to agree where behavior can see them and to disagree where only the muscle can.</w:t>
      </w:r>
    </w:p>
    <w:p w14:paraId="469556F6" w14:textId="77777777" w:rsidR="00205CBC" w:rsidRDefault="00000000">
      <w:r>
        <w:rPr>
          <w:b w:val="0"/>
          <w:i w:val="0"/>
          <w:color w:val="1F4E9E"/>
        </w:rPr>
        <w:t>The evaluation over the parameter space bears this out quantitatively, and supplies the scale the derivation cannot. The duration benefit on accuracy is predicted to be confined to intermediate coherence, since accuracy is exactly one half at zero coherence whatever the duration and tends to one at high coherence for both; measured as the benefit at 12% minus the mean of the benefits at 0% and 50%, it was 0.075 ± 0.014 in the data, against ranges of 0.012 to 0.197 for Model 1 and 0.020 to 0.208 for Model 2. The duration effect on response time was 49 ± 6 ms, against 2 to 86 ms and 1 to 92 ms; the coherence × duration interaction on it — the coherence effect after the short stimulus minus the coherence effect after the long one, as predicted above — was +15 ± 8 ms, against 1 to 82 ms and 1 to 76 ms.</w:t>
      </w:r>
      <w:r>
        <w:rPr>
          <w:b w:val="0"/>
          <w:i w:val="0"/>
          <w:color w:val="1F4E9E"/>
        </w:rPr>
      </w:r>
      <w:r>
        <w:rPr>
          <w:b w:val="0"/>
          <w:i w:val="0"/>
          <w:color w:val="1F4E9E"/>
        </w:rPr>
        <w:t xml:space="preserve"> Each of these effects is significantly of the observed sign at 89% or more of each model’s admissible settings and </w:t>
      </w:r>
      <w:r>
        <w:rPr>
          <w:b w:val="0"/>
          <w:i w:val="0"/>
          <w:color w:val="1F4E9E"/>
        </w:rPr>
        <w:t>significantly against it at 3% or fewer.</w:t>
      </w:r>
      <w:r>
        <w:rPr>
          <w:b w:val="0"/>
          <w:i w:val="0"/>
          <w:color w:val="1F4E9E"/>
        </w:rPr>
        <w:t xml:space="preserve"> On every behavioral effect the observed value falls inside both models’ ranges, and the two ranges are barely distinguishable from one another — which is the quantitative form of the same point: β cannot move any of these quantities, so no behavioral measure separates the architectures at any parameter setting, not merely at settings that happen to describe these data. The ranges are wide because they describe what an architecture can do across its whole admissible space; their width is a statement about that space, not an uncertainty about the data.</w:t>
      </w:r>
    </w:p>
    <w:p w14:paraId="524E359A" w14:textId="77777777" w:rsidR="00205CBC" w:rsidRDefault="00000000">
      <w:pPr>
        <w:pStyle w:val="Titre2"/>
      </w:pPr>
      <w:r>
        <w:rPr>
          <w:color w:val="1F4E9E"/>
        </w:rPr>
        <w:t>Stimulus-locked</w:t>
      </w:r>
    </w:p>
    <w:p w14:paraId="1D6B445E" w14:textId="77777777" w:rsidR="00205CBC" w:rsidRDefault="00000000">
      <w:pPr>
        <w:pStyle w:val="Titre3"/>
      </w:pPr>
      <w:r>
        <w:rPr>
          <w:color w:val="1F4E9E"/>
        </w:rPr>
        <w:t>Theoretical predictions</w:t>
      </w:r>
    </w:p>
    <w:p w14:paraId="372A8172" w14:textId="77777777" w:rsidR="00205CBC" w:rsidRDefault="00000000">
      <w:r>
        <w:rPr>
          <w:b w:val="0"/>
          <w:i w:val="0"/>
          <w:color w:val="1F4E9E"/>
        </w:rPr>
        <w:t>Both models predict the same ordering by motion coherence during the stimulus period: a larger first-stage drift at higher coherence produces a maintained level that climbs faster and further, so partial-activation rate is predicted to rise more steeply, and reach a higher level, at higher coherence</w:t>
      </w:r>
      <w:r>
        <w:rPr>
          <w:b w:val="0"/>
          <w:i w:val="0"/>
          <w:color w:val="1F4E9E"/>
        </w:rPr>
      </w:r>
      <w:r>
        <w:rPr>
          <w:b w:val="0"/>
          <w:i w:val="0"/>
          <w:color w:val="1F4E9E"/>
        </w:rPr>
        <w:t xml:space="preserve"> — a prediction that does not distinguish the two accounts, since neither the first-stage drift nor its accumulation depends on temporal preparation.</w:t>
      </w:r>
    </w:p>
    <w:p w14:paraId="372A8172" w14:textId="77777777" w:rsidR="00205CBC" w:rsidRDefault="00000000">
      <w:r>
        <w:rPr>
          <w:b w:val="0"/>
          <w:i w:val="0"/>
          <w:color w:val="1F4E9E"/>
        </w:rPr>
        <w:t>By duration the two models diverge, and this is the only place outside the delay period where they do. Because the preparation ramp begins at stimulus offset, it occupies about three-quarters of the 2-s stimulus-onset window in the 0.3-s condition and none of it in the 2-s condition. Model 1 has no ramp, so the only duration dependence left to it is that the long stimulus has accumulated more evidence by the end of the window: it predicts a higher rate after the LONG stimulus, and does so at every admissible parameter setting. Model 2’s ramp pushes the effect the other way, but whether it overturns the level effect depends on the ramp’s size relative to the distance to the gate, and those are independent parameters; the reversal therefore holds over part of Model 2’s admissible space and not all of it . The disagreement is one-sided, and is stated in that form before the data are seen: a rate higher after the SHORT stimulus is incompatible with Model 1 and compatible with Model 2, but it is not a positive prediction of Model 2, whose own prediction is made in the delay period.</w:t>
      </w:r>
    </w:p>
    <w:p w14:paraId="74B4CE33" w14:textId="77777777" w:rsidR="00205CBC" w:rsidRDefault="00000000">
      <w:pPr>
        <w:pStyle w:val="Titre3"/>
      </w:pPr>
      <w:r>
        <w:rPr>
          <w:color w:val="1F4E9E"/>
        </w:rPr>
        <w:t>Empirical results</w:t>
      </w:r>
    </w:p>
    <w:p w14:paraId="575767EC" w14:textId="77777777" w:rsidR="00205CBC" w:rsidRDefault="00000000">
      <w:pPr>
        <w:pStyle w:val="Titre4"/>
      </w:pPr>
      <w:r>
        <w:rPr>
          <w:color w:val="1F4E9E"/>
        </w:rPr>
        <w:t>Partial muscle activation (PMA) rate</w:t>
      </w:r>
    </w:p>
    <w:p w14:paraId="4F3AAA11" w14:textId="77777777" w:rsidR="00205CBC" w:rsidRDefault="00000000">
      <w:r>
        <w:tab/>
      </w:r>
      <w:r>
        <w:rPr>
          <w:color w:val="1F4E9E"/>
        </w:rPr>
        <w:t xml:space="preserve">As explained in Materials and Methods, because gating inhibition remained active throughout the trial, a PMA — muscle activity that failed to reach the response criterion — </w:t>
      </w:r>
      <w:r>
        <w:rPr>
          <w:color w:val="1F4E9E"/>
        </w:rPr>
        <w:lastRenderedPageBreak/>
        <w:t xml:space="preserve">provides a peripheral readout of the motor-preparatory signal's position and variability relative to the gating and response criteria. </w:t>
      </w:r>
      <w:r>
        <w:t>For each period of interest, Figure 4A shows the average number of PMAs per 0.1 s time bin in the response-associated EMG channel, whereas Figure 4B shows the corresponding data for the opposite EMG channel. As expected, PMA rates in the opposite EMG channel were near zero across conditions and periods. Consequently, subsequent analyses were restricted to the response-associated EMG channel. An ANOVA on the stimulus period data (0–2 s window relative to stimulus onset) revealed a significant time bin × motion coherence interaction</w:t>
      </w:r>
      <w:r>
        <w:rPr>
          <w:color w:val="1F4E9E"/>
        </w:rPr>
        <w:t xml:space="preserve"> (linear-trend equivalent: </w:t>
      </w:r>
      <w:r>
        <w:rPr>
          <w:color w:val="1F4E9E"/>
        </w:rPr>
        <w:t>F(1.72, 36.20) = 6.145, p = .007</w:t>
      </w:r>
      <w:r>
        <w:rPr>
          <w:color w:val="1F4E9E"/>
        </w:rPr>
        <w:t>, ηp² = 0.226; full decomposition in Table S2)</w:t>
      </w:r>
      <w:r>
        <w:t>. PMA rate increased over time, and the slope of this ramping activity became shallower as motion coherence decreased, consistent with an evidence accumulation mechanism. The analysis also showed a significant time bin × duration interaction</w:t>
      </w:r>
      <w:r>
        <w:rPr>
          <w:color w:val="1F4E9E"/>
        </w:rPr>
        <w:t xml:space="preserve"> (linear-trend equivalent: F(1,21) = 9.532, p = .006, ηp² = 0.312; full decomposition in Table S2)</w:t>
      </w:r>
      <w:r>
        <w:t>, reflecting steeper ramping in the 0.3 s than in the 2 s duration condition.</w:t>
      </w:r>
      <w:r>
        <w:rPr>
          <w:color w:val="1F4E9E"/>
        </w:rPr>
        <w:t xml:space="preserve"> PMA rate was correspondingly higher overall in the 0.3 s than the 2 s condition across this window (main effect of duration: F(1,21) = 13.38, p = .001, ηp² = 0.389), the average counterpart of this interaction.</w:t>
      </w:r>
      <w:r>
        <w:t xml:space="preserve"> This effect is unlikely to reflect greater allocation of attentional resources in the 0.3 s condition, because stimulus duration was unpredictable at trial onset. </w:t>
      </w:r>
      <w:r>
        <w:rPr>
          <w:color w:val="1F4E9E"/>
        </w:rPr>
      </w:r>
      <w:r>
        <w:rPr>
          <w:color w:val="1F4E9E"/>
        </w:rPr>
      </w:r>
      <w:r>
        <w:rPr>
          <w:color w:val="1F4E9E"/>
        </w:rPr>
        <w:t>It is, however, the direction that excludes Model 1: without a ramp, the only duration dependence available to that architecture is the higher maintained level after the long stimulus, which gives the opposite ordering. A ramp accounts for what is observed — it begins at stimulus offset and therefore occupies most of the stimulus-onset window in the 0.3 s condition and none of it in the 2 s condition — provided temporal preparation increases more steeply than coherence-averaged evidence accumulation. That is Model 2, but the inference runs only one way: the observation rules Model 1 out and leaves Model 2 standing, without confirming it.</w:t>
      </w:r>
      <w:r>
        <w:rPr>
          <w:color w:val="1F4E9E"/>
        </w:rPr>
      </w:r>
      <w:r>
        <w:rPr>
          <w:color w:val="1F4E9E"/>
        </w:rPr>
      </w:r>
      <w:r/>
    </w:p>
    <w:p w14:paraId="189B2625" w14:textId="77777777" w:rsidR="00205CBC" w:rsidRDefault="00000000">
      <w:pPr>
        <w:pStyle w:val="Titre4"/>
      </w:pPr>
      <w:r>
        <w:rPr>
          <w:color w:val="1F4E9E"/>
        </w:rPr>
        <w:t>Mu–beta lateralization (MBL)</w:t>
      </w:r>
    </w:p>
    <w:p w14:paraId="1313165C" w14:textId="77777777" w:rsidR="00205CBC" w:rsidRDefault="00000000">
      <w:r>
        <w:t>Figure 4D shows the MBL amplitude for each condition and period. The ANOVA conducted on the stimulus-period data reveal</w:t>
      </w:r>
      <w:r>
        <w:rPr>
          <w:color w:val="1F4E9E"/>
        </w:rPr>
        <w:t>ed a significant interaction between time bin and motion coherence, but this reflects the measure’s non-monotone shape rather than a uniform coherence-dependent ramp: the full-window linear trend × coherence is not significant</w:t>
      </w:r>
      <w:r>
        <w:t xml:space="preserve"> </w:t>
      </w:r>
      <w:r>
        <w:t>(</w:t>
      </w:r>
      <w:r>
        <w:rPr>
          <w:color w:val="1F4E9E"/>
        </w:rPr>
        <w:t>F(1.95, 40.99) = 0.517, p = .596</w:t>
      </w:r>
      <w:r>
        <w:t xml:space="preserve">, ηp² = 0.024; Table S3). MBL </w:t>
      </w:r>
      <w:r>
        <w:rPr>
          <w:color w:val="1F4E9E"/>
        </w:rPr>
        <w:t>exhibited ramping activity that was non-monotone across the stimulus period: an initial buildup rate that scaled with motion coherence was confined to approximately the first second of stimulation, and this coherence dependence was extinguished over the following second, as coherence-dependent trajectories converged toward a common sustained level (Table S4), consistent with evidence accumulation toward an internal threshold rather than an unbounded coherence-dependent ramp.</w:t>
      </w:r>
      <w:r>
        <w:t xml:space="preserve"> Unlike the PMA rate, MBL amplitude showed a slight decrease before transitioning to sustained activity, at least in the highest coherence conditions</w:t>
      </w:r>
      <w:r>
        <w:rPr>
          <w:color w:val="1F4E9E"/>
        </w:rPr>
        <w:t>.</w:t>
      </w:r>
    </w:p>
    <w:p w14:paraId="5E4D94BF" w14:textId="77777777" w:rsidR="00205CBC" w:rsidRDefault="00000000">
      <w:pPr>
        <w:pStyle w:val="Titre4"/>
      </w:pPr>
      <w:r>
        <w:rPr>
          <w:color w:val="1F4E9E"/>
        </w:rPr>
        <w:t>Lateralized readiness potential (LRP)</w:t>
      </w:r>
    </w:p>
    <w:p w14:paraId="61504E9B" w14:textId="77777777" w:rsidR="00205CBC" w:rsidRDefault="00000000">
      <w:r>
        <w:t>Figure 4C shows the LRP for each condition and period. Although the LRP showed a slight numerical trend suggestive of evidence accumulation during the stimulus period, the ANOVA did not reveal any significant effect</w:t>
      </w:r>
      <w:r>
        <w:rPr>
          <w:color w:val="1F4E9E"/>
        </w:rPr>
        <w:t xml:space="preserve"> (linear-trend equivalent: </w:t>
      </w:r>
      <w:r>
        <w:rPr>
          <w:color w:val="1F4E9E"/>
        </w:rPr>
        <w:t>F(1.49, 31.27) = 0.551, p = .531</w:t>
      </w:r>
      <w:r>
        <w:rPr>
          <w:color w:val="1F4E9E"/>
        </w:rPr>
        <w:t>, ηp² = 0.026; Table S2)</w:t>
      </w:r>
      <w:r>
        <w:t>.</w:t>
      </w:r>
    </w:p>
    <w:p w14:paraId="60E48DBD" w14:textId="77777777" w:rsidR="00205CBC" w:rsidRDefault="00000000">
      <w:pPr>
        <w:pStyle w:val="Titre3"/>
      </w:pPr>
      <w:r>
        <w:rPr>
          <w:color w:val="1F4E9E"/>
        </w:rPr>
        <w:t>Simulation validation</w:t>
      </w:r>
    </w:p>
    <w:p w14:paraId="3B1E680C" w14:textId="77777777" w:rsidR="00205CBC" w:rsidRDefault="00000000">
      <w:r>
        <w:rPr>
          <w:b w:val="0"/>
          <w:i w:val="0"/>
          <w:color w:val="1F4E9E"/>
        </w:rPr>
        <w:t>Two quantities from this window were evaluated over the parameter space: the coherence effect, which both architectures predict and which therefore serves as a control, and the duration effect, on which they disagree.</w:t>
      </w:r>
    </w:p>
    <w:p w14:paraId="3B1E680C" w14:textId="77777777" w:rsidR="00205CBC" w:rsidRDefault="00000000">
      <w:r>
        <w:rPr>
          <w:b w:val="0"/>
          <w:i w:val="0"/>
          <w:color w:val="1F4E9E"/>
        </w:rPr>
      </w:r>
      <w:r>
        <w:rPr>
          <w:b w:val="0"/>
          <w:i w:val="0"/>
          <w:color w:val="1F4E9E"/>
        </w:rPr>
        <w:t>Take the control first. The shared architecture predicts</w:t>
      </w:r>
      <w:r>
        <w:rPr>
          <w:b w:val="0"/>
          <w:i w:val="0"/>
          <w:color w:val="1F4E9E"/>
        </w:rPr>
        <w:t xml:space="preserve"> the stimulus-period partial-activation rate to be higher at high coherence in both models, and it is: the rate at 50% coherence minus the rate at 0% was +0.054 ± 0.020 s⁻¹ in the data, against 0.009 to 0.651 s⁻¹ over Model 1’s admissible settings and 0.001 to 0.388 over Model 2’s, with the observed sign significant at 98% and 93% of them and the opposite sign at none. The two architectures are therefore not being distinguished by their general ability to describe this window — they describe it equally well — but by the one contrast on which the ramp acts.</w:t>
      </w:r>
    </w:p>
    <w:p w14:paraId="3B1E680C" w14:textId="77777777" w:rsidR="00205CBC" w:rsidRDefault="00000000">
      <w:r>
        <w:rPr>
          <w:b w:val="0"/>
          <w:i w:val="0"/>
          <w:color w:val="1F4E9E"/>
        </w:rPr>
      </w:r>
      <w:r>
        <w:rPr>
          <w:b w:val="0"/>
          <w:i w:val="0"/>
          <w:color w:val="1F4E9E"/>
        </w:rPr>
        <w:t>The duration effect turns into an exclusion of Model 1</w:t>
      </w:r>
      <w:r>
        <w:rPr>
          <w:b w:val="0"/>
          <w:i w:val="0"/>
          <w:color w:val="1F4E9E"/>
        </w:rPr>
        <w:t xml:space="preserve">, of a specific kind. The duration effect on the stimulus-period partial-activation rate — the rate after the 0.3 s stimulus minus the rate after the 2 s stimulus, over the same 0 to 2 s window used for the data — was +0.057 ± 0.015 s⁻¹. Model 1 produces a significantly negative effect at 95% of its admissible settings and a significantly positive one at none (5th to 95th percentile −0.324 to −0.004 s⁻¹), which is what the architecture predicts for it and what makes the observation incompatible with that architecture, on the stimulus period alone and before any delay-period quantity is examined. Model 2 produces the observed sign at 39% of its settings and the opposite sign at 45% (−0.214 to +0.036 s⁻¹): temporal preparation opposes the level effect, as the derivation says, but does not generally overturn it, </w:t>
      </w:r>
      <w:r>
        <w:rPr>
          <w:b w:val="0"/>
          <w:i w:val="0"/>
          <w:color w:val="1F4E9E"/>
        </w:rPr>
        <w:t>because the ramp’s size and the distance to the gate are independent parameters. Its largest value, +0.129 s⁻¹, is more than twice the observation, so the fact that the observed value falls outside its 5th to 95th percentile band is a statement about where the bulk of Model 2’s admissible space lies and not about what that space can reach.</w:t>
      </w:r>
      <w:r>
        <w:rPr>
          <w:b w:val="0"/>
          <w:i w:val="0"/>
          <w:color w:val="1F4E9E"/>
        </w:rPr>
        <w:t xml:space="preserve"> The test is therefore one-sided. It refutes Model 1; it does not confirm Model 2, whose own prediction is made in the delay period.</w:t>
      </w:r>
    </w:p>
    <w:p w14:paraId="55B3DDFE" w14:textId="77777777" w:rsidR="00205CBC" w:rsidRDefault="00000000">
      <w:pPr>
        <w:pStyle w:val="Titre2"/>
      </w:pPr>
      <w:r>
        <w:rPr>
          <w:color w:val="1F4E9E"/>
        </w:rPr>
        <w:t>Delay-locked</w:t>
      </w:r>
    </w:p>
    <w:p w14:paraId="705846BE" w14:textId="77777777" w:rsidR="00205CBC" w:rsidRDefault="00000000">
      <w:pPr>
        <w:pStyle w:val="Titre3"/>
      </w:pPr>
      <w:r>
        <w:rPr>
          <w:color w:val="1F4E9E"/>
        </w:rPr>
        <w:t>Theoretical predictions</w:t>
      </w:r>
    </w:p>
    <w:p w14:paraId="73212C5D" w14:textId="77777777" w:rsidR="00205CBC" w:rsidRDefault="00000000">
      <w:r>
        <w:rPr>
          <w:color w:val="1F4E9E"/>
        </w:rPr>
        <w:t xml:space="preserve">During the delay, a partial activation on the responding side is an upcrossing of the internal gate </w:t>
      </w:r>
      <m:oMath>
        <m:r>
          <w:rPr>
            <w:rFonts w:ascii="Cambria Math" w:hAnsi="Cambria Math"/>
            <w:color w:val="1F4E9E"/>
          </w:rPr>
          <m:t xml:space="preserve">g</m:t>
        </m:r>
      </m:oMath>
      <w:r>
        <w:rPr>
          <w:color w:val="1F4E9E"/>
        </w:rPr>
        <w:t xml:space="preserve"> by the maintained fluctuation </w:t>
      </w:r>
      <m:oMath>
        <m:r>
          <w:rPr>
            <w:rFonts w:ascii="Cambria Math" w:hAnsi="Cambria Math"/>
            <w:color w:val="1F4E9E"/>
          </w:rPr>
          <m:t xml:space="preserve">H</m:t>
        </m:r>
      </m:oMath>
      <w:r>
        <w:rPr>
          <w:color w:val="1F4E9E"/>
        </w:rPr>
        <w:t xml:space="preserve"> — the excursion of the preparatory signal around the level held since the first accumulation was stopped, still driven by the same noise process that generates within-trial fluctuations elsewhere in the model. The Appendix derives the resulting instantaneous rate in closed form from the Kac–Rice formula for the expected upcrossing rate of a differentiable Gaussian process, Equation (21), which assumes no stationarity. Where the fluctuation has reached stationarity that expression simplifies: writing </w:t>
      </w:r>
      <m:oMath>
        <m:r>
          <w:rPr>
            <w:rFonts w:ascii="Cambria Math" w:hAnsi="Cambria Math"/>
            <w:color w:val="1F4E9E"/>
          </w:rPr>
          <m:t xml:space="preserve">a</m:t>
        </m:r>
        <m:d>
          <m:dPr>
            <m:begChr m:val="("/>
            <m:endChr m:val=")"/>
            <m:ctrlPr/>
          </m:dPr>
          <m:e>
            <m:r>
              <w:rPr>
                <w:rFonts w:ascii="Cambria Math" w:hAnsi="Cambria Math"/>
                <w:color w:val="1F4E9E"/>
              </w:rPr>
              <m:t xml:space="preserve">t</m:t>
            </m:r>
          </m:e>
        </m:d>
      </m:oMath>
      <w:r>
        <w:rPr>
          <w:color w:val="1F4E9E"/>
        </w:rPr>
        <w:t xml:space="preserve"> for the distance from the maintained level to the gate in units of the fluctuation’s standard deviation, </w:t>
      </w:r>
      <w:r>
        <w:rPr>
          <w:color w:val="1F4E9E"/>
        </w:rPr>
        <w:t xml:space="preserve"> and </w:t>
      </w:r>
      <m:oMath>
        <m:r>
          <w:rPr>
            <w:rFonts w:ascii="Cambria Math" w:hAnsi="Cambria Math"/>
            <w:color w:val="1F4E9E"/>
          </w:rPr>
          <m:t xml:space="preserve">ω</m:t>
        </m:r>
        <m:r>
          <m:rPr>
            <m:nor/>
          </m:rPr>
          <w:rPr>
            <w:rFonts w:ascii="Cambria Math" w:hAnsi="Cambria Math"/>
            <w:color w:val="1F4E9E"/>
          </w:rPr>
          <m:t xml:space="preserve">=</m:t>
        </m:r>
        <m:rad>
          <m:radPr>
            <m:degHide m:val="1"/>
            <m:ctrlPr/>
          </m:radPr>
          <m:deg/>
          <m:e>
            <m:r>
              <w:rPr>
                <w:rFonts w:ascii="Cambria Math" w:hAnsi="Cambria Math"/>
                <w:color w:val="1F4E9E"/>
              </w:rPr>
              <m:t xml:space="preserve">λ</m:t>
            </m:r>
            <m:r>
              <w:rPr>
                <w:rFonts w:ascii="Cambria Math" w:hAnsi="Cambria Math"/>
                <w:color w:val="1F4E9E"/>
              </w:rPr>
              <m:t xml:space="preserve">κ</m:t>
            </m:r>
          </m:e>
        </m:rad>
      </m:oMath>
      <w:r>
        <w:rPr>
          <w:color w:val="1F4E9E"/>
        </w:rPr>
        <w:t xml:space="preserve"> for the fluctuation’s characteristic frequency, the rate is Equation (22):</w:t>
      </w:r>
    </w:p>
    <w:p w14:paraId="73212C5D" w14:textId="77777777" w:rsidR="00205CBC" w:rsidRDefault="00000000">
      <m:oMathPara>
        <m:oMath>
          <m:eqArr>
            <m:eqArrPr>
              <m:maxDist m:val="1"/>
              <m:ctrlPr/>
            </m:eqArrPr>
            <m:e>
              <m:r>
                <w:rPr>
                  <w:rFonts w:ascii="Cambria Math" w:hAnsi="Cambria Math"/>
                  <w:color w:val="1F4E9E"/>
                </w:rPr>
                <m:t xml:space="preserve">ν</m:t>
              </m:r>
              <m:d>
                <m:dPr>
                  <m:begChr m:val="("/>
                  <m:endChr m:val=")"/>
                  <m:ctrlPr/>
                </m:dPr>
                <m:e>
                  <m:r>
                    <w:rPr>
                      <w:rFonts w:ascii="Cambria Math" w:hAnsi="Cambria Math"/>
                      <w:color w:val="1F4E9E"/>
                    </w:rPr>
                    <m:t xml:space="preserve">t</m:t>
                  </m:r>
                </m:e>
              </m:d>
              <m:r>
                <m:rPr>
                  <m:nor/>
                </m:rPr>
                <w:rPr>
                  <w:rFonts w:ascii="Cambria Math" w:hAnsi="Cambria Math"/>
                  <w:color w:val="1F4E9E"/>
                </w:rPr>
                <m:t xml:space="preserve">=</m:t>
              </m:r>
              <m:r>
                <w:rPr>
                  <w:rFonts w:ascii="Cambria Math" w:hAnsi="Cambria Math"/>
                  <w:color w:val="1F4E9E"/>
                </w:rPr>
                <m:t xml:space="preserve">φ</m:t>
              </m:r>
              <m:d>
                <m:dPr>
                  <m:begChr m:val="("/>
                  <m:endChr m:val=")"/>
                  <m:ctrlPr/>
                </m:dPr>
                <m:e>
                  <m:r>
                    <w:rPr>
                      <w:rFonts w:ascii="Cambria Math" w:hAnsi="Cambria Math"/>
                      <w:color w:val="1F4E9E"/>
                    </w:rPr>
                    <m:t xml:space="preserve">a</m:t>
                  </m:r>
                  <m:d>
                    <m:dPr>
                      <m:begChr m:val="("/>
                      <m:endChr m:val=")"/>
                      <m:ctrlPr/>
                    </m:dPr>
                    <m:e>
                      <m:r>
                        <w:rPr>
                          <w:rFonts w:ascii="Cambria Math" w:hAnsi="Cambria Math"/>
                          <w:color w:val="1F4E9E"/>
                        </w:rPr>
                        <m:t xml:space="preserve">t</m:t>
                      </m:r>
                    </m:e>
                  </m:d>
                </m:e>
              </m:d>
              <m:d>
                <m:dPr>
                  <m:begChr m:val="["/>
                  <m:endChr m:val="]"/>
                  <m:ctrlPr/>
                </m:dPr>
                <m:e>
                  <m:f>
                    <m:fPr>
                      <m:ctrlPr/>
                    </m:fPr>
                    <m:num>
                      <m:r>
                        <w:rPr>
                          <w:rFonts w:ascii="Cambria Math" w:hAnsi="Cambria Math"/>
                          <w:color w:val="1F4E9E"/>
                        </w:rPr>
                        <m:t xml:space="preserve">β</m:t>
                      </m:r>
                    </m:num>
                    <m:den>
                      <m:r>
                        <w:rPr>
                          <w:rFonts w:ascii="Cambria Math" w:hAnsi="Cambria Math"/>
                          <w:color w:val="1F4E9E"/>
                        </w:rPr>
                        <m:t xml:space="preserve">δ</m:t>
                      </m:r>
                      <m:sSub>
                        <m:sSubPr>
                          <m:ctrlPr/>
                        </m:sSubPr>
                        <m:e>
                          <m:r>
                            <w:rPr>
                              <w:rFonts w:ascii="Cambria Math" w:hAnsi="Cambria Math"/>
                              <w:color w:val="1F4E9E"/>
                            </w:rPr>
                            <m:t xml:space="preserve">σ</m:t>
                          </m:r>
                        </m:e>
                        <m:sub>
                          <m:r>
                            <w:rPr>
                              <w:rFonts w:ascii="Cambria Math" w:hAnsi="Cambria Math"/>
                              <w:color w:val="1F4E9E"/>
                            </w:rPr>
                            <m:t xml:space="preserve">H</m:t>
                          </m:r>
                        </m:sub>
                      </m:sSub>
                    </m:den>
                  </m:f>
                  <m:r>
                    <w:rPr>
                      <w:rFonts w:ascii="Cambria Math" w:hAnsi="Cambria Math"/>
                      <w:color w:val="1F4E9E"/>
                    </w:rPr>
                    <m:t xml:space="preserve">Φ</m:t>
                  </m:r>
                  <m:d>
                    <m:dPr>
                      <m:begChr m:val="("/>
                      <m:endChr m:val=")"/>
                      <m:ctrlPr/>
                    </m:dPr>
                    <m:e>
                      <m:f>
                        <m:fPr>
                          <m:ctrlPr/>
                        </m:fPr>
                        <m:num>
                          <m:r>
                            <w:rPr>
                              <w:rFonts w:ascii="Cambria Math" w:hAnsi="Cambria Math"/>
                              <w:color w:val="1F4E9E"/>
                            </w:rPr>
                            <m:t xml:space="preserve">β</m:t>
                          </m:r>
                        </m:num>
                        <m:den>
                          <m:r>
                            <w:rPr>
                              <w:rFonts w:ascii="Cambria Math" w:hAnsi="Cambria Math"/>
                              <w:color w:val="1F4E9E"/>
                            </w:rPr>
                            <m:t xml:space="preserve">δ</m:t>
                          </m:r>
                          <m:sSub>
                            <m:sSubPr>
                              <m:ctrlPr/>
                            </m:sSubPr>
                            <m:e>
                              <m:r>
                                <w:rPr>
                                  <w:rFonts w:ascii="Cambria Math" w:hAnsi="Cambria Math"/>
                                  <w:color w:val="1F4E9E"/>
                                </w:rPr>
                                <m:t xml:space="preserve">σ</m:t>
                              </m:r>
                            </m:e>
                            <m:sub>
                              <m:acc>
                                <m:accPr>
                                  <m:chr m:val="̇"/>
                                  <m:ctrlPr/>
                                </m:accPr>
                                <m:e>
                                  <m:r>
                                    <w:rPr>
                                      <w:rFonts w:ascii="Cambria Math" w:hAnsi="Cambria Math"/>
                                      <w:color w:val="1F4E9E"/>
                                    </w:rPr>
                                    <m:t xml:space="preserve">H</m:t>
                                  </m:r>
                                </m:e>
                              </m:acc>
                            </m:sub>
                          </m:sSub>
                        </m:den>
                      </m:f>
                    </m:e>
                  </m:d>
                  <m:r>
                    <m:rPr>
                      <m:nor/>
                    </m:rPr>
                    <w:rPr>
                      <w:rFonts w:ascii="Cambria Math" w:hAnsi="Cambria Math"/>
                      <w:color w:val="1F4E9E"/>
                    </w:rPr>
                    <m:t xml:space="preserve">+</m:t>
                  </m:r>
                  <m:r>
                    <w:rPr>
                      <w:rFonts w:ascii="Cambria Math" w:hAnsi="Cambria Math"/>
                      <w:color w:val="1F4E9E"/>
                    </w:rPr>
                    <m:t xml:space="preserve">ω</m:t>
                  </m:r>
                  <m:r>
                    <w:rPr>
                      <w:rFonts w:ascii="Cambria Math" w:hAnsi="Cambria Math"/>
                      <w:color w:val="1F4E9E"/>
                    </w:rPr>
                    <m:t xml:space="preserve">φ</m:t>
                  </m:r>
                  <m:d>
                    <m:dPr>
                      <m:begChr m:val="("/>
                      <m:endChr m:val=")"/>
                      <m:ctrlPr/>
                    </m:dPr>
                    <m:e>
                      <m:f>
                        <m:fPr>
                          <m:ctrlPr/>
                        </m:fPr>
                        <m:num>
                          <m:r>
                            <w:rPr>
                              <w:rFonts w:ascii="Cambria Math" w:hAnsi="Cambria Math"/>
                              <w:color w:val="1F4E9E"/>
                            </w:rPr>
                            <m:t xml:space="preserve">β</m:t>
                          </m:r>
                        </m:num>
                        <m:den>
                          <m:r>
                            <w:rPr>
                              <w:rFonts w:ascii="Cambria Math" w:hAnsi="Cambria Math"/>
                              <w:color w:val="1F4E9E"/>
                            </w:rPr>
                            <m:t xml:space="preserve">δ</m:t>
                          </m:r>
                          <m:sSub>
                            <m:sSubPr>
                              <m:ctrlPr/>
                            </m:sSubPr>
                            <m:e>
                              <m:r>
                                <w:rPr>
                                  <w:rFonts w:ascii="Cambria Math" w:hAnsi="Cambria Math"/>
                                  <w:color w:val="1F4E9E"/>
                                </w:rPr>
                                <m:t xml:space="preserve">σ</m:t>
                              </m:r>
                            </m:e>
                            <m:sub>
                              <m:acc>
                                <m:accPr>
                                  <m:chr m:val="̇"/>
                                  <m:ctrlPr/>
                                </m:accPr>
                                <m:e>
                                  <m:r>
                                    <w:rPr>
                                      <w:rFonts w:ascii="Cambria Math" w:hAnsi="Cambria Math"/>
                                      <w:color w:val="1F4E9E"/>
                                    </w:rPr>
                                    <m:t xml:space="preserve">H</m:t>
                                  </m:r>
                                </m:e>
                              </m:acc>
                            </m:sub>
                          </m:sSub>
                        </m:den>
                      </m:f>
                    </m:e>
                  </m:d>
                </m:e>
              </m:d>
              <m:r>
                <w:rPr>
                  <w:rFonts w:ascii="Cambria Math" w:hAnsi="Cambria Math"/>
                  <w:color w:val="1F4E9E"/>
                </w:rPr>
                <m:t xml:space="preserve">#</m:t>
              </m:r>
              <m:d>
                <m:dPr>
                  <m:begChr m:val="("/>
                  <m:endChr m:val=")"/>
                  <m:ctrlPr/>
                </m:dPr>
                <m:e>
                  <m:r>
                    <m:rPr>
                      <m:nor/>
                    </m:rPr>
                    <w:rPr>
                      <w:rFonts w:ascii="Cambria Math" w:hAnsi="Cambria Math"/>
                      <w:color w:val="1F4E9E"/>
                    </w:rPr>
                    <m:t xml:space="preserve">2</m:t>
                  </m:r>
                  <m:r>
                    <m:rPr>
                      <m:nor/>
                    </m:rPr>
                    <w:rPr>
                      <w:rFonts w:ascii="Cambria Math" w:hAnsi="Cambria Math"/>
                      <w:color w:val="1F4E9E"/>
                    </w:rPr>
                    <m:t xml:space="preserve">2</m:t>
                  </m:r>
                </m:e>
              </m:d>
            </m:e>
          </m:eqArr>
        </m:oMath>
      </m:oMathPara>
    </w:p>
    <w:p w14:paraId="73212C5D" w14:textId="77777777" w:rsidR="00205CBC" w:rsidRDefault="00000000">
      <w:r>
        <w:rPr>
          <w:color w:val="1F4E9E"/>
        </w:rPr>
        <w:t xml:space="preserve">Setting </w:t>
      </w:r>
      <m:oMath>
        <m:r>
          <w:rPr>
            <w:rFonts w:ascii="Cambria Math" w:hAnsi="Cambria Math"/>
            <w:color w:val="1F4E9E"/>
          </w:rPr>
          <m:t xml:space="preserve">β</m:t>
        </m:r>
        <m:r>
          <m:rPr>
            <m:nor/>
          </m:rPr>
          <w:rPr>
            <w:rFonts w:ascii="Cambria Math" w:hAnsi="Cambria Math"/>
            <w:color w:val="1F4E9E"/>
          </w:rPr>
          <m:t xml:space="preserve">=</m:t>
        </m:r>
        <m:r>
          <m:rPr>
            <m:nor/>
          </m:rPr>
          <w:rPr>
            <w:rFonts w:ascii="Cambria Math" w:hAnsi="Cambria Math"/>
            <w:color w:val="1F4E9E"/>
          </w:rPr>
          <m:t xml:space="preserve">0</m:t>
        </m:r>
      </m:oMath>
      <w:r>
        <w:rPr>
          <w:color w:val="1F4E9E"/>
        </w:rPr>
        <w:t xml:space="preserve"> — Model 1 — recovers the classical Rice formula, Equation (23), whose maximum over the standardized distance is </w:t>
      </w:r>
      <m:oMath>
        <m:r>
          <w:rPr>
            <w:rFonts w:ascii="Cambria Math" w:hAnsi="Cambria Math"/>
            <w:color w:val="1F4E9E"/>
          </w:rPr>
          <m:t xml:space="preserve">ω</m:t>
        </m:r>
        <m:r>
          <m:rPr>
            <m:nor/>
          </m:rPr>
          <w:rPr>
            <w:rFonts w:ascii="Cambria Math" w:hAnsi="Cambria Math"/>
            <w:color w:val="1F4E9E"/>
          </w:rPr>
          <m:t xml:space="preserve">/</m:t>
        </m:r>
        <m:r>
          <m:rPr>
            <m:nor/>
          </m:rPr>
          <w:rPr>
            <w:rFonts w:ascii="Cambria Math" w:hAnsi="Cambria Math"/>
            <w:color w:val="1F4E9E"/>
          </w:rPr>
          <m:t xml:space="preserve">2</m:t>
        </m:r>
        <m:r>
          <w:rPr>
            <w:rFonts w:ascii="Cambria Math" w:hAnsi="Cambria Math"/>
            <w:color w:val="1F4E9E"/>
          </w:rPr>
          <m:t xml:space="preserve">π</m:t>
        </m:r>
        <m:r>
          <m:rPr>
            <m:nor/>
          </m:rPr>
          <w:rPr>
            <w:rFonts w:ascii="Cambria Math" w:hAnsi="Cambria Math"/>
            <w:color w:val="1F4E9E"/>
          </w:rPr>
          <m:t xml:space="preserve">=</m:t>
        </m:r>
        <m:rad>
          <m:radPr>
            <m:degHide m:val="1"/>
            <m:ctrlPr/>
          </m:radPr>
          <m:deg/>
          <m:e>
            <m:r>
              <w:rPr>
                <w:rFonts w:ascii="Cambria Math" w:hAnsi="Cambria Math"/>
                <w:color w:val="1F4E9E"/>
              </w:rPr>
              <m:t xml:space="preserve">λ</m:t>
            </m:r>
            <m:r>
              <w:rPr>
                <w:rFonts w:ascii="Cambria Math" w:hAnsi="Cambria Math"/>
                <w:color w:val="1F4E9E"/>
              </w:rPr>
              <m:t xml:space="preserve">κ</m:t>
            </m:r>
          </m:e>
        </m:rad>
        <m:r>
          <m:rPr>
            <m:nor/>
          </m:rPr>
          <w:rPr>
            <w:rFonts w:ascii="Cambria Math" w:hAnsi="Cambria Math"/>
            <w:color w:val="1F4E9E"/>
          </w:rPr>
          <m:t xml:space="preserve">/</m:t>
        </m:r>
        <m:r>
          <m:rPr>
            <m:nor/>
          </m:rPr>
          <w:rPr>
            <w:rFonts w:ascii="Cambria Math" w:hAnsi="Cambria Math"/>
            <w:color w:val="1F4E9E"/>
          </w:rPr>
          <m:t xml:space="preserve">2</m:t>
        </m:r>
        <m:r>
          <w:rPr>
            <w:rFonts w:ascii="Cambria Math" w:hAnsi="Cambria Math"/>
            <w:color w:val="1F4E9E"/>
          </w:rPr>
          <m:t xml:space="preserve">π</m:t>
        </m:r>
      </m:oMath>
      <w:r>
        <w:rPr>
          <w:color w:val="1F4E9E"/>
        </w:rPr>
        <w:t xml:space="preserve">:</w:t>
      </w:r>
    </w:p>
    <w:p w14:paraId="73212C5D" w14:textId="77777777" w:rsidR="00205CBC" w:rsidRDefault="00000000">
      <m:oMathPara>
        <m:oMath>
          <m:eqArr>
            <m:eqArrPr>
              <m:maxDist m:val="1"/>
              <m:ctrlPr/>
            </m:eqArrPr>
            <m:e>
              <m:r>
                <w:rPr>
                  <w:rFonts w:ascii="Cambria Math" w:hAnsi="Cambria Math"/>
                  <w:color w:val="1F4E9E"/>
                </w:rPr>
                <m:t xml:space="preserve">ν</m:t>
              </m:r>
              <m:r>
                <m:rPr>
                  <m:nor/>
                </m:rPr>
                <w:rPr>
                  <w:rFonts w:ascii="Cambria Math" w:hAnsi="Cambria Math"/>
                  <w:color w:val="1F4E9E"/>
                </w:rPr>
                <m:t xml:space="preserve">=</m:t>
              </m:r>
              <m:f>
                <m:fPr>
                  <m:ctrlPr/>
                </m:fPr>
                <m:num>
                  <m:r>
                    <w:rPr>
                      <w:rFonts w:ascii="Cambria Math" w:hAnsi="Cambria Math"/>
                      <w:color w:val="1F4E9E"/>
                    </w:rPr>
                    <m:t xml:space="preserve">ω</m:t>
                  </m:r>
                </m:num>
                <m:den>
                  <m:r>
                    <m:rPr>
                      <m:nor/>
                    </m:rPr>
                    <w:rPr>
                      <w:rFonts w:ascii="Cambria Math" w:hAnsi="Cambria Math"/>
                      <w:color w:val="1F4E9E"/>
                    </w:rPr>
                    <m:t xml:space="preserve">2</m:t>
                  </m:r>
                  <m:r>
                    <w:rPr>
                      <w:rFonts w:ascii="Cambria Math" w:hAnsi="Cambria Math"/>
                      <w:color w:val="1F4E9E"/>
                    </w:rPr>
                    <m:t xml:space="preserve">π</m:t>
                  </m:r>
                </m:den>
              </m:f>
              <m:sSup>
                <m:sSupPr>
                  <m:ctrlPr/>
                </m:sSupPr>
                <m:e>
                  <m:r>
                    <w:rPr>
                      <w:rFonts w:ascii="Cambria Math" w:hAnsi="Cambria Math"/>
                      <w:color w:val="1F4E9E"/>
                    </w:rPr>
                    <m:t xml:space="preserve">e</m:t>
                  </m:r>
                </m:e>
                <m:sup>
                  <m:r>
                    <m:rPr>
                      <m:nor/>
                    </m:rPr>
                    <w:rPr>
                      <w:rFonts w:ascii="Cambria Math" w:hAnsi="Cambria Math"/>
                      <w:color w:val="1F4E9E"/>
                    </w:rPr>
                    <m:t xml:space="preserve">-</m:t>
                  </m:r>
                  <m:sSup>
                    <m:sSupPr>
                      <m:ctrlPr/>
                    </m:sSupPr>
                    <m:e>
                      <m:r>
                        <w:rPr>
                          <w:rFonts w:ascii="Cambria Math" w:hAnsi="Cambria Math"/>
                          <w:color w:val="1F4E9E"/>
                        </w:rPr>
                        <m:t xml:space="preserve">a</m:t>
                      </m:r>
                    </m:e>
                    <m:sup>
                      <m:r>
                        <m:rPr>
                          <m:nor/>
                        </m:rPr>
                        <w:rPr>
                          <w:rFonts w:ascii="Cambria Math" w:hAnsi="Cambria Math"/>
                          <w:color w:val="1F4E9E"/>
                        </w:rPr>
                        <m:t xml:space="preserve">2</m:t>
                      </m:r>
                    </m:sup>
                  </m:sSup>
                  <m:r>
                    <m:rPr>
                      <m:nor/>
                    </m:rPr>
                    <w:rPr>
                      <w:rFonts w:ascii="Cambria Math" w:hAnsi="Cambria Math"/>
                      <w:color w:val="1F4E9E"/>
                    </w:rPr>
                    <m:t xml:space="preserve">/</m:t>
                  </m:r>
                  <m:r>
                    <m:rPr>
                      <m:nor/>
                    </m:rPr>
                    <w:rPr>
                      <w:rFonts w:ascii="Cambria Math" w:hAnsi="Cambria Math"/>
                      <w:color w:val="1F4E9E"/>
                    </w:rPr>
                    <m:t xml:space="preserve">2</m:t>
                  </m:r>
                </m:sup>
              </m:sSup>
              <m:r>
                <w:rPr>
                  <w:rFonts w:ascii="Cambria Math" w:hAnsi="Cambria Math"/>
                  <w:color w:val="1F4E9E"/>
                </w:rPr>
                <m:t xml:space="preserve">#</m:t>
              </m:r>
              <m:d>
                <m:dPr>
                  <m:begChr m:val="("/>
                  <m:endChr m:val=")"/>
                  <m:ctrlPr/>
                </m:dPr>
                <m:e>
                  <m:r>
                    <m:rPr>
                      <m:nor/>
                    </m:rPr>
                    <w:rPr>
                      <w:rFonts w:ascii="Cambria Math" w:hAnsi="Cambria Math"/>
                      <w:color w:val="1F4E9E"/>
                    </w:rPr>
                    <m:t xml:space="preserve">2</m:t>
                  </m:r>
                  <m:r>
                    <m:rPr>
                      <m:nor/>
                    </m:rPr>
                    <w:rPr>
                      <w:rFonts w:ascii="Cambria Math" w:hAnsi="Cambria Math"/>
                      <w:color w:val="1F4E9E"/>
                    </w:rPr>
                    <m:t xml:space="preserve">3</m:t>
                  </m:r>
                </m:e>
              </m:d>
            </m:e>
          </m:eqArr>
        </m:oMath>
      </m:oMathPara>
    </w:p>
    <w:p w14:paraId="73212C5D" w14:textId="77777777" w:rsidR="00205CBC" w:rsidRDefault="00000000">
      <w:r>
        <w:rPr>
          <w:color w:val="1F4E9E"/>
        </w:rPr>
        <w:t xml:space="preserve">whose maximum over the standardized distance, </w:t>
      </w:r>
      <m:oMath>
        <m:r>
          <w:rPr>
            <w:rFonts w:ascii="Cambria Math" w:hAnsi="Cambria Math"/>
            <w:color w:val="1F4E9E"/>
          </w:rPr>
          <m:t xml:space="preserve">ω</m:t>
        </m:r>
        <m:r>
          <m:rPr>
            <m:nor/>
          </m:rPr>
          <w:rPr>
            <w:rFonts w:ascii="Cambria Math" w:hAnsi="Cambria Math"/>
            <w:color w:val="1F4E9E"/>
          </w:rPr>
          <m:t xml:space="preserve">/</m:t>
        </m:r>
        <m:r>
          <m:rPr>
            <m:nor/>
          </m:rPr>
          <w:rPr>
            <w:rFonts w:ascii="Cambria Math" w:hAnsi="Cambria Math"/>
            <w:color w:val="1F4E9E"/>
          </w:rPr>
          <m:t xml:space="preserve">2</m:t>
        </m:r>
        <m:r>
          <w:rPr>
            <w:rFonts w:ascii="Cambria Math" w:hAnsi="Cambria Math"/>
            <w:color w:val="1F4E9E"/>
          </w:rPr>
          <m:t xml:space="preserve">π</m:t>
        </m:r>
        <m:r>
          <m:rPr>
            <m:nor/>
          </m:rPr>
          <w:rPr>
            <w:rFonts w:ascii="Cambria Math" w:hAnsi="Cambria Math"/>
            <w:color w:val="1F4E9E"/>
          </w:rPr>
          <m:t xml:space="preserve">=</m:t>
        </m:r>
        <m:rad>
          <m:radPr>
            <m:degHide m:val="1"/>
            <m:ctrlPr/>
          </m:radPr>
          <m:deg/>
          <m:e>
            <m:r>
              <w:rPr>
                <w:rFonts w:ascii="Cambria Math" w:hAnsi="Cambria Math"/>
                <w:color w:val="1F4E9E"/>
              </w:rPr>
              <m:t xml:space="preserve">λ</m:t>
            </m:r>
            <m:r>
              <w:rPr>
                <w:rFonts w:ascii="Cambria Math" w:hAnsi="Cambria Math"/>
                <w:color w:val="1F4E9E"/>
              </w:rPr>
              <m:t xml:space="preserve">κ</m:t>
            </m:r>
          </m:e>
        </m:rad>
        <m:r>
          <m:rPr>
            <m:nor/>
          </m:rPr>
          <w:rPr>
            <w:rFonts w:ascii="Cambria Math" w:hAnsi="Cambria Math"/>
            <w:color w:val="1F4E9E"/>
          </w:rPr>
          <m:t xml:space="preserve">/</m:t>
        </m:r>
        <m:r>
          <m:rPr>
            <m:nor/>
          </m:rPr>
          <w:rPr>
            <w:rFonts w:ascii="Cambria Math" w:hAnsi="Cambria Math"/>
            <w:color w:val="1F4E9E"/>
          </w:rPr>
          <m:t xml:space="preserve">2</m:t>
        </m:r>
        <m:r>
          <w:rPr>
            <w:rFonts w:ascii="Cambria Math" w:hAnsi="Cambria Math"/>
            <w:color w:val="1F4E9E"/>
          </w:rPr>
          <m:t xml:space="preserve">π</m:t>
        </m:r>
      </m:oMath>
      <w:r>
        <w:rPr>
          <w:color w:val="1F4E9E"/>
        </w:rPr>
        <w:t xml:space="preserve">, is attained when the gate sits exactly at the maintained level. That bound holds once the fluctuation is stationary. It does not hold before: while the variance is still filling in the ceiling is higher, because the fluctuation is smooth but its amplitude is small, and it is the non-stationary form (Appendix, A.1) that must be used at the slow mean reversion Model 1 needs for a rate still rising near the end of a 3-s delay. At </w:t>
      </w:r>
      <m:oMath>
        <m:r>
          <w:rPr>
            <w:rFonts w:ascii="Cambria Math" w:hAnsi="Cambria Math"/>
            <w:color w:val="1F4E9E"/>
          </w:rPr>
          <m:t xml:space="preserve">κ</m:t>
        </m:r>
        <m:r>
          <m:rPr>
            <m:nor/>
          </m:rPr>
          <w:rPr>
            <w:rFonts w:ascii="Cambria Math" w:hAnsi="Cambria Math"/>
            <w:color w:val="1F4E9E"/>
          </w:rPr>
          <m:t xml:space="preserve">≲</m:t>
        </m:r>
        <m:r>
          <m:rPr>
            <m:nor/>
          </m:rPr>
          <w:rPr>
            <w:rFonts w:ascii="Cambria Math" w:hAnsi="Cambria Math"/>
            <w:color w:val="1F4E9E"/>
          </w:rPr>
          <m:t xml:space="preserve">0.2</m:t>
        </m:r>
      </m:oMath>
      <w:r>
        <w:rPr>
          <w:color w:val="1F4E9E"/>
        </w:rPr>
        <w:t xml:space="preserve"> s⁻¹ the variance is a quarter of its stationary value when the window opens and about seven-tenths when it closes, and the ceiling computed from the kernel is about twice the stationary expression. Even so it is small: 0.9 s⁻¹ across the range of </w:t>
      </w:r>
      <m:oMath>
        <m:r>
          <w:rPr>
            <w:rFonts w:ascii="Cambria Math" w:hAnsi="Cambria Math"/>
            <w:color w:val="1F4E9E"/>
          </w:rPr>
          <m:t xml:space="preserve">λ</m:t>
        </m:r>
      </m:oMath>
      <w:r>
        <w:rPr>
          <w:color w:val="1F4E9E"/>
        </w:rPr>
        <w:t xml:space="preserve"> in Table A1, against an observed end-of-delay rate of 1.45 s⁻¹.</w:t>
      </w:r>
    </w:p>
    <w:p w14:paraId="73212C5D" w14:textId="77777777" w:rsidR="00205CBC" w:rsidRDefault="00000000">
      <w:r>
        <w:rPr>
          <w:color w:val="1F4E9E"/>
        </w:rPr>
        <w:t xml:space="preserve">That ceiling, however, is not the constraint that binds. It is attained only when the maintained level sits exactly at the gate, and at that distance the rate is not rising but falling: the variance transient that produces any ramp at all under Model 1 raises the rate only where the signal is more than one fluctuation standard deviation from the gate, and by (23) each further standard deviation costs a factor </w:t>
      </w:r>
      <m:oMath>
        <m:sSup>
          <m:sSupPr>
            <m:ctrlPr/>
          </m:sSupPr>
          <m:e>
            <m:r>
              <w:rPr>
                <w:rFonts w:ascii="Cambria Math" w:hAnsi="Cambria Math"/>
                <w:color w:val="1F4E9E"/>
              </w:rPr>
              <m:t xml:space="preserve">e</m:t>
            </m:r>
          </m:e>
          <m:sup>
            <m:r>
              <m:rPr>
                <m:nor/>
              </m:rPr>
              <w:rPr>
                <w:rFonts w:ascii="Cambria Math" w:hAnsi="Cambria Math"/>
                <w:color w:val="1F4E9E"/>
              </w:rPr>
              <m:t xml:space="preserve">-</m:t>
            </m:r>
            <m:sSup>
              <m:sSupPr>
                <m:ctrlPr/>
              </m:sSupPr>
              <m:e>
                <m:r>
                  <w:rPr>
                    <w:rFonts w:ascii="Cambria Math" w:hAnsi="Cambria Math"/>
                    <w:color w:val="1F4E9E"/>
                  </w:rPr>
                  <m:t xml:space="preserve">a</m:t>
                </m:r>
              </m:e>
              <m:sup>
                <m:r>
                  <m:rPr>
                    <m:nor/>
                  </m:rPr>
                  <w:rPr>
                    <w:rFonts w:ascii="Cambria Math" w:hAnsi="Cambria Math"/>
                    <w:color w:val="1F4E9E"/>
                  </w:rPr>
                  <m:t xml:space="preserve">2</m:t>
                </m:r>
              </m:sup>
            </m:sSup>
            <m:r>
              <m:rPr>
                <m:nor/>
              </m:rPr>
              <w:rPr>
                <w:rFonts w:ascii="Cambria Math" w:hAnsi="Cambria Math"/>
                <w:color w:val="1F4E9E"/>
              </w:rPr>
              <m:t xml:space="preserve">/</m:t>
            </m:r>
            <m:r>
              <m:rPr>
                <m:nor/>
              </m:rPr>
              <w:rPr>
                <w:rFonts w:ascii="Cambria Math" w:hAnsi="Cambria Math"/>
                <w:color w:val="1F4E9E"/>
              </w:rPr>
              <m:t xml:space="preserve">2</m:t>
            </m:r>
          </m:sup>
        </m:sSup>
      </m:oMath>
      <w:r>
        <w:rPr>
          <w:color w:val="1F4E9E"/>
        </w:rPr>
        <w:t xml:space="preserve"> in the rate. Ramp and rate are therefore governed by the same quantity in opposite directions (Corollary A.5), and the question is not whether Model 1 can produce either but whether it can produce both at once.</w:t>
      </w:r>
    </w:p>
    <w:p w14:paraId="57EB0C57" w14:textId="77777777" w:rsidR="00205CBC" w:rsidRDefault="00000000">
      <w:r>
        <w:rPr>
          <w:b w:val="0"/>
          <w:i w:val="0"/>
          <w:color w:val="1F4E9E"/>
        </w:rPr>
        <w:t xml:space="preserve">This trade-off can be stated as a frontier rather than as a bound, by asking for the largest log-rate slope Model 1 can produce at each level of the delay-period rate, </w:t>
      </w:r>
      <w:r>
        <w:rPr>
          <w:b w:val="0"/>
          <w:i w:val="0"/>
          <w:color w:val="1F4E9E"/>
        </w:rPr>
        <w:t>maximizing over the distance to the gate and over the ranges of κ and λ in Table A1, computing the moments from the kernel rather than from their stationary limits, and estimating the slope exactly as it is estimated in the data — an offset-Poisson regression over the same twenty bins, not a secant between the ends of the window (the Appendix, A.7). Two properties of the calculation make it a bound rather than an illustration. It holds under trial-to-trial variation of the maintained level: the measured rate is a mixture over the distance to the gate, and maximizing a mixture’s slope at fixed rate is a linear programme whose solution moves the frontier by less than one per cent (Appendix, A.8). And the two effects it does not model — the merging of nearby crossings into one detected activation, and the absorption of trials that reach the response criterion — both act to lower the measured slope, not to raise it (A.10).</w:t>
      </w:r>
      <w:r>
        <w:rPr>
          <w:b w:val="0"/>
          <w:i w:val="0"/>
          <w:color w:val="1F4E9E"/>
        </w:rPr>
        <w:t xml:space="preserve"> </w:t>
      </w:r>
      <w:r>
        <w:rPr>
          <w:b w:val="0"/>
          <w:i w:val="0"/>
          <w:color w:val="1F4E9E"/>
        </w:rPr>
        <w:t>At the lowest rate observed in any participant × condition cell, 0.085 s⁻¹, Model 1 can reach a slope of +0.81 s⁻¹; at 0.2 s⁻¹ it can reach +0.40; at 0.3 s⁻¹, +0.19; at 0.4 s⁻¹, +0.05; at 0.5 s⁻¹, +0.01; and at the observed mean rate of 0.709 s⁻¹ it can reach nothing distinguishable from zero.</w:t>
      </w:r>
      <w:r>
        <w:rPr>
          <w:b w:val="0"/>
          <w:i w:val="0"/>
          <w:color w:val="1F4E9E"/>
        </w:rPr>
      </w:r>
      <w:r>
        <w:rPr>
          <w:b w:val="0"/>
          <w:i w:val="0"/>
          <w:color w:val="1F4E9E"/>
        </w:rPr>
        <w:t xml:space="preserve"> </w:t>
      </w:r>
      <w:r>
        <w:rPr>
          <w:b w:val="0"/>
          <w:i w:val="0"/>
          <w:color w:val="1F4E9E"/>
        </w:rPr>
        <w:t>The observed slope is +0.89 s⁻¹ at that rate — the mean of the per-cell, per-participant slopes, which is the quantity a simulated homogeneous process must be compared with; the slope of the profile pooled across participants is flatter (+0.82) because pooling mixes processes at different distances from the gate.</w:t>
      </w:r>
      <w:r>
        <w:rPr>
          <w:b w:val="0"/>
          <w:i w:val="0"/>
          <w:color w:val="1F4E9E"/>
        </w:rPr>
        <w:t xml:space="preserve"> Model 1 is therefore not merely quantitatively short: </w:t>
      </w:r>
      <w:r>
        <w:rPr>
          <w:b w:val="0"/>
          <w:i w:val="0"/>
          <w:color w:val="1F4E9E"/>
        </w:rPr>
      </w:r>
      <w:r>
        <w:rPr>
          <w:b w:val="0"/>
          <w:i w:val="0"/>
          <w:color w:val="1F4E9E"/>
        </w:rPr>
        <w:t>the largest rate at which it attains the observed slope anywhere in the sampled ranges is 0.069 s⁻¹ — a tenth of the observed mean, and below the 0.085 s⁻¹ of the least active participant in the least active condition. There is therefore no admissible setting of its parameters at which Model 1 produces both the observed ramp and partial activations as often as any participant produced them.</w:t>
      </w:r>
      <w:r>
        <w:rPr>
          <w:b w:val="0"/>
          <w:i w:val="0"/>
          <w:color w:val="1F4E9E"/>
        </w:rPr>
      </w:r>
      <w:r>
        <w:rPr>
          <w:b w:val="0"/>
          <w:i w:val="0"/>
          <w:color w:val="1F4E9E"/>
        </w:rPr>
      </w:r>
      <w:r>
        <w:rPr>
          <w:b w:val="0"/>
          <w:i w:val="0"/>
          <w:color w:val="1F4E9E"/>
        </w:rPr>
      </w:r>
      <w:r>
        <w:rPr>
          <w:b w:val="0"/>
          <w:i w:val="0"/>
          <w:color w:val="1F4E9E"/>
        </w:rPr>
      </w:r>
      <w:r>
        <w:rPr>
          <w:b w:val="0"/>
          <w:i w:val="0"/>
          <w:color w:val="1F4E9E"/>
        </w:rPr>
      </w:r>
      <w:r>
        <w:rPr>
          <w:b w:val="0"/>
          <w:i w:val="0"/>
          <w:color w:val="1F4E9E"/>
        </w:rPr>
        <w:t xml:space="preserve"> Because the optimum lies at the smallest κ and the largest λ the sampled ranges allow, this frontier is the most favorable one available to the model.</w:t>
      </w:r>
      <m:oMath>
        <m:f>
          <m:fPr>
            <m:ctrlPr>
              <w:rPr>
                <w:rFonts w:ascii="Cambria Math" w:hAnsi="Cambria Math"/>
                <w:i/>
                <w:color w:val="1F4E9E"/>
              </w:rPr>
            </m:ctrlPr>
          </m:fPr>
          <m:num>
            <m:r>
              <w:rPr>
                <w:rFonts w:ascii="Cambria Math" w:hAnsi="Cambria Math"/>
                <w:color w:val="1F4E9E"/>
              </w:rPr>
              <m:t>ω</m:t>
            </m:r>
          </m:num>
          <m:den>
            <m:r>
              <w:rPr>
                <w:rFonts w:ascii="Cambria Math" w:hAnsi="Cambria Math"/>
                <w:color w:val="1F4E9E"/>
              </w:rPr>
              <m:t>2π</m:t>
            </m:r>
          </m:den>
        </m:f>
        <m:r>
          <w:rPr>
            <w:rFonts w:ascii="Cambria Math" w:hAnsi="Cambria Math"/>
            <w:color w:val="1F4E9E"/>
          </w:rPr>
          <m:t xml:space="preserve"> = </m:t>
        </m:r>
        <m:f>
          <m:fPr>
            <m:ctrlPr>
              <w:rPr>
                <w:rFonts w:ascii="Cambria Math" w:hAnsi="Cambria Math"/>
                <w:i/>
                <w:color w:val="1F4E9E"/>
              </w:rPr>
            </m:ctrlPr>
          </m:fPr>
          <m:num>
            <m:rad>
              <m:radPr>
                <m:degHide m:val="1"/>
                <m:ctrlPr>
                  <w:rPr>
                    <w:rFonts w:ascii="Cambria Math" w:hAnsi="Cambria Math"/>
                    <w:i/>
                    <w:color w:val="1F4E9E"/>
                  </w:rPr>
                </m:ctrlPr>
              </m:radPr>
              <m:deg/>
              <m:e>
                <m:r>
                  <w:rPr>
                    <w:rFonts w:ascii="Cambria Math" w:hAnsi="Cambria Math"/>
                    <w:color w:val="1F4E9E"/>
                  </w:rPr>
                  <m:t>λκ</m:t>
                </m:r>
              </m:e>
            </m:rad>
          </m:num>
          <m:den>
            <m:r>
              <w:rPr>
                <w:rFonts w:ascii="Cambria Math" w:hAnsi="Cambria Math"/>
                <w:color w:val="1F4E9E"/>
              </w:rPr>
              <m:t>2π</m:t>
            </m:r>
          </m:den>
        </m:f>
      </m:oMath>
      <m:oMath>
        <m:r>
          <w:rPr>
            <w:rFonts w:ascii="Cambria Math" w:hAnsi="Cambria Math"/>
            <w:color w:val="1F4E9E"/>
          </w:rPr>
          <m:t>κ</m:t>
        </m:r>
      </m:oMath>
      <m:oMath>
        <m:r>
          <w:rPr>
            <w:rFonts w:ascii="Cambria Math" w:hAnsi="Cambria Math"/>
            <w:color w:val="1F4E9E"/>
          </w:rPr>
          <m:t xml:space="preserve">κ ≲ 0.2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oMath>
      <m:oMath>
        <m:r>
          <w:rPr>
            <w:rFonts w:ascii="Cambria Math" w:hAnsi="Cambria Math"/>
            <w:color w:val="1F4E9E"/>
          </w:rPr>
          <m:t xml:space="preserve">0.9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oMath>
      <m:oMath>
        <m:r>
          <w:rPr>
            <w:rFonts w:ascii="Cambria Math" w:hAnsi="Cambria Math"/>
            <w:color w:val="1F4E9E"/>
          </w:rPr>
          <m:t xml:space="preserve">1.45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oMath>
    </w:p>
    <w:p w14:paraId="57EB0C57" w14:textId="77777777" w:rsidR="00205CBC" w:rsidRDefault="00000000">
      <w:r>
        <w:rPr>
          <w:b w:val="0"/>
          <w:i w:val="0"/>
          <w:color w:val="1F4E9E"/>
        </w:rPr>
        <w:t xml:space="preserve">The same calculation applies to Model 2, and the contrast is the whole argument. Temporal preparation moves the gate-facing signal towards the gate, which enters the crossing-rate formula in one place only — the derivative of the signal relative to the barrier — so the frontier can be computed for that architecture too (Appendix, A.5). Bounding the ramp at three fluctuation standard deviations over the analyzed window — near the 97th percentile of the ramps the admissibility screen accepts, whose median is 0.39 and whose maximum is 8.4, so that 4% of admissible draws exceed the cap — </w:t>
      </w:r>
      <w:r>
        <w:rPr>
          <w:b w:val="0"/>
          <w:i w:val="0"/>
          <w:color w:val="1F4E9E"/>
        </w:rPr>
        <w:t>Model 2 reaches a delay-period log-rate slope of +4.05 s⁻¹ at the observed rate, against an observed +0.89; and it attains the observed slope at rates up to 6.4 s⁻¹, nine times the observed rate. Model 1 at the same rate reaches nothing distinguishable from zero, and attains the observed slope only at 0.069 s⁻¹.</w:t>
      </w:r>
      <w:r>
        <w:rPr>
          <w:b w:val="0"/>
          <w:i w:val="0"/>
          <w:color w:val="1F4E9E"/>
        </w:rPr>
        <w:t xml:space="preserve"> The two architectures are therefore not near-misses of one another: </w:t>
      </w:r>
      <w:r>
        <w:rPr>
          <w:b w:val="0"/>
          <w:i w:val="0"/>
          <w:color w:val="1F4E9E"/>
        </w:rPr>
        <w:t>one exceeds what has to be explained several times over, the other cannot reach it at any rate a participant showed.</w:t>
      </w:r>
      <w:r>
        <w:rPr>
          <w:b w:val="0"/>
          <w:i w:val="0"/>
          <w:color w:val="1F4E9E"/>
        </w:rPr>
        <w:t xml:space="preserve"> This is also why the two frontiers have a different status. For Model 1 the frontier is a bound — with no ramp the rate depends on nothing but κ, λ and the distance to the gate, all three of which are swept, and nothing outside the calculation can raise it. For Model 2 it is an upper envelope under a cap read off the screened sample, so it says what that architecture can reach, not what it typically does.</w:t>
      </w:r>
      <m:oMath>
        <m:f>
          <m:fPr>
            <m:ctrlPr>
              <w:rPr>
                <w:rFonts w:ascii="Cambria Math" w:hAnsi="Cambria Math"/>
                <w:i/>
                <w:color w:val="1F4E9E"/>
              </w:rPr>
            </m:ctrlPr>
          </m:fPr>
          <m:num>
            <m:r>
              <w:rPr>
                <w:rFonts w:ascii="Cambria Math" w:hAnsi="Cambria Math"/>
                <w:color w:val="1F4E9E"/>
              </w:rPr>
              <m:t>ω</m:t>
            </m:r>
          </m:num>
          <m:den>
            <m:r>
              <w:rPr>
                <w:rFonts w:ascii="Cambria Math" w:hAnsi="Cambria Math"/>
                <w:color w:val="1F4E9E"/>
              </w:rPr>
              <m:t>2π</m:t>
            </m:r>
          </m:den>
        </m:f>
        <m:r>
          <w:rPr>
            <w:rFonts w:ascii="Cambria Math" w:hAnsi="Cambria Math"/>
            <w:color w:val="1F4E9E"/>
          </w:rPr>
          <m:t xml:space="preserve"> = </m:t>
        </m:r>
        <m:f>
          <m:fPr>
            <m:ctrlPr>
              <w:rPr>
                <w:rFonts w:ascii="Cambria Math" w:hAnsi="Cambria Math"/>
                <w:i/>
                <w:color w:val="1F4E9E"/>
              </w:rPr>
            </m:ctrlPr>
          </m:fPr>
          <m:num>
            <m:rad>
              <m:radPr>
                <m:degHide m:val="1"/>
                <m:ctrlPr>
                  <w:rPr>
                    <w:rFonts w:ascii="Cambria Math" w:hAnsi="Cambria Math"/>
                    <w:i/>
                    <w:color w:val="1F4E9E"/>
                  </w:rPr>
                </m:ctrlPr>
              </m:radPr>
              <m:deg/>
              <m:e>
                <m:r>
                  <w:rPr>
                    <w:rFonts w:ascii="Cambria Math" w:hAnsi="Cambria Math"/>
                    <w:color w:val="1F4E9E"/>
                  </w:rPr>
                  <m:t>λκ</m:t>
                </m:r>
              </m:e>
            </m:rad>
          </m:num>
          <m:den>
            <m:r>
              <w:rPr>
                <w:rFonts w:ascii="Cambria Math" w:hAnsi="Cambria Math"/>
                <w:color w:val="1F4E9E"/>
              </w:rPr>
              <m:t>2π</m:t>
            </m:r>
          </m:den>
        </m:f>
      </m:oMath>
      <m:oMath>
        <m:r>
          <w:rPr>
            <w:rFonts w:ascii="Cambria Math" w:hAnsi="Cambria Math"/>
            <w:color w:val="1F4E9E"/>
          </w:rPr>
          <m:t>κ</m:t>
        </m:r>
      </m:oMath>
      <m:oMath>
        <m:r>
          <w:rPr>
            <w:rFonts w:ascii="Cambria Math" w:hAnsi="Cambria Math"/>
            <w:color w:val="1F4E9E"/>
          </w:rPr>
          <m:t xml:space="preserve">κ ≲ 0.2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oMath>
      <m:oMath>
        <m:r>
          <w:rPr>
            <w:rFonts w:ascii="Cambria Math" w:hAnsi="Cambria Math"/>
            <w:color w:val="1F4E9E"/>
          </w:rPr>
          <m:t xml:space="preserve">0.9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oMath>
      <m:oMath>
        <m:r>
          <w:rPr>
            <w:rFonts w:ascii="Cambria Math" w:hAnsi="Cambria Math"/>
            <w:color w:val="1F4E9E"/>
          </w:rPr>
          <m:t xml:space="preserve">1.45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oMath>
    </w:p>
    <w:p w14:paraId="73212C5D" w14:textId="77777777" w:rsidR="00205CBC" w:rsidRDefault="00000000">
      <w:r>
        <w:rPr>
          <w:color w:val="1F4E9E"/>
        </w:rPr>
        <w:t xml:space="preserve">A second, independent exclusion follows from the same calculation, and it constrains the SHAPE of the delay-period rate curve rather than its height. Under Model 1 the ramp is carried entirely by the filling-in of the maintenance variance, and that process decelerates: by Corollary A.9 the relative rate of variance growth is </w:t>
      </w:r>
      <m:oMath>
        <m:r>
          <w:rPr>
            <w:rFonts w:ascii="Cambria Math" w:hAnsi="Cambria Math"/>
            <w:color w:val="1F4E9E"/>
          </w:rPr>
          <m:t xml:space="preserve">K</m:t>
        </m:r>
        <m:sSup>
          <m:sSupPr>
            <m:ctrlPr/>
          </m:sSupPr>
          <m:e>
            <m:d>
              <m:dPr>
                <m:begChr m:val="("/>
                <m:endChr m:val=")"/>
                <m:ctrlPr/>
              </m:dPr>
              <m:e>
                <m:r>
                  <w:rPr>
                    <w:rFonts w:ascii="Cambria Math" w:hAnsi="Cambria Math"/>
                    <w:color w:val="1F4E9E"/>
                  </w:rPr>
                  <m:t xml:space="preserve">τ</m:t>
                </m:r>
              </m:e>
            </m:d>
          </m:e>
          <m:sup>
            <m:r>
              <m:rPr>
                <m:nor/>
              </m:rPr>
              <w:rPr>
                <w:rFonts w:ascii="Cambria Math" w:hAnsi="Cambria Math"/>
                <w:color w:val="1F4E9E"/>
              </w:rPr>
              <m:t xml:space="preserve">2</m:t>
            </m:r>
          </m:sup>
        </m:sSup>
        <m:r>
          <m:rPr>
            <m:nor/>
          </m:rPr>
          <w:rPr>
            <w:rFonts w:ascii="Cambria Math" w:hAnsi="Cambria Math"/>
            <w:color w:val="1F4E9E"/>
          </w:rPr>
          <m:t xml:space="preserve">/</m:t>
        </m:r>
        <m:nary>
          <m:naryPr>
            <m:chr m:val="∫"/>
            <m:limLoc m:val="subSup"/>
            <m:subHide m:val="0"/>
            <m:supHide m:val="0"/>
            <m:ctrlPr/>
          </m:naryPr>
          <m:sub>
            <m:r>
              <m:rPr>
                <m:nor/>
              </m:rPr>
              <w:rPr>
                <w:rFonts w:ascii="Cambria Math" w:hAnsi="Cambria Math"/>
                <w:color w:val="1F4E9E"/>
              </w:rPr>
              <m:t xml:space="preserve">0</m:t>
            </m:r>
          </m:sub>
          <m:sup>
            <m:r>
              <w:rPr>
                <w:rFonts w:ascii="Cambria Math" w:hAnsi="Cambria Math"/>
                <w:color w:val="1F4E9E"/>
              </w:rPr>
              <m:t xml:space="preserve">τ</m:t>
            </m:r>
          </m:sup>
          <m:e>
            <m:r>
              <w:rPr>
                <w:rFonts w:ascii="Cambria Math" w:hAnsi="Cambria Math"/>
                <w:color w:val="1F4E9E"/>
              </w:rPr>
              <m:t xml:space="preserve">K</m:t>
            </m:r>
            <m:sSup>
              <m:sSupPr>
                <m:ctrlPr/>
              </m:sSupPr>
              <m:e>
                <m:d>
                  <m:dPr>
                    <m:begChr m:val="("/>
                    <m:endChr m:val=")"/>
                    <m:ctrlPr/>
                  </m:dPr>
                  <m:e>
                    <m:r>
                      <w:rPr>
                        <w:rFonts w:ascii="Cambria Math" w:hAnsi="Cambria Math"/>
                        <w:color w:val="1F4E9E"/>
                      </w:rPr>
                      <m:t xml:space="preserve">v</m:t>
                    </m:r>
                  </m:e>
                </m:d>
              </m:e>
              <m:sup>
                <m:r>
                  <m:rPr>
                    <m:nor/>
                  </m:rPr>
                  <w:rPr>
                    <w:rFonts w:ascii="Cambria Math" w:hAnsi="Cambria Math"/>
                    <w:color w:val="1F4E9E"/>
                  </w:rPr>
                  <m:t xml:space="preserve">2</m:t>
                </m:r>
              </m:sup>
            </m:sSup>
            <m:r>
              <m:rPr>
                <m:nor/>
              </m:rPr>
              <w:rPr>
                <w:rFonts w:ascii="Cambria Math" w:hAnsi="Cambria Math"/>
                <w:color w:val="1F4E9E"/>
              </w:rPr>
              <m:t xml:space="preserve"> </m:t>
            </m:r>
            <m:r>
              <m:rPr>
                <m:nor/>
              </m:rPr>
              <w:rPr>
                <w:rFonts w:ascii="Cambria Math" w:hAnsi="Cambria Math"/>
                <w:color w:val="1F4E9E"/>
              </w:rPr>
              <m:t xml:space="preserve">d</m:t>
            </m:r>
            <m:r>
              <w:rPr>
                <w:rFonts w:ascii="Cambria Math" w:hAnsi="Cambria Math"/>
                <w:color w:val="1F4E9E"/>
              </w:rPr>
              <m:t xml:space="preserve">v</m:t>
            </m:r>
          </m:e>
        </m:nary>
      </m:oMath>
      <w:r>
        <w:rPr>
          <w:color w:val="1F4E9E"/>
        </w:rPr>
        <w:t xml:space="preserve">, which is bounded above by </w:t>
      </w:r>
      <m:oMath>
        <m:r>
          <m:rPr>
            <m:nor/>
          </m:rPr>
          <w:rPr>
            <w:rFonts w:ascii="Cambria Math" w:hAnsi="Cambria Math"/>
            <w:color w:val="1F4E9E"/>
          </w:rPr>
          <m:t xml:space="preserve">1</m:t>
        </m:r>
        <m:r>
          <m:rPr>
            <m:nor/>
          </m:rPr>
          <w:rPr>
            <w:rFonts w:ascii="Cambria Math" w:hAnsi="Cambria Math"/>
            <w:color w:val="1F4E9E"/>
          </w:rPr>
          <m:t xml:space="preserve">/</m:t>
        </m:r>
        <m:d>
          <m:dPr>
            <m:begChr m:val="("/>
            <m:endChr m:val=")"/>
            <m:ctrlPr/>
          </m:dPr>
          <m:e>
            <m:r>
              <w:rPr>
                <w:rFonts w:ascii="Cambria Math" w:hAnsi="Cambria Math"/>
                <w:color w:val="1F4E9E"/>
              </w:rPr>
              <m:t xml:space="preserve">τ</m:t>
            </m:r>
            <m:r>
              <m:rPr>
                <m:nor/>
              </m:rPr>
              <w:rPr>
                <w:rFonts w:ascii="Cambria Math" w:hAnsi="Cambria Math"/>
                <w:color w:val="1F4E9E"/>
              </w:rPr>
              <m:t xml:space="preserve">-</m:t>
            </m:r>
            <m:r>
              <m:rPr>
                <m:nor/>
              </m:rPr>
              <w:rPr>
                <w:rFonts w:ascii="Cambria Math" w:hAnsi="Cambria Math"/>
                <w:color w:val="1F4E9E"/>
              </w:rPr>
              <m:t xml:space="preserve">3</m:t>
            </m:r>
            <m:r>
              <m:rPr>
                <m:nor/>
              </m:rPr>
              <w:rPr>
                <w:rFonts w:ascii="Cambria Math" w:hAnsi="Cambria Math"/>
                <w:color w:val="1F4E9E"/>
              </w:rPr>
              <m:t xml:space="preserve">/</m:t>
            </m:r>
            <m:d>
              <m:dPr>
                <m:begChr m:val="("/>
                <m:endChr m:val=")"/>
                <m:ctrlPr/>
              </m:dPr>
              <m:e>
                <m:r>
                  <m:rPr>
                    <m:nor/>
                  </m:rPr>
                  <w:rPr>
                    <w:rFonts w:ascii="Cambria Math" w:hAnsi="Cambria Math"/>
                    <w:color w:val="1F4E9E"/>
                  </w:rPr>
                  <m:t xml:space="preserve">2</m:t>
                </m:r>
                <m:r>
                  <w:rPr>
                    <w:rFonts w:ascii="Cambria Math" w:hAnsi="Cambria Math"/>
                    <w:color w:val="1F4E9E"/>
                  </w:rPr>
                  <m:t xml:space="preserve">λ</m:t>
                </m:r>
              </m:e>
            </m:d>
          </m:e>
        </m:d>
      </m:oMath>
      <w:r>
        <w:rPr>
          <w:color w:val="1F4E9E"/>
        </w:rPr>
        <w:t xml:space="preserve"> whatever </w:t>
      </w:r>
      <m:oMath>
        <m:r>
          <w:rPr>
            <w:rFonts w:ascii="Cambria Math" w:hAnsi="Cambria Math"/>
            <w:color w:val="1F4E9E"/>
          </w:rPr>
          <m:t xml:space="preserve">κ</m:t>
        </m:r>
      </m:oMath>
      <w:r>
        <w:rPr>
          <w:color w:val="1F4E9E"/>
        </w:rPr>
        <w:t xml:space="preserve">, so the local log-rate slope must fall by at least a factor of 3.6 between the start and the end of the analyzed window, and in fact by a factor of at least 15 everywhere in the sampled ranges. Model 2 is under no such constraint: by (24) its slope is </w:t>
      </w:r>
      <m:oMath>
        <m:r>
          <w:rPr>
            <w:rFonts w:ascii="Cambria Math" w:hAnsi="Cambria Math"/>
            <w:color w:val="1F4E9E"/>
          </w:rPr>
          <m:t xml:space="preserve">b</m:t>
        </m:r>
        <m:r>
          <m:rPr>
            <m:nor/>
          </m:rPr>
          <w:rPr>
            <w:rFonts w:ascii="Cambria Math" w:hAnsi="Cambria Math"/>
            <w:color w:val="1F4E9E"/>
          </w:rPr>
          <m:t xml:space="preserve"> </m:t>
        </m:r>
        <m:r>
          <w:rPr>
            <w:rFonts w:ascii="Cambria Math" w:hAnsi="Cambria Math"/>
            <w:color w:val="1F4E9E"/>
          </w:rPr>
          <m:t xml:space="preserve">a</m:t>
        </m:r>
        <m:d>
          <m:dPr>
            <m:begChr m:val="("/>
            <m:endChr m:val=")"/>
            <m:ctrlPr/>
          </m:dPr>
          <m:e>
            <m:r>
              <w:rPr>
                <w:rFonts w:ascii="Cambria Math" w:hAnsi="Cambria Math"/>
                <w:color w:val="1F4E9E"/>
              </w:rPr>
              <m:t xml:space="preserve">τ</m:t>
            </m:r>
          </m:e>
        </m:d>
      </m:oMath>
      <w:r>
        <w:rPr>
          <w:color w:val="1F4E9E"/>
        </w:rPr>
        <w:t xml:space="preserve"> with </w:t>
      </w:r>
      <m:oMath>
        <m:r>
          <w:rPr>
            <w:rFonts w:ascii="Cambria Math" w:hAnsi="Cambria Math"/>
            <w:color w:val="1F4E9E"/>
          </w:rPr>
          <m:t xml:space="preserve">a</m:t>
        </m:r>
      </m:oMath>
      <w:r>
        <w:rPr>
          <w:color w:val="1F4E9E"/>
        </w:rPr>
        <w:t xml:space="preserve"> falling linearly, and the corresponding ratio starts at about 1.1. Measured on the data, the per-participant log-rate slopes in the four quarters of the delay window are +0.58, +0.94, +0.72 and +0.62 s⁻¹, a first-to-last ratio of 0.94 — no deceleration at all, against the factor of 15 Model 1 requires.</w:t>
      </w:r>
    </w:p>
    <w:p w14:paraId="73212C5D" w14:textId="77777777" w:rsidR="00205CBC" w:rsidRDefault="00000000">
      <w:r>
        <w:rPr>
          <w:color w:val="1F4E9E"/>
        </w:rPr>
        <w:t xml:space="preserve">The closed-form rate also predicts how the delay-period ramp should level off across cells. Under Model 2 the gate approaches the signal at the constant speed </w:t>
      </w:r>
      <m:oMath>
        <m:r>
          <w:rPr>
            <w:rFonts w:ascii="Cambria Math" w:hAnsi="Cambria Math"/>
            <w:color w:val="1F4E9E"/>
          </w:rPr>
          <m:t xml:space="preserve">β</m:t>
        </m:r>
        <m:r>
          <m:rPr>
            <m:nor/>
          </m:rPr>
          <w:rPr>
            <w:rFonts w:ascii="Cambria Math" w:hAnsi="Cambria Math"/>
            <w:color w:val="1F4E9E"/>
          </w:rPr>
          <m:t xml:space="preserve">/</m:t>
        </m:r>
        <m:r>
          <w:rPr>
            <w:rFonts w:ascii="Cambria Math" w:hAnsi="Cambria Math"/>
            <w:color w:val="1F4E9E"/>
          </w:rPr>
          <m:t xml:space="preserve">δ</m:t>
        </m:r>
      </m:oMath>
      <w:r>
        <w:rPr>
          <w:color w:val="1F4E9E"/>
        </w:rPr>
        <w:t xml:space="preserve">, so the standardized distance falls linearly, and taking logarithms in Equation (22) gives Equation (25):</w:t>
      </w:r>
    </w:p>
    <w:p w14:paraId="73212C5D" w14:textId="77777777" w:rsidR="00205CBC" w:rsidRDefault="00000000">
      <m:oMathPara>
        <m:oMath>
          <m:eqArr>
            <m:eqArrPr>
              <m:maxDist m:val="1"/>
              <m:ctrlPr/>
            </m:eqArrPr>
            <m:e>
              <m:f>
                <m:fPr>
                  <m:ctrlPr/>
                </m:fPr>
                <m:num>
                  <m:r>
                    <m:rPr>
                      <m:nor/>
                    </m:rPr>
                    <w:rPr>
                      <w:rFonts w:ascii="Cambria Math" w:hAnsi="Cambria Math"/>
                      <w:color w:val="1F4E9E"/>
                    </w:rPr>
                    <m:t xml:space="preserve">d</m:t>
                  </m:r>
                  <m:d>
                    <m:dPr>
                      <m:begChr m:val="("/>
                      <m:endChr m:val=")"/>
                      <m:ctrlPr/>
                    </m:dPr>
                    <m:e>
                      <m:r>
                        <m:rPr>
                          <m:nor/>
                        </m:rPr>
                        <w:rPr>
                          <w:rFonts w:ascii="Cambria Math" w:hAnsi="Cambria Math"/>
                          <w:color w:val="1F4E9E"/>
                        </w:rPr>
                        <m:t xml:space="preserve">ln</m:t>
                      </m:r>
                      <m:r>
                        <w:rPr>
                          <w:rFonts w:ascii="Cambria Math" w:hAnsi="Cambria Math"/>
                          <w:color w:val="1F4E9E"/>
                        </w:rPr>
                        <m:t xml:space="preserve">ν</m:t>
                      </m:r>
                    </m:e>
                  </m:d>
                </m:num>
                <m:den>
                  <m:r>
                    <m:rPr>
                      <m:nor/>
                    </m:rPr>
                    <w:rPr>
                      <w:rFonts w:ascii="Cambria Math" w:hAnsi="Cambria Math"/>
                      <w:color w:val="1F4E9E"/>
                    </w:rPr>
                    <m:t xml:space="preserve">d</m:t>
                  </m:r>
                  <m:r>
                    <w:rPr>
                      <w:rFonts w:ascii="Cambria Math" w:hAnsi="Cambria Math"/>
                      <w:color w:val="1F4E9E"/>
                    </w:rPr>
                    <m:t xml:space="preserve">τ</m:t>
                  </m:r>
                </m:den>
              </m:f>
              <m:r>
                <m:rPr>
                  <m:nor/>
                </m:rPr>
                <w:rPr>
                  <w:rFonts w:ascii="Cambria Math" w:hAnsi="Cambria Math"/>
                  <w:color w:val="1F4E9E"/>
                </w:rPr>
                <m:t xml:space="preserve">=</m:t>
              </m:r>
              <m:f>
                <m:fPr>
                  <m:ctrlPr/>
                </m:fPr>
                <m:num>
                  <m:r>
                    <w:rPr>
                      <w:rFonts w:ascii="Cambria Math" w:hAnsi="Cambria Math"/>
                      <w:color w:val="1F4E9E"/>
                    </w:rPr>
                    <m:t xml:space="preserve">β</m:t>
                  </m:r>
                </m:num>
                <m:den>
                  <m:r>
                    <w:rPr>
                      <w:rFonts w:ascii="Cambria Math" w:hAnsi="Cambria Math"/>
                      <w:color w:val="1F4E9E"/>
                    </w:rPr>
                    <m:t xml:space="preserve">δ</m:t>
                  </m:r>
                  <m:sSub>
                    <m:sSubPr>
                      <m:ctrlPr/>
                    </m:sSubPr>
                    <m:e>
                      <m:r>
                        <w:rPr>
                          <w:rFonts w:ascii="Cambria Math" w:hAnsi="Cambria Math"/>
                          <w:color w:val="1F4E9E"/>
                        </w:rPr>
                        <m:t xml:space="preserve">σ</m:t>
                      </m:r>
                    </m:e>
                    <m:sub>
                      <m:r>
                        <w:rPr>
                          <w:rFonts w:ascii="Cambria Math" w:hAnsi="Cambria Math"/>
                          <w:color w:val="1F4E9E"/>
                        </w:rPr>
                        <m:t xml:space="preserve">H</m:t>
                      </m:r>
                    </m:sub>
                  </m:sSub>
                </m:den>
              </m:f>
              <m:r>
                <w:rPr>
                  <w:rFonts w:ascii="Cambria Math" w:hAnsi="Cambria Math"/>
                  <w:color w:val="1F4E9E"/>
                </w:rPr>
                <m:t xml:space="preserve">a</m:t>
              </m:r>
              <m:d>
                <m:dPr>
                  <m:begChr m:val="("/>
                  <m:endChr m:val=")"/>
                  <m:ctrlPr/>
                </m:dPr>
                <m:e>
                  <m:r>
                    <w:rPr>
                      <w:rFonts w:ascii="Cambria Math" w:hAnsi="Cambria Math"/>
                      <w:color w:val="1F4E9E"/>
                    </w:rPr>
                    <m:t xml:space="preserve">τ</m:t>
                  </m:r>
                </m:e>
              </m:d>
              <m:r>
                <m:rPr>
                  <m:nor/>
                </m:rPr>
                <w:rPr>
                  <w:rFonts w:ascii="Cambria Math" w:hAnsi="Cambria Math"/>
                  <w:color w:val="1F4E9E"/>
                </w:rPr>
                <m:t xml:space="preserve">,</m:t>
              </m:r>
              <m:r>
                <m:rPr>
                  <m:nor/>
                </m:rPr>
                <w:rPr>
                  <w:rFonts w:ascii="Cambria Math" w:hAnsi="Cambria Math"/>
                  <w:color w:val="1F4E9E"/>
                </w:rPr>
                <m:t xml:space="preserve">  </m:t>
              </m:r>
              <m:f>
                <m:fPr>
                  <m:ctrlPr/>
                </m:fPr>
                <m:num>
                  <m:sSup>
                    <m:sSupPr>
                      <m:ctrlPr/>
                    </m:sSupPr>
                    <m:e>
                      <m:r>
                        <m:rPr>
                          <m:nor/>
                        </m:rPr>
                        <w:rPr>
                          <w:rFonts w:ascii="Cambria Math" w:hAnsi="Cambria Math"/>
                          <w:color w:val="1F4E9E"/>
                        </w:rPr>
                        <m:t xml:space="preserve">d</m:t>
                      </m:r>
                    </m:e>
                    <m:sup>
                      <m:r>
                        <m:rPr>
                          <m:nor/>
                        </m:rPr>
                        <w:rPr>
                          <w:rFonts w:ascii="Cambria Math" w:hAnsi="Cambria Math"/>
                          <w:color w:val="1F4E9E"/>
                        </w:rPr>
                        <m:t xml:space="preserve">2</m:t>
                      </m:r>
                    </m:sup>
                  </m:sSup>
                  <m:d>
                    <m:dPr>
                      <m:begChr m:val="("/>
                      <m:endChr m:val=")"/>
                      <m:ctrlPr/>
                    </m:dPr>
                    <m:e>
                      <m:r>
                        <m:rPr>
                          <m:nor/>
                        </m:rPr>
                        <w:rPr>
                          <w:rFonts w:ascii="Cambria Math" w:hAnsi="Cambria Math"/>
                          <w:color w:val="1F4E9E"/>
                        </w:rPr>
                        <m:t xml:space="preserve">ln</m:t>
                      </m:r>
                      <m:r>
                        <w:rPr>
                          <w:rFonts w:ascii="Cambria Math" w:hAnsi="Cambria Math"/>
                          <w:color w:val="1F4E9E"/>
                        </w:rPr>
                        <m:t xml:space="preserve">ν</m:t>
                      </m:r>
                    </m:e>
                  </m:d>
                </m:num>
                <m:den>
                  <m:r>
                    <m:rPr>
                      <m:nor/>
                    </m:rPr>
                    <w:rPr>
                      <w:rFonts w:ascii="Cambria Math" w:hAnsi="Cambria Math"/>
                      <w:color w:val="1F4E9E"/>
                    </w:rPr>
                    <m:t xml:space="preserve">d</m:t>
                  </m:r>
                  <m:sSup>
                    <m:sSupPr>
                      <m:ctrlPr/>
                    </m:sSupPr>
                    <m:e>
                      <m:r>
                        <w:rPr>
                          <w:rFonts w:ascii="Cambria Math" w:hAnsi="Cambria Math"/>
                          <w:color w:val="1F4E9E"/>
                        </w:rPr>
                        <m:t xml:space="preserve">τ</m:t>
                      </m:r>
                    </m:e>
                    <m:sup>
                      <m:r>
                        <m:rPr>
                          <m:nor/>
                        </m:rPr>
                        <w:rPr>
                          <w:rFonts w:ascii="Cambria Math" w:hAnsi="Cambria Math"/>
                          <w:color w:val="1F4E9E"/>
                        </w:rPr>
                        <m:t xml:space="preserve">2</m:t>
                      </m:r>
                    </m:sup>
                  </m:sSup>
                </m:den>
              </m:f>
              <m:r>
                <m:rPr>
                  <m:nor/>
                </m:rPr>
                <w:rPr>
                  <w:rFonts w:ascii="Cambria Math" w:hAnsi="Cambria Math"/>
                  <w:color w:val="1F4E9E"/>
                </w:rPr>
                <m:t xml:space="preserve">=</m:t>
              </m:r>
              <m:r>
                <m:rPr>
                  <m:nor/>
                </m:rPr>
                <w:rPr>
                  <w:rFonts w:ascii="Cambria Math" w:hAnsi="Cambria Math"/>
                  <w:color w:val="1F4E9E"/>
                </w:rPr>
                <m:t xml:space="preserve">-</m:t>
              </m:r>
              <m:sSup>
                <m:sSupPr>
                  <m:ctrlPr/>
                </m:sSupPr>
                <m:e>
                  <m:d>
                    <m:dPr>
                      <m:begChr m:val="("/>
                      <m:endChr m:val=")"/>
                      <m:ctrlPr/>
                    </m:dPr>
                    <m:e>
                      <m:f>
                        <m:fPr>
                          <m:ctrlPr/>
                        </m:fPr>
                        <m:num>
                          <m:r>
                            <w:rPr>
                              <w:rFonts w:ascii="Cambria Math" w:hAnsi="Cambria Math"/>
                              <w:color w:val="1F4E9E"/>
                            </w:rPr>
                            <m:t xml:space="preserve">β</m:t>
                          </m:r>
                        </m:num>
                        <m:den>
                          <m:r>
                            <w:rPr>
                              <w:rFonts w:ascii="Cambria Math" w:hAnsi="Cambria Math"/>
                              <w:color w:val="1F4E9E"/>
                            </w:rPr>
                            <m:t xml:space="preserve">δ</m:t>
                          </m:r>
                          <m:sSub>
                            <m:sSubPr>
                              <m:ctrlPr/>
                            </m:sSubPr>
                            <m:e>
                              <m:r>
                                <w:rPr>
                                  <w:rFonts w:ascii="Cambria Math" w:hAnsi="Cambria Math"/>
                                  <w:color w:val="1F4E9E"/>
                                </w:rPr>
                                <m:t xml:space="preserve">σ</m:t>
                              </m:r>
                            </m:e>
                            <m:sub>
                              <m:r>
                                <w:rPr>
                                  <w:rFonts w:ascii="Cambria Math" w:hAnsi="Cambria Math"/>
                                  <w:color w:val="1F4E9E"/>
                                </w:rPr>
                                <m:t xml:space="preserve">H</m:t>
                              </m:r>
                            </m:sub>
                          </m:sSub>
                        </m:den>
                      </m:f>
                    </m:e>
                  </m:d>
                </m:e>
                <m:sup>
                  <m:r>
                    <m:rPr>
                      <m:nor/>
                    </m:rPr>
                    <w:rPr>
                      <w:rFonts w:ascii="Cambria Math" w:hAnsi="Cambria Math"/>
                      <w:color w:val="1F4E9E"/>
                    </w:rPr>
                    <m:t xml:space="preserve">2</m:t>
                  </m:r>
                </m:sup>
              </m:sSup>
              <m:r>
                <w:rPr>
                  <w:rFonts w:ascii="Cambria Math" w:hAnsi="Cambria Math"/>
                  <w:color w:val="1F4E9E"/>
                </w:rPr>
                <m:t xml:space="preserve">#</m:t>
              </m:r>
              <m:d>
                <m:dPr>
                  <m:begChr m:val="("/>
                  <m:endChr m:val=")"/>
                  <m:ctrlPr/>
                </m:dPr>
                <m:e>
                  <m:r>
                    <m:rPr>
                      <m:nor/>
                    </m:rPr>
                    <w:rPr>
                      <w:rFonts w:ascii="Cambria Math" w:hAnsi="Cambria Math"/>
                      <w:color w:val="1F4E9E"/>
                    </w:rPr>
                    <m:t xml:space="preserve">2</m:t>
                  </m:r>
                  <m:r>
                    <m:rPr>
                      <m:nor/>
                    </m:rPr>
                    <w:rPr>
                      <w:rFonts w:ascii="Cambria Math" w:hAnsi="Cambria Math"/>
                      <w:color w:val="1F4E9E"/>
                    </w:rPr>
                    <m:t xml:space="preserve">5</m:t>
                  </m:r>
                </m:e>
              </m:d>
            </m:e>
          </m:eqArr>
        </m:oMath>
      </m:oMathPara>
    </w:p>
    <w:p w14:paraId="73212C5D" w14:textId="77777777" w:rsidR="00205CBC" w:rsidRDefault="00000000">
      <w:r>
        <w:rPr>
          <w:color w:val="1F4E9E"/>
        </w:rPr>
        <w:t xml:space="preserve">The log rate rises at a rate proportional to the current standardized distance to the gate, and its curvature is the negative of the square of the ramp speed in those units. That curvature depends on the parameters, but it is constant in time — the log rate is exactly a downward parabola — and identical in all six conditions, since the ramp and the fluctuation are properties of the participant and not of the condition. A cell with a higher rate has a smaller standardized distance, and therefore a shallower predicted slope: no extra mechanism is needed for the apparent leveling-off of the rate late in the 2-s, high-coherence condition, which is simply the cell with the smallest distance to the gate and so the first to flatten.</w:t>
      </w:r>
    </w:p>
    <w:p w14:paraId="73212C5D" w14:textId="77777777" w:rsidR="00205CBC" w:rsidRDefault="00000000">
      <w:r>
        <w:rPr>
          <w:color w:val="1F4E9E"/>
        </w:rPr>
        <w:t xml:space="preserve">Saturation bounds the coherence effect, and reverses the expected interaction. The maintained TARGET is capped pathwise at the internal threshold </w:t>
      </w:r>
      <m:oMath>
        <m:r>
          <w:rPr>
            <w:rFonts w:ascii="Cambria Math" w:hAnsi="Cambria Math"/>
            <w:color w:val="1F4E9E"/>
          </w:rPr>
          <m:t xml:space="preserve">θ</m:t>
        </m:r>
      </m:oMath>
      <w:r>
        <w:rPr>
          <w:color w:val="1F4E9E"/>
        </w:rPr>
        <w:t xml:space="preserve">: a trial whose first accumulation reaches </w:t>
      </w:r>
      <m:oMath>
        <m:r>
          <w:rPr>
            <w:rFonts w:ascii="Cambria Math" w:hAnsi="Cambria Math"/>
            <w:color w:val="1F4E9E"/>
          </w:rPr>
          <m:t xml:space="preserve">θ</m:t>
        </m:r>
      </m:oMath>
      <w:r>
        <w:rPr>
          <w:color w:val="1F4E9E"/>
        </w:rPr>
        <w:t xml:space="preserve"> has its target pinned there for the rest of the delay, though its signal keeps fluctuating about that target, which is what produces the crossings in the first place. On such a trial the distance to the gate is the same in every condition, and the fluctuation's law does not depend on coherence either, so the rate is coherence-independent. Writing </w:t>
      </w:r>
      <m:oMath>
        <m:r>
          <w:rPr>
            <w:rFonts w:ascii="Cambria Math" w:hAnsi="Cambria Math"/>
            <w:color w:val="1F4E9E"/>
          </w:rPr>
          <m:t xml:space="preserve">F</m:t>
        </m:r>
        <m:d>
          <m:dPr>
            <m:begChr m:val="("/>
            <m:endChr m:val=")"/>
            <m:ctrlPr/>
          </m:dPr>
          <m:e>
            <m:r>
              <w:rPr>
                <w:rFonts w:ascii="Cambria Math" w:hAnsi="Cambria Math"/>
                <w:color w:val="1F4E9E"/>
              </w:rPr>
              <m:t xml:space="preserve">D</m:t>
            </m:r>
            <m:r>
              <m:rPr>
                <m:nor/>
              </m:rPr>
              <w:rPr>
                <w:rFonts w:ascii="Cambria Math" w:hAnsi="Cambria Math"/>
                <w:color w:val="1F4E9E"/>
              </w:rPr>
              <m:t xml:space="preserve">,</m:t>
            </m:r>
            <m:r>
              <w:rPr>
                <w:rFonts w:ascii="Cambria Math" w:hAnsi="Cambria Math"/>
                <w:color w:val="1F4E9E"/>
              </w:rPr>
              <m:t xml:space="preserve">c</m:t>
            </m:r>
          </m:e>
        </m:d>
      </m:oMath>
      <w:r>
        <w:rPr>
          <w:color w:val="1F4E9E"/>
        </w:rPr>
        <w:t xml:space="preserve"> for the fraction of trials at duration </w:t>
      </w:r>
      <m:oMath>
        <m:r>
          <w:rPr>
            <w:rFonts w:ascii="Cambria Math" w:hAnsi="Cambria Math"/>
            <w:color w:val="1F4E9E"/>
          </w:rPr>
          <m:t xml:space="preserve">D</m:t>
        </m:r>
      </m:oMath>
      <w:r>
        <w:rPr>
          <w:color w:val="1F4E9E"/>
        </w:rPr>
        <w:t xml:space="preserve"> and coherence </w:t>
      </w:r>
      <m:oMath>
        <m:r>
          <w:rPr>
            <w:rFonts w:ascii="Cambria Math" w:hAnsi="Cambria Math"/>
            <w:color w:val="1F4E9E"/>
          </w:rPr>
          <m:t xml:space="preserve">c</m:t>
        </m:r>
      </m:oMath>
      <w:r>
        <w:rPr>
          <w:color w:val="1F4E9E"/>
        </w:rPr>
        <w:t xml:space="preserve"> whose target has reached </w:t>
      </w:r>
      <m:oMath>
        <m:r>
          <w:rPr>
            <w:rFonts w:ascii="Cambria Math" w:hAnsi="Cambria Math"/>
            <w:color w:val="1F4E9E"/>
          </w:rPr>
          <m:t xml:space="preserve">θ</m:t>
        </m:r>
      </m:oMath>
      <w:r>
        <w:rPr>
          <w:color w:val="1F4E9E"/>
        </w:rPr>
        <w:t xml:space="preserve">, the coherence levels converge on that common value as </w:t>
      </w:r>
      <m:oMath>
        <m:r>
          <w:rPr>
            <w:rFonts w:ascii="Cambria Math" w:hAnsi="Cambria Math"/>
            <w:color w:val="1F4E9E"/>
          </w:rPr>
          <m:t xml:space="preserve">F</m:t>
        </m:r>
        <m:d>
          <m:dPr>
            <m:begChr m:val="("/>
            <m:endChr m:val=")"/>
            <m:ctrlPr/>
          </m:dPr>
          <m:e>
            <m:r>
              <w:rPr>
                <w:rFonts w:ascii="Cambria Math" w:hAnsi="Cambria Math"/>
                <w:color w:val="1F4E9E"/>
              </w:rPr>
              <m:t xml:space="preserve">D</m:t>
            </m:r>
            <m:r>
              <m:rPr>
                <m:nor/>
              </m:rPr>
              <w:rPr>
                <w:rFonts w:ascii="Cambria Math" w:hAnsi="Cambria Math"/>
                <w:color w:val="1F4E9E"/>
              </w:rPr>
              <m:t xml:space="preserve">,</m:t>
            </m:r>
            <m:r>
              <w:rPr>
                <w:rFonts w:ascii="Cambria Math" w:hAnsi="Cambria Math"/>
                <w:color w:val="1F4E9E"/>
              </w:rPr>
              <m:t xml:space="preserve">c</m:t>
            </m:r>
          </m:e>
        </m:d>
        <m:r>
          <m:rPr>
            <m:nor/>
          </m:rPr>
          <w:rPr>
            <w:rFonts w:ascii="Cambria Math" w:hAnsi="Cambria Math"/>
            <w:color w:val="1F4E9E"/>
          </w:rPr>
          <m:t xml:space="preserve">→</m:t>
        </m:r>
        <m:r>
          <m:rPr>
            <m:nor/>
          </m:rPr>
          <w:rPr>
            <w:rFonts w:ascii="Cambria Math" w:hAnsi="Cambria Math"/>
            <w:color w:val="1F4E9E"/>
          </w:rPr>
          <m:t xml:space="preserve">1</m:t>
        </m:r>
      </m:oMath>
      <w:r>
        <w:rPr>
          <w:color w:val="1F4E9E"/>
        </w:rPr>
        <w:t xml:space="preserve">, and a longer stimulus raises </w:t>
      </w:r>
      <m:oMath>
        <m:r>
          <w:rPr>
            <w:rFonts w:ascii="Cambria Math" w:hAnsi="Cambria Math"/>
            <w:color w:val="1F4E9E"/>
          </w:rPr>
          <m:t xml:space="preserve">F</m:t>
        </m:r>
      </m:oMath>
      <w:r>
        <w:rPr>
          <w:color w:val="1F4E9E"/>
        </w:rPr>
        <w:t xml:space="preserve"> at every coherence. The model therefore predicts a coherence effect on the delay-period rate that shrinks, not grows, after a long stimulus.</w:t>
      </w:r>
    </w:p>
    <w:p w14:paraId="73212C5D" w14:textId="77777777" w:rsidR="00205CBC" w:rsidRDefault="00000000">
      <w:r>
        <w:rPr>
          <w:color w:val="1F4E9E"/>
        </w:rPr>
        <w:t xml:space="preserve">The prediction is conditional, and the condition is that the LOWEST-coherence long-duration cell be near the cap: the effect is a difference between coherences, and the cap shrinks that difference only once both of its terms are capped. Where the condition fails the prediction reverses, because below the cap the target is free and its coherence sensitivity grows with duration rather than shrinking. The condition cannot be imposed through accuracy: the contrast is taken against the zero-coherence cell, whose accuracy is one half by symmetry whatever the parameters. A second channel, not covered by the argument at all, works in the same direction. The delay window is timed from stimulus offset rather than from the crossing of </w:t>
      </w:r>
      <m:oMath>
        <m:r>
          <w:rPr>
            <w:rFonts w:ascii="Cambria Math" w:hAnsi="Cambria Math"/>
            <w:color w:val="1F4E9E"/>
          </w:rPr>
          <m:t xml:space="preserve">θ</m:t>
        </m:r>
      </m:oMath>
      <w:r>
        <w:rPr>
          <w:color w:val="1F4E9E"/>
        </w:rPr>
        <w:t xml:space="preserve">, and the crossing comes earlier at higher coherence; capped trials at high coherence have therefore been in maintenance longer when the window opens, their variance has filled in further, and their rate is higher. Measured at a mean reversion of 0.5 s⁻¹, elapsed maintenance time at the opening of the window is 2.37 s at zero coherence against 2.82 s at 50% after the long stimulus, and 1.085 against 1.132 s after the short one — a residual coherence effect that is itself larger after the long stimulus. It contributes a rate ratio of 1.21 and 1.29 in the two duration conditions at the bottom of the range of </w:t>
      </w:r>
      <m:oMath>
        <m:r>
          <w:rPr>
            <w:rFonts w:ascii="Cambria Math" w:hAnsi="Cambria Math"/>
            <w:color w:val="1F4E9E"/>
          </w:rPr>
          <m:t xml:space="preserve">κ</m:t>
        </m:r>
      </m:oMath>
      <w:r>
        <w:rPr>
          <w:color w:val="1F4E9E"/>
        </w:rPr>
        <w:t xml:space="preserve">, and vanishes above about 2 s⁻¹, so it bites in exactly the regime in which Model 1 can produce any ramp at all.</w:t>
      </w:r>
    </w:p>
    <w:p w14:paraId="5C19E057" w14:textId="77777777" w:rsidR="00205CBC" w:rsidRDefault="00000000">
      <w:pPr>
        <w:pStyle w:val="Titre3"/>
      </w:pPr>
      <w:r>
        <w:rPr>
          <w:color w:val="1F4E9E"/>
        </w:rPr>
        <w:t>Empirical results</w:t>
      </w:r>
    </w:p>
    <w:p w14:paraId="67C046AA" w14:textId="77777777" w:rsidR="00205CBC" w:rsidRDefault="00000000">
      <w:pPr>
        <w:pStyle w:val="Titre4"/>
      </w:pPr>
      <w:r>
        <w:rPr>
          <w:color w:val="1F4E9E"/>
        </w:rPr>
        <w:t>Partial muscle activation (PMA) rate</w:t>
      </w:r>
    </w:p>
    <w:p w14:paraId="5663D886" w14:textId="77777777" w:rsidR="00205CBC" w:rsidRDefault="00000000">
      <w:r>
        <w:rPr>
          <w:color w:val="1F4E9E"/>
        </w:rPr>
        <w:t xml:space="preserve"> Figure 4A shows that PMA rate continued to increase during the delay period. This increase is best attributed to temporal preparation: the time bin × motion coherence interaction, a diagnostic marker of evidence accumulation, was no longer significant in this window  (linear-trend equivalent: </w:t>
      </w:r>
      <w:r>
        <w:rPr>
          <w:color w:val="1F4E9E"/>
        </w:rPr>
        <w:t>F(1.70, 35.61) = 0.524, p = .567</w:t>
      </w:r>
      <w:r>
        <w:rPr>
          <w:color w:val="1F4E9E"/>
        </w:rPr>
        <w:t xml:space="preserve">, ηp² = 0.024; Table S2) and did not interact with duration  (linear-trend equivalent: </w:t>
      </w:r>
      <w:r>
        <w:rPr>
          <w:color w:val="1F4E9E"/>
        </w:rPr>
        <w:t>F(1.74, 36.45) = 0.508, p = .580</w:t>
      </w:r>
      <w:r>
        <w:rPr>
          <w:color w:val="1F4E9E"/>
        </w:rPr>
        <w:t xml:space="preserve">, ηp² = 0.024; Table S2), whereas the main effect of time bin remained significant  (linear-trend equivalent: F(1,21) = 35.238, p &lt; .001, ηp² = 0.627; Table S2), indicating continued ramping. An unbinned, point-process analysis of exact activation onset times confirms this ramp directly (Table S5): the log-rate slope was significantly positive (two-stage F(1,21) = 102.95, p &lt; .001) and shallower after a long stimulus and at high coherence, </w:t>
      </w:r>
      <w:r>
        <w:rPr>
          <w:color w:val="1F4E9E"/>
        </w:rPr>
        <w:t xml:space="preserve">both expected under accumulation to an internal threshold. The binned and unbinned analyses are testing different quantities here, and are not in conflict: the trend contrast above asks whether the raw rate ramps at a coherence-dependent rate, and it does not, whereas the point-process estimate asks whether the log rate does, which </w:t>
      </w:r>
      <w:r>
        <w:rPr>
          <w:color w:val="1F4E9E"/>
        </w:rPr>
        <w:t>Equation (25)</w:t>
      </w:r>
      <w:r>
        <w:rPr>
          <w:color w:val="1F4E9E"/>
        </w:rPr>
        <w:t xml:space="preserve"> requires that it should — a cell with a higher rate has by construction a smaller standardized distance to the gate and therefore a shallower log-rate slope. The residual coherence dependence of the log-rate slope accordingly runs in the direction saturation predicts, shallower at high coherence, and not in the direction continued motion-evidence accumulation would predict, so neither test implies that accumulation is still under way during the delay. Model 1,</w:t>
      </w:r>
      <w:r>
        <w:rPr>
          <w:color w:val="1F4E9E"/>
        </w:rPr>
        <w:t xml:space="preserve"> which has no temporal-preparation </w:t>
      </w:r>
      <w:r>
        <w:rPr>
          <w:color w:val="1F4E9E"/>
        </w:rPr>
        <w:t>ramp, cannot account for this pattern alone. A significant time bin × duration interaction was also observed: PMA rate was generally higher in the 2 s than in the 0.3 s condition (F(1,21) = 33.19, p &lt; .001, ηp² = 0.612), and this difference increased over time  (linear-trend equivalent: F(1,21) = 11.898, p = .002, ηp² = 0.362; Table S2) — the reverse of the ordering seen during the stimulus period, consistent with the different temporal alignment of the two windows (evidence accumulation has barely started by stimulus offset in the 0.3 s condition, but has typically already reached threshold in the 2 s condition). Finally, a duration × motion coherence interaction (</w:t>
      </w:r>
      <w:r>
        <w:rPr>
          <w:color w:val="1F4E9E"/>
        </w:rPr>
        <w:t>F(1.92, 40.42) = 3.474, p = .042</w:t>
      </w:r>
      <w:r>
        <w:rPr>
          <w:color w:val="1F4E9E"/>
        </w:rPr>
        <w:t xml:space="preserve">, ηp² = 0.142) showed a larger coherence effect on delay-period PMA rate after the 2 s than after the 0.3 s stimulus — </w:t>
      </w:r>
      <w:r>
        <w:rPr>
          <w:color w:val="1F4E9E"/>
        </w:rPr>
        <w:t>the opposite of what the model predicts (Theoretical predictions, above), and the opposite direction</w:t>
      </w:r>
      <w:r>
        <w:rPr>
          <w:color w:val="1F4E9E"/>
        </w:rPr>
        <w:t xml:space="preserve"> to the coherence effect on mean PMET, where the 0.3 s condition showed the larger effect. Two candidate explanations for this reversal — selective exclusion of the most prepared high-coherence trials via anticipatory-response removal, and a strategic reduction of temporal preparation as motor preparation approached the gate — are both unlikely to hold: the anticipatory-response rate was too low to account for the size of the reversal (Figure S1), and the model shows that the apparent leveling-off of the rate late in the 2 s, high-coherence condition requires no strategic adjustment, since a higher rate corresponds by construction to a smaller distance to the gate and therefore </w:t>
      </w:r>
      <w:r>
        <w:rPr>
          <w:color w:val="1F4E9E"/>
        </w:rPr>
        <w:t>a shallower log-rate slope (</w:t>
      </w:r>
      <w:r>
        <w:rPr>
          <w:color w:val="1F4E9E"/>
        </w:rPr>
        <w:t>Equation (25)</w:t>
      </w:r>
      <w:r>
        <w:rPr>
          <w:color w:val="1F4E9E"/>
        </w:rPr>
        <w:t>, above). We therefore withdraw</w:t>
      </w:r>
      <w:r>
        <w:rPr>
          <w:color w:val="1F4E9E"/>
        </w:rPr>
        <w:t xml:space="preserve"> the strategic-reduction account and instead report the coherence × duration interaction on delay-period PMA rate as a genuine point of disagreement between the model and the data (see Discussion), </w:t>
      </w:r>
      <w:r>
        <w:rPr>
          <w:color w:val="1F4E9E"/>
        </w:rPr>
      </w:r>
      <w:r>
        <w:rPr>
          <w:color w:val="1F4E9E"/>
        </w:rPr>
        <w:t>not a failure of parameter choice that a different setting would resolve</w:t>
      </w:r>
      <w:r>
        <w:rPr>
          <w:color w:val="1F4E9E"/>
        </w:rPr>
        <w:t xml:space="preserve">: because the maintained level is capped at the internal threshold θ, the model predicts a coherence effect on delay-period rate that shrinks, not grows, after a long stimulus, at every parameter setting </w:t>
      </w:r>
      <w:r>
        <w:rPr>
          <w:color w:val="1F4E9E"/>
        </w:rPr>
        <w:t>compatible with the observed level of decision accuracy (Theoretical predictions, above).</w:t>
      </w:r>
    </w:p>
    <w:p w14:paraId="4F7674AE" w14:textId="77777777" w:rsidR="00205CBC" w:rsidRDefault="00000000">
      <w:r>
        <w:rPr>
          <w:color w:val="1F4E9E"/>
        </w:rPr>
        <w:t xml:space="preserve">Figure S2 shows this relation directly in the data, </w:t>
      </w:r>
      <w:r>
        <w:rPr>
          <w:color w:val="1F4E9E"/>
        </w:rPr>
        <w:t>independent of any model fit</w:t>
      </w:r>
      <w:r>
        <w:rPr>
          <w:color w:val="1F4E9E"/>
        </w:rPr>
        <w:t xml:space="preserve">: the six delay-period log-rate profiles (left) and, across the six stimulus-duration × coherence cells, the negative relation between a cell's rate and its log-rate slope (right), as </w:t>
      </w:r>
      <w:r>
        <w:rPr>
          <w:color w:val="1F4E9E"/>
        </w:rPr>
        <w:t>Equation (25)</w:t>
      </w:r>
      <w:r>
        <w:rPr>
          <w:color w:val="1F4E9E"/>
        </w:rPr>
        <w:t xml:space="preserve"> requires.</w:t>
      </w:r>
    </w:p>
    <w:p w14:paraId="0E8B5A86" w14:textId="77777777" w:rsidR="00205CBC" w:rsidRDefault="00000000">
      <w:pPr>
        <w:pStyle w:val="Titre4"/>
      </w:pPr>
      <w:r>
        <w:rPr>
          <w:color w:val="1F4E9E"/>
        </w:rPr>
        <w:t>Mu–beta lateralization (MBL)</w:t>
      </w:r>
    </w:p>
    <w:p w14:paraId="131C8506" w14:textId="77777777" w:rsidR="00205CBC" w:rsidRDefault="00000000">
      <w:r>
        <w:t>Unlike the PMA rate, MBL amplitude showed a slight decrease before transitioning to sustained activity, at least in the highest coherence conditions. During the delay, sustained MBL activity increased over time</w:t>
      </w:r>
      <w:r>
        <w:rPr>
          <w:color w:val="1F4E9E"/>
        </w:rPr>
        <w:t xml:space="preserve"> (main effect of time bin;  [linear-trend equivalent: F(1,21) = 7.107, p = .014, ηp² = 0.253; Table S3]</w:t>
      </w:r>
      <w:r>
        <w:t>), suggesting that MBL also reflects temporal preparation. In contrast to the PMA rate, none of the effects of motion coherence or duration reached statistical significance</w:t>
      </w:r>
      <w:r>
        <w:rPr>
          <w:color w:val="1F4E9E"/>
        </w:rPr>
        <w:t xml:space="preserve"> (coherence: F(1.29,27.12) = 1.257, p = .285; duration: F(1,21) = 3.177, p = .089)</w:t>
      </w:r>
      <w:r>
        <w:t>.</w:t>
      </w:r>
      <w:r>
        <w:rPr>
          <w:color w:val="1F4E9E"/>
        </w:rPr>
        <w:t xml:space="preserve"> As for the LRP, this coherence-independent delay-period ramp discriminates the two models: Model 1 predicts no systematic change in MBL amplitude across the delay, whereas Model 2 predicts the sustained increase observed here.</w:t>
      </w:r>
    </w:p>
    <w:p w14:paraId="4827EF73" w14:textId="77777777" w:rsidR="00205CBC" w:rsidRDefault="00000000">
      <w:pPr>
        <w:pStyle w:val="Titre4"/>
      </w:pPr>
      <w:r>
        <w:rPr>
          <w:color w:val="1F4E9E"/>
        </w:rPr>
        <w:lastRenderedPageBreak/>
        <w:t>Lateralized readiness potential (LRP)</w:t>
      </w:r>
    </w:p>
    <w:p w14:paraId="3F19F86D" w14:textId="77777777" w:rsidR="00205CBC" w:rsidRDefault="00000000">
      <w:r>
        <w:t>During the delay, however, the analysis showed a clear effect of time bin</w:t>
      </w:r>
      <w:r>
        <w:rPr>
          <w:color w:val="1F4E9E"/>
        </w:rPr>
        <w:t xml:space="preserve"> (linear-trend equivalent: F(1,21) = 14.338, p = .001, ηp² = 0.406; Table S2)</w:t>
      </w:r>
      <w:r>
        <w:t>: the LRP became progressively more negative, consistent with temporal preparation for the upcoming response. This coherence-independent ramping activity persisted after the RS</w:t>
      </w:r>
      <w:r>
        <w:rPr>
          <w:color w:val="1F4E9E"/>
        </w:rPr>
        <w:t xml:space="preserve"> (F(1,21) = 14.076, p = .001, ηp² = 0.401)</w:t>
      </w:r>
      <w:r>
        <w:t xml:space="preserve"> and reached its largest negative amplitude at the time of the response</w:t>
      </w:r>
      <w:r>
        <w:rPr>
          <w:color w:val="1F4E9E"/>
        </w:rPr>
        <w:t xml:space="preserve"> (F(1,21) = 54.331, p &lt; .001, ηp² = 0.721). This coherence-independent delay-period ramp is itself diagnostic between the two models: Model 1, which has no temporal-preparation process, predicts a flat LRP throughout the delay, whereas Model 2 predicts the progressive ramp observed here.</w:t>
      </w:r>
      <w:r>
        <w:t xml:space="preserve"> These findings are partially consistent with our hypothesis. Although the LRP primarily reflects the final stage of motor preparation, it also indexes temporal preparation during the delay for the selected response, suggesting that the underlying neural circuits are informed about the outcome of the motion evidence accumulation process.</w:t>
      </w:r>
    </w:p>
    <w:p w14:paraId="625C4BC8" w14:textId="77777777" w:rsidR="00205CBC" w:rsidRDefault="00000000">
      <w:pPr>
        <w:pStyle w:val="Titre3"/>
      </w:pPr>
      <w:r>
        <w:rPr>
          <w:color w:val="1F4E9E"/>
        </w:rPr>
        <w:t>Simulation validation</w:t>
      </w:r>
    </w:p>
    <w:p w14:paraId="09D41DDD" w14:textId="77777777" w:rsidR="00205CBC" w:rsidRDefault="00000000">
      <w:pPr>
        <w:pStyle w:val="Titre4"/>
      </w:pPr>
      <w:r>
        <w:rPr>
          <w:color w:val="1F4E9E"/>
        </w:rPr>
        <w:t>Model 2, not Model 1, predicts the observed delay-period ramp</w:t>
      </w:r>
    </w:p>
    <w:p w14:paraId="298A5179" w14:textId="77777777" w:rsidR="00205CBC" w:rsidRDefault="00000000">
      <w:r>
        <w:rPr>
          <w:color w:val="1F4E9E"/>
        </w:rPr>
        <w:t xml:space="preserve">Behavior left the two models nearly indistinguishable (Behavior, above), as the shared architecture implies it must. The delay-period rate profile is where they separate, </w:t>
      </w:r>
      <w:r>
        <w:rPr>
          <w:color w:val="1F4E9E"/>
        </w:rPr>
        <w:t>and it is a quantity that plays no part in fixing any of the parameter ranges.</w:t>
      </w:r>
      <w:r>
        <w:rPr>
          <w:color w:val="1F4E9E"/>
        </w:rPr>
      </w:r>
      <w:r>
        <w:rPr>
          <w:color w:val="1F4E9E"/>
        </w:rPr>
      </w:r>
    </w:p>
    <w:p w14:paraId="3A644C8C" w14:textId="77777777" w:rsidR="00205CBC" w:rsidRDefault="00000000">
      <w:r>
        <w:rPr>
          <w:b w:val="0"/>
          <w:i w:val="0"/>
          <w:color w:val="1F4E9E"/>
        </w:rPr>
        <w:t>This is the one window in which the two models’ ranges separate cleanly (Figure S5, right-hand panels). Two quantities have to be reproduced together here: the rate at which partial activations occur during the delay, and the slope of its logarithm. Over the admissible draws Model 1’s slope is centred near zero (median −0.02 s⁻¹, 5th to 95th percentile −0.20 to +0.09) and Model 2’s is positive (median +0.27, −0.06 to +1.98). Classified against their Monte-Carlo error, Model 1’s slope is significantly positive at 3% of its settings, significantly negative at 39%, and indistinguishable from zero at the remaining 58%; Model 2’s is significantly positive at 81%, negative at 5%, and flat at 14%. The distinction matters for what is being claimed: Model 1 does not generally produce a falling rate, which would be a different and weaker failure — it produces a flat one, which is exactly what a stationary architecture should produce and what the data contradict. Model 2 produces all six cell slopes significantly positive in 76 of its 148 admissible draws while Model 1 does so in none of its 164. Requiring both quantities at once is decisive, and is what the frontier of the preceding section predicts. No draw of Model 1 reaches the observed slope range at any rate; 16 draws of Model 2 do.</w:t>
      </w:r>
    </w:p>
    <w:p w14:paraId="3A644C8C" w14:textId="77777777" w:rsidR="00205CBC" w:rsidRDefault="00000000">
      <w:r>
        <w:rPr>
          <w:b w:val="0"/>
          <w:i w:val="0"/>
          <w:color w:val="1F4E9E"/>
        </w:rPr>
        <w:t>Figure S3 shows this directly. The two quantities are on the two axes, the frontier of the preceding section is the boundary of what Model 1 can produce, and the observation lies far outside it. Two features of the picture do not read off it directly. Model 1’s draws lie along the bottom of the plot at every rate, which is the frontier holding. And Model 2’s draws that reach the observed slope sit mostly at low rates — of the eighteen, all but two fall below 0.4 s⁻¹ — so while Model 2 can reproduce the ramp and the rate together where Model 1 cannot do so anywhere, it does this in a thin part of its sampled space. Restricted to draws whose rate brackets the observed one, neither model’s median profile rises as steeply as the data (Figure S4). That is a residual for Model 2, and it is the same residual the saturation argument above identifies from the other side.</w:t>
      </w:r>
    </w:p>
    <w:p w14:paraId="3A644C8C" w14:textId="77777777" w:rsidR="00205CBC" w:rsidRDefault="00000000">
      <w:r>
        <w:rPr>
          <w:b w:val="0"/>
          <w:i w:val="0"/>
          <w:color w:val="1F4E9E"/>
        </w:rPr>
        <w:t xml:space="preserve">Because the largest slope over a set of noisy draws is biased upward, the draws that came closest were re-simulated at twenty times the trial count, on three independent seeds each. The result separates the two ways a draw can fail. </w:t>
      </w:r>
      <w:r>
        <w:rPr>
          <w:b w:val="0"/>
          <w:i w:val="0"/>
          <w:color w:val="1F4E9E"/>
        </w:rPr>
      </w:r>
      <w:r>
        <w:rPr>
          <w:b w:val="0"/>
          <w:i w:val="0"/>
          <w:color w:val="1F4E9E"/>
        </w:rPr>
        <w:t>Model 1’s draws that produce a rate at or above the lowest one observed in any participant × condition cell (0.12 to 1.06 s⁻¹) have slopes between −0.007 and +0.009 s⁻¹, with Monte-Carlo standard errors of 0.031 or less: not a small ramp, but no ramp. Its draws that do produce a ramp — +0.13, +0.14 and +0.28 s⁻¹ — do so at rates of 0.041 to 0.073 s⁻¹, all of them below that lowest observed rate. The two routes agree on the same threshold: the frontier puts the largest rate compatible with the observed slope at 0.069 s⁻¹, and no re-simulated draw ramps above 0.073 s⁻¹.</w:t>
      </w:r>
      <w:r>
        <w:rPr>
          <w:b w:val="0"/>
          <w:i w:val="0"/>
          <w:color w:val="1F4E9E"/>
        </w:rPr>
        <w:t xml:space="preserve"> </w:t>
      </w:r>
      <w:r>
        <w:rPr>
          <w:b w:val="0"/>
          <w:i w:val="0"/>
          <w:color w:val="1F4E9E"/>
        </w:rPr>
        <w:t>Six draws whose first-pass slopes had looked positive at a realistic rate (+0.02 to +0.16) fell to between −0.007 and +0.009 on re-simulation, which is what the upward bias of a maximum looks like when it is checked. The sampled space and the closed-form frontier therefore agree, by independent routes, on where the boundary lies:</w:t>
      </w:r>
      <w:r>
        <w:rPr>
          <w:b w:val="0"/>
          <w:i w:val="0"/>
          <w:color w:val="1F4E9E"/>
        </w:rPr>
        <w:t xml:space="preserve"> Model 1’s difficulty is not that it cannot generate a ramp, but that it cannot generate one while also generating partial activations at the observed rate.</w:t>
      </w:r>
    </w:p>
    <w:p w14:paraId="3A644C8C" w14:textId="77777777" w:rsidR="00205CBC" w:rsidRDefault="00000000">
      <w:r>
        <w:rPr>
          <w:b w:val="0"/>
          <w:i w:val="0"/>
          <w:color w:val="1F4E9E"/>
        </w:rPr>
        <w:t xml:space="preserve">The spread across draws is a property of the architecture and not of the simulation. Re-simulating forty admissible draws per model on four independent seeds each and decomposing the variance of the delay-period slope </w:t>
      </w:r>
      <w:r>
        <w:rPr>
          <w:b w:val="0"/>
          <w:i w:val="0"/>
          <w:color w:val="1F4E9E"/>
        </w:rPr>
        <w:t>gives, for Model 1, a total standard deviation of 0.073 s⁻¹ of which 0.032 is Monte-Carlo and 0.066 between draws, and for Model 2 a total of 1.40 s⁻¹ of which 0.048 is Monte-Carlo and 1.40 between draws. Model 1’s slope is thus not merely centered near zero but pinned there: the whole span of its admissible parameter space moves it about a twentieth as much as Model 2’s space moves Model 2’s.</w:t>
      </w:r>
    </w:p>
    <w:p w14:paraId="168B8045" w14:textId="77777777" w:rsidR="00205CBC" w:rsidRDefault="00000000">
      <w:r>
        <w:rPr>
          <w:b w:val="0"/>
          <w:i w:val="0"/>
          <w:color w:val="1F4E9E"/>
        </w:rPr>
        <w:t>Figure S4 shows this at the level of the rate curve itself, and shows it across the parameter space rather than at one setting: every admissible parameter set of Model 1 gives a delay-period profile that is flat or declining, while Model 2’s fan out, many of them tracking the observed rise and beyond. This is the same statement as the frontier, seen in the time domain rather than as a pair of summary numbers.</w:t>
      </w:r>
    </w:p>
    <w:p w14:paraId="168B8045" w14:textId="77777777" w:rsidR="00205CBC" w:rsidRDefault="00000000">
      <w:r>
        <w:rPr>
          <w:b w:val="0"/>
          <w:i w:val="0"/>
          <w:color w:val="1F4E9E"/>
        </w:rPr>
        <w:t>One further quantity in this window is the paper’s clearest disagreement with its own model. Saturation of the maintained level predicts the coherence effect on the delay-period rate to shrink after a long stimulus; the data show it growing. Measured as the coherence effect after the 2 s stimulus minus the coherence effect after the 0.3 s stimulus, the observed value is +0.107 ± 0.051 s⁻¹, whereas the 5th to 95th percentiles of the admissible draws run from −0.764 to +0.001 s⁻¹ for Model 1 and −0.741 to +0.017 s⁻¹ for Model 2. The effect is significantly of the observed sign at 4% and 7% of admissible settings against significantly opposite at 85% and 87%. This is the one effect on which both architectures commit themselves clearly and both are wrong, and it is not a matter of parameter choice that some other setting in the same regime would repair.</w:t>
      </w:r>
    </w:p>
    <w:p w14:paraId="168B8045" w14:textId="77777777" w:rsidR="00205CBC" w:rsidRDefault="00000000">
      <w:r>
        <w:rPr>
          <w:b w:val="0"/>
          <w:i w:val="0"/>
          <w:color w:val="1F4E9E"/>
        </w:rPr>
        <w:t xml:space="preserve">The few settings that do produce the observed sign say what the disagreement costs. They are not scattered: they sit in one corner of the space, at the top of the range of the commitment threshold θ and the bottom of the range of the first-stage gain k, and in that corner the maintained level does not saturate. At 12% coherence a typical admissible draw has crossed θ before stimulus offset on 99% of long-duration trials; in this corner it has done so on 55 to 67% of them, and on essentially none of the short-duration trials. Proposition A.3 is derived from saturation, so where saturation fails the prediction has no premise and the interaction is free to reverse — which is what happens. The same corner supplies the two or three per cent of settings at which </w:t>
      </w:r>
      <w:r>
        <w:rPr>
          <w:b w:val="0"/>
          <w:i w:val="0"/>
          <w:color w:val="1F4E9E"/>
        </w:rPr>
        <w:t>the response-time interaction above</w:t>
      </w:r>
      <w:r>
        <w:rPr>
          <w:b w:val="0"/>
          <w:i w:val="0"/>
          <w:color w:val="1F4E9E"/>
        </w:rPr>
        <w:t xml:space="preserve"> comes out with the wrong sign. Within these architectures the observed growth of the coherence effect across the delay can be obtained, but only by giving up the saturation of the maintained level — which is the mechanism the rest of the account rests on. Nothing in the admissible space delivers both.</w:t>
      </w:r>
    </w:p>
    <w:p w14:paraId="00C48B25" w14:textId="77777777" w:rsidR="00205CBC" w:rsidRDefault="00000000">
      <w:pPr>
        <w:pStyle w:val="Titre2"/>
      </w:pPr>
      <w:r>
        <w:rPr>
          <w:color w:val="1F4E9E"/>
        </w:rPr>
        <w:t>RS-locked</w:t>
      </w:r>
    </w:p>
    <w:p w14:paraId="0F1AC723" w14:textId="77777777" w:rsidR="00205CBC" w:rsidRDefault="00000000">
      <w:pPr>
        <w:pStyle w:val="Titre3"/>
      </w:pPr>
      <w:r>
        <w:rPr>
          <w:color w:val="1F4E9E"/>
        </w:rPr>
        <w:t>Theoretical predictions</w:t>
      </w:r>
    </w:p>
    <w:p w14:paraId="11564224" w14:textId="77777777" w:rsidR="00205CBC" w:rsidRDefault="00000000">
      <w:r>
        <w:rPr>
          <w:color w:val="1F4E9E"/>
        </w:rPr>
      </w:r>
      <w:r>
        <w:rPr>
          <w:color w:val="1F4E9E"/>
        </w:rPr>
        <w:t>Both models predict an increase in mean response time</w:t>
      </w:r>
      <w:r>
        <w:rPr>
          <w:color w:val="1F4E9E"/>
        </w:rPr>
        <w:t xml:space="preserve"> following reductions in stimulus discriminability or duration, and predicts that this effect should be evident only in mean pre-motor execution time (PMET) — the interval from RS onset to muscle-activation onset — whereas mean motor execution time (MET) should remain unchanged (Fig. 1). The rate of partial muscle activations is predicted to fall after the response signal: the second-stage accumulation now sweeps the maintained signal toward the response criterion, so a gate crossing is far more likely to continue on to the response than to fall back below it, and trials are progressively absorbed as this stage proceeds; the decline should accordingly be steeper in whichever condition had the higher rate at response-signal onset — the long-duration condition.</w:t>
      </w:r>
    </w:p>
    <w:p w14:paraId="35341571" w14:textId="77777777" w:rsidR="00205CBC" w:rsidRDefault="00000000">
      <w:pPr>
        <w:pStyle w:val="Titre3"/>
      </w:pPr>
      <w:r>
        <w:rPr>
          <w:color w:val="1F4E9E"/>
        </w:rPr>
        <w:t>Empirical results</w:t>
      </w:r>
    </w:p>
    <w:p w14:paraId="2A274E48" w14:textId="77777777" w:rsidR="00205CBC" w:rsidRDefault="00000000">
      <w:pPr>
        <w:pStyle w:val="Titre4"/>
      </w:pPr>
      <w:r>
        <w:t>Motion coherence and duration both modulate mean PMET but not mean MET</w:t>
      </w:r>
    </w:p>
    <w:p w14:paraId="40F2E128" w14:textId="77777777" w:rsidR="00205CBC" w:rsidRDefault="00000000">
      <w:r>
        <w:tab/>
        <w:t>Mean PMET and mean MET (see Fig. 2 for their definition) for each experimental condition are shown in Figures 3C and 3D, respectively. Mean PMET exhibited the same pattern of statistical effects as mean RT</w:t>
      </w:r>
      <w:r>
        <w:rPr>
          <w:color w:val="1F4E9E"/>
        </w:rPr>
        <w:t xml:space="preserve"> (</w:t>
      </w:r>
      <w:r>
        <w:rPr>
          <w:color w:val="1F4E9E"/>
        </w:rPr>
        <w:t>duration: F(1,21) = 69.60, p &lt; .001, ηp² = 0.768; coherence: F(1.60,33.50) = 14.00, p &lt; .001, ηp² = 0.400; duration × coherence: F(1.72,36.14) = 3.58, p = .045, ηp² = 0.145</w:t>
      </w:r>
      <w:r>
        <w:rPr>
          <w:color w:val="1F4E9E"/>
        </w:rPr>
        <w:t>)</w:t>
      </w:r>
      <w:r>
        <w:t>. In contrast, mean MET was not significantly affected by any experimental factor</w:t>
      </w:r>
      <w:r>
        <w:rPr>
          <w:color w:val="1F4E9E"/>
        </w:rPr>
        <w:t xml:space="preserve"> (</w:t>
      </w:r>
      <w:r>
        <w:rPr>
          <w:color w:val="1F4E9E"/>
        </w:rPr>
        <w:t>duration: F(1,21) = 1.09, p = .307, ηp² = 0.050; coherence: F(1.51,31.73) = 0.62, p = .499, ηp² = 0.029; duration × coherence: F(1.86,39.12) = 2.44, p = .104, ηp² = 0.104</w:t>
      </w:r>
      <w:r>
        <w:rPr>
          <w:color w:val="1F4E9E"/>
        </w:rPr>
        <w:t>)</w:t>
      </w:r>
      <w:r>
        <w:t xml:space="preserve">. These findings are consistent with the general predictions of the extended evidence accumulation theory. The motion coherence × duration interaction observed for mean PMET reflected a larger motion coherence effect in the 0.3 s condition than in the 2 s condition. This pattern suggests that coherence-related </w:t>
      </w:r>
      <w:r>
        <w:lastRenderedPageBreak/>
        <w:t>differences in the starting point of the second accumulation phase were smaller in the 2 s condition than in the 0.3 s condition.</w:t>
      </w:r>
    </w:p>
    <w:p w14:paraId="40B4982E" w14:textId="77777777" w:rsidR="00205CBC" w:rsidRDefault="00000000">
      <w:pPr>
        <w:pStyle w:val="Titre4"/>
      </w:pPr>
      <w:r>
        <w:rPr>
          <w:color w:val="1F4E9E"/>
        </w:rPr>
        <w:t>Partial muscle activation (PMA) rate</w:t>
      </w:r>
    </w:p>
    <w:p w14:paraId="6B3EFA5E" w14:textId="77777777" w:rsidR="00205CBC" w:rsidRDefault="00000000">
      <w:r>
        <w:t>As predicted, the PMA rate decreased after RS onset, because the strong drive produced by the second phase of accumulation reduces the probability that motor preparatory activity exceeding gating inhibition remains partial rather than culminating in an overt response.</w:t>
      </w:r>
      <w:r>
        <w:rPr>
          <w:strike/>
          <w:color w:val="B00000"/>
        </w:rPr>
        <w:t xml:space="preserve"> Accordingly, the ANOVAs conducted on both the RS period (0–0.2 s relative to RS onset) and the response period (-0.2–0 s relative to the response) showed a main effect of time bin. There was also a significant time bin × duration interaction, reflecting a steeper decrease in PMA rate in the 2 s than in the 0.3 s condition. This pattern is largely a consequence of the higher PMA rate at RS onset in the 2 s condition.</w:t>
      </w:r>
      <w:r>
        <w:t xml:space="preserve"> Coherence-related effects were not significant despite the numerical trend noted in the previous paragraph, possibly due to limited power given that only two bins were considered.</w:t>
      </w:r>
      <w:r>
        <w:rPr>
          <w:color w:val="1F4E9E"/>
        </w:rPr>
        <w:t xml:space="preserve"> Accordingly, the ANOVA on the RS period (0–0.2 s relative to RS onset) showed a main effect of time bin (F(1,21) = 21.96, p &lt; .001, ηp² = 0.511), a significant time bin × duration interaction (F(1,21) = 7.046, p = .015, ηp² = 0.251) reflecting a steeper decrease in PMA rate in the 2 s than in the 0.3 s condition — largely a consequence of the higher PMA rate at RS onset in the 2 s condition — and no significant coherence-related effect (F(1.56,32.82) = 1.159, p = .315).</w:t>
      </w:r>
    </w:p>
    <w:p w14:paraId="6A17EA4C" w14:textId="77777777" w:rsidR="00205CBC" w:rsidRDefault="00000000">
      <w:pPr>
        <w:pStyle w:val="Titre4"/>
      </w:pPr>
      <w:r>
        <w:rPr>
          <w:color w:val="1F4E9E"/>
        </w:rPr>
        <w:t>Mu–beta lateralization (MBL)</w:t>
      </w:r>
    </w:p>
    <w:p w14:paraId="32845315" w14:textId="77777777" w:rsidR="00205CBC" w:rsidRDefault="00000000">
      <w:r>
        <w:t>After RS onset, MBL amplitude did not show any clear modulation</w:t>
      </w:r>
      <w:r>
        <w:rPr>
          <w:color w:val="1F4E9E"/>
        </w:rPr>
        <w:t xml:space="preserve"> (F(1,21) = 0.059, p = .810).</w:t>
      </w:r>
    </w:p>
    <w:p w14:paraId="19740E92" w14:textId="77777777" w:rsidR="00205CBC" w:rsidRDefault="00000000">
      <w:pPr>
        <w:pStyle w:val="Titre4"/>
      </w:pPr>
      <w:r>
        <w:rPr>
          <w:color w:val="1F4E9E"/>
        </w:rPr>
        <w:t>Lateralized readiness potential (LRP)</w:t>
      </w:r>
    </w:p>
    <w:p w14:paraId="145FA486" w14:textId="77777777" w:rsidR="00205CBC" w:rsidRDefault="00000000">
      <w:r>
        <w:t>This coherence-independent ramping activity persisted after the RS</w:t>
      </w:r>
      <w:r>
        <w:rPr>
          <w:color w:val="1F4E9E"/>
        </w:rPr>
        <w:t xml:space="preserve"> (F(1,21) = 14.076, p = .001, ηp² = 0.401).</w:t>
      </w:r>
    </w:p>
    <w:p w14:paraId="343765F9" w14:textId="77777777" w:rsidR="00205CBC" w:rsidRDefault="00000000">
      <w:pPr>
        <w:pStyle w:val="Titre3"/>
      </w:pPr>
      <w:r>
        <w:rPr>
          <w:color w:val="1F4E9E"/>
        </w:rPr>
        <w:lastRenderedPageBreak/>
        <w:t>Simulation validation</w:t>
      </w:r>
    </w:p>
    <w:p w14:paraId="4C4FCB43" w14:textId="77777777" w:rsidR="00205CBC" w:rsidRDefault="00000000">
      <w:r>
        <w:rPr>
          <w:color w:val="1F4E9E"/>
        </w:rPr>
      </w:r>
      <w:r>
        <w:rPr>
          <w:color w:val="1F4E9E"/>
        </w:rPr>
        <w:t>The closed-form rate of the Appendix does not apply</w:t>
      </w:r>
      <w:r>
        <w:rPr>
          <w:color w:val="1F4E9E"/>
        </w:rPr>
        <w:t xml:space="preserve"> after the response signal: the criterion now acts as an absorbing barrier, and conditioning on survival destroys the Gaussianity on which </w:t>
      </w:r>
      <w:r>
        <w:rPr>
          <w:color w:val="1F4E9E"/>
        </w:rPr>
        <w:t>Equation (22)</w:t>
      </w:r>
      <w:r>
        <w:rPr>
          <w:color w:val="1F4E9E"/>
        </w:rPr>
        <w:t xml:space="preserve"> depends, so the partial-activation-rate decline predicted above is not supplemented by a model-simulated curve for this window.</w:t>
      </w:r>
    </w:p>
    <w:p w14:paraId="4C4FCB43" w14:textId="77777777" w:rsidR="00205CBC" w:rsidRDefault="00000000">
      <w:r>
        <w:rPr>
          <w:b w:val="0"/>
          <w:i w:val="0"/>
          <w:color w:val="1F4E9E"/>
        </w:rPr>
        <w:t xml:space="preserve">The parameter-space evaluation does constrain this window through the dissociation between the two components of response time. The conditions are predicted to move the premotor component and to leave the motor component alone, since nothing in either architecture makes the passage from the gate to the response criterion depend on coherence or duration. In the data the duration effect on premotor execution time was +49 ± 6 ms and </w:t>
      </w:r>
      <w:r>
        <w:rPr>
          <w:b w:val="0"/>
          <w:i w:val="0"/>
          <w:color w:val="1F4E9E"/>
        </w:rPr>
        <w:t>the duration effect on motor execution time was −0.5 ± 0.8 ms</w:t>
      </w:r>
      <w:r>
        <w:rPr>
          <w:b w:val="0"/>
          <w:i w:val="0"/>
          <w:color w:val="1F4E9E"/>
        </w:rPr>
        <w:t xml:space="preserve">. </w:t>
      </w:r>
      <w:r>
        <w:rPr>
          <w:b w:val="0"/>
          <w:i w:val="0"/>
          <w:color w:val="1F4E9E"/>
        </w:rPr>
        <w:t xml:space="preserve">Both architectures produce the premotor effect (Model 1, 3 to 108 ms; Model 2, 2 to 126 ms) </w:t>
      </w:r>
      <w:r>
        <w:rPr>
          <w:b w:val="0"/>
          <w:i w:val="0"/>
          <w:color w:val="1F4E9E"/>
        </w:rPr>
        <w:t>and both leave the motor component nearly alone (−46 to 0 ms and −62 to −1 ms). The dissociation is therefore reproduced, though not exactly: the models do not leave the motor component strictly alone. Its duration effect is significantly below zero at 87% and 86% of admissible settings, with medians of −5 and −8 ms, where the data give an effect indistinguishable from zero. The discrepancy is small — a few milliseconds on a component whose mean is 161 ms — but it is systematic, and it says that the passage from the gate to the response criterion is slightly faster in the simulation after the short stimulus than after the long one, whereas in the muscle it is not.</w:t>
      </w:r>
      <w:r>
        <w:rPr>
          <w:b w:val="0"/>
          <w:i w:val="0"/>
          <w:color w:val="1F4E9E"/>
        </w:rPr>
        <w:t xml:space="preserve"> It remains a weak test of the architectures, for a reason that is worth the reader’s attention: before the admissibility screen was given a criterion on the two components’ levels, the same ranges ran to −183 and −730 ms. What makes the present ranges narrow is the screen, not the architecture.</w:t>
      </w:r>
    </w:p>
    <w:p w14:paraId="2C359FF5" w14:textId="77777777" w:rsidR="00205CBC" w:rsidRDefault="00000000">
      <w:pPr>
        <w:pStyle w:val="Titre2"/>
      </w:pPr>
      <w:r>
        <w:rPr>
          <w:color w:val="1F4E9E"/>
        </w:rPr>
        <w:t>Response-locked</w:t>
      </w:r>
    </w:p>
    <w:p w14:paraId="204652F2" w14:textId="77777777" w:rsidR="00205CBC" w:rsidRDefault="00000000">
      <w:pPr>
        <w:pStyle w:val="Titre3"/>
      </w:pPr>
      <w:r>
        <w:rPr>
          <w:color w:val="1F4E9E"/>
        </w:rPr>
        <w:t>Theoretical predictions</w:t>
      </w:r>
    </w:p>
    <w:p w14:paraId="44E8D8B1" w14:textId="77777777" w:rsidR="00205CBC" w:rsidRDefault="00000000">
      <w:r>
        <w:rPr>
          <w:color w:val="1F4E9E"/>
        </w:rPr>
        <w:t>The same account of the RS-locked partial-activation decline (above) predicts that it continues into the response period.</w:t>
      </w:r>
    </w:p>
    <w:p w14:paraId="33CDE2C8" w14:textId="77777777" w:rsidR="00205CBC" w:rsidRDefault="00000000">
      <w:pPr>
        <w:pStyle w:val="Titre3"/>
      </w:pPr>
      <w:r>
        <w:rPr>
          <w:color w:val="1F4E9E"/>
        </w:rPr>
        <w:t>Empirical results</w:t>
      </w:r>
    </w:p>
    <w:p w14:paraId="7C81DC62" w14:textId="77777777" w:rsidR="00205CBC" w:rsidRDefault="00000000">
      <w:pPr>
        <w:pStyle w:val="Titre4"/>
      </w:pPr>
      <w:r>
        <w:rPr>
          <w:color w:val="1F4E9E"/>
        </w:rPr>
        <w:t>Partial muscle activation (PMA) rate</w:t>
      </w:r>
    </w:p>
    <w:p w14:paraId="1CF0919E" w14:textId="77777777" w:rsidR="00205CBC" w:rsidRDefault="00000000">
      <w:r>
        <w:rPr>
          <w:color w:val="1F4E9E"/>
        </w:rPr>
        <w:t>The decrease in partial-activation rate that begins at RS onset (see RS-locked, above) continues into the response period. The partial-activation rate in the 0.1-s bin immediately preceding the button press (–0.1 to 0 s) is exactly zero for every participant and condition: this is expected on structural grounds, since a partial muscle activation is by definition an activation that precedes the burst producing the response, and that burst begins on average about 160 ms before the press. The response period is therefore analyzed on its single informative bin (–0.2 to –0.1 s; Methods), with three effects rather than seven: duration has a significant main effect, F(1,21) = 7.61, p = .012, ηp² = 0.266, indicating a higher partial-activation rate in the 200 ms before the response after a 2-s than after a 0.3-s stimulus, while coherence and the duration × coherence interaction remain non-significant (coherence: F(1.90,39.98) = 1.85, p = .173; interaction: F(1.86,39.10) = 0.34, p = .697). The duration effect therefore agrees with the RS period, and the account given above for the RS-period decline extends to the response period as well.</w:t>
      </w:r>
    </w:p>
    <w:p w14:paraId="540F112C" w14:textId="77777777" w:rsidR="00205CBC" w:rsidRDefault="00000000">
      <w:pPr>
        <w:pStyle w:val="Titre4"/>
      </w:pPr>
      <w:r>
        <w:rPr>
          <w:color w:val="1F4E9E"/>
        </w:rPr>
        <w:t>Mu–beta lateralization (MBL)</w:t>
      </w:r>
    </w:p>
    <w:p w14:paraId="6112965B" w14:textId="77777777" w:rsidR="00205CBC" w:rsidRDefault="00000000">
      <w:r>
        <w:rPr>
          <w:color w:val="1F4E9E"/>
        </w:rPr>
        <w:t xml:space="preserve">MBL amplitude showed </w:t>
      </w:r>
      <w:r>
        <w:t>an attenuation before the response that was independent of the experimental factors</w:t>
      </w:r>
      <w:r>
        <w:rPr>
          <w:color w:val="1F4E9E"/>
        </w:rPr>
        <w:t xml:space="preserve"> (time: F(1,21) = 11.66, p = .003, ηp² = 0.357; duration: F(1,21) = 0.006, p = .937; coherence: </w:t>
      </w:r>
      <w:r>
        <w:rPr>
          <w:color w:val="1F4E9E"/>
        </w:rPr>
        <w:t>F(1.95, 40.91) = 0.364, p = .692</w:t>
      </w:r>
      <w:r>
        <w:rPr>
          <w:color w:val="1F4E9E"/>
        </w:rPr>
        <w:t xml:space="preserve">). </w:t>
      </w:r>
      <w:r>
        <w:t>We do not interpret this effect further, as the temporal resolution of MBL is too low to support reliable inferences during the RS and response periods.</w:t>
      </w:r>
    </w:p>
    <w:p w14:paraId="211F04F1" w14:textId="77777777" w:rsidR="00205CBC" w:rsidRDefault="00000000">
      <w:pPr>
        <w:pStyle w:val="Titre4"/>
      </w:pPr>
      <w:r>
        <w:rPr>
          <w:color w:val="1F4E9E"/>
        </w:rPr>
        <w:t>Lateralized readiness potential (LRP)</w:t>
      </w:r>
    </w:p>
    <w:p w14:paraId="3E0D49E6" w14:textId="77777777" w:rsidR="00205CBC" w:rsidRDefault="00000000">
      <w:r>
        <w:rPr>
          <w:color w:val="1F4E9E"/>
        </w:rPr>
        <w:t xml:space="preserve">The LRP </w:t>
      </w:r>
      <w:r>
        <w:t>reached its largest negative amplitude at the time of the response</w:t>
      </w:r>
      <w:r>
        <w:rPr>
          <w:color w:val="1F4E9E"/>
        </w:rPr>
        <w:t xml:space="preserve"> (F(1,21) = 54.331, p &lt; .001, ηp² = 0.721).</w:t>
      </w:r>
    </w:p>
    <w:p w14:paraId="798269EA" w14:textId="77777777" w:rsidR="0013106D" w:rsidRDefault="00D43234" w:rsidP="00FB45DD">
      <w:pPr>
        <w:pStyle w:val="Titre1"/>
        <w:spacing w:before="480"/>
      </w:pPr>
      <w:r w:rsidRPr="00D43234">
        <w:t>Discussion</w:t>
      </w:r>
    </w:p>
    <w:p w14:paraId="1B26297A" w14:textId="77777777" w:rsidR="00BF3075" w:rsidRDefault="0049361F" w:rsidP="0049361F">
      <w:r>
        <w:tab/>
        <w:t xml:space="preserve">A central question for evidence accumulation models is how a decision is preserved when commitment and action are separated in time. A simple possibility is that the choice formed during stimulus presentation is stored and released when action is permitted. The present findings argue against this passive storage-and-release view. Replicating previous work (Achard et al., 2025; Rogge et al., 2022), mean RT increased as motion coherence or duration decreased, even though RT </w:t>
      </w:r>
      <w:r>
        <w:lastRenderedPageBreak/>
        <w:t>was measured from RS onset, 3 s after stimulus offset. Delayed report latency therefore remained tied to prior motion evidence.</w:t>
      </w:r>
    </w:p>
    <w:p w14:paraId="2211DD5A" w14:textId="77777777" w:rsidR="009A78E1" w:rsidRDefault="00BF3075" w:rsidP="00962996">
      <w:pPr>
        <w:pStyle w:val="NormalWeb"/>
      </w:pPr>
      <w:r>
        <w:rPr>
          <w:color w:val="1F4E9E"/>
        </w:rPr>
        <w:tab/>
        <w:t xml:space="preserve">The key contribution of this study is to identify the motor-preparatory mechanisms underlying this behavioral effect. EMG was particularly informative, giving single-trial access to two complementary events: PMAs, a time-resolved proxy of motor preparatory activity, and the onset of response-related muscle activation, which allowed RT to be fractionated into PMET and MET (Coles et al., 1985; </w:t>
      </w:r>
      <w:r>
        <w:rPr>
          <w:color w:val="1F4E9E"/>
        </w:rPr>
        <w:lastRenderedPageBreak/>
        <w:t>Servant et al., 2021). PMAs were nearly absent in the opposite channel but clearly expressed in the response-associated one, indicating effector-selective preparation rather than nonspecific muscular noise. PMA rate increased during stimulus presentation with a buildup rate that scaled with motion coherence, consistent with evidence accumulation at the motor-preparatory level, as also described in non-human primate reaching decisions (Cisek &amp; Kalaska, 2005; Donner et al., 2009; Kelly &amp; O’Connell, 2013; Rogge et al., 2022; Selen et al., 2012); remained elevated throughout the delay, indicating a sustained motor preparatory state; and decreased after RS onset, consistent with a second accumulation phase that adds drive to this state and pushes activity toward an overt response rather than remaining partial. These observations support the core proposal that sensory evidence is accumulated and transmitted to motor circuits, where it is maintained until action is permitted. This is the empirical counterpart of the mouse/primate correspondence anticipated in the Introduction (Inagaki et al., 2022; Churchland &amp; Shenoy, 2024): a selective, maintained motor-preparatory state that is separable, both in its dynamics and at RS onset, from the non-selective drive that culminates in the overt response.</w:t>
      </w:r>
    </w:p>
    <w:p w14:paraId="226589BB" w14:textId="77777777" w:rsidR="00613990" w:rsidRDefault="00DF4E4D" w:rsidP="00905AFC">
      <w:pPr>
        <w:pStyle w:val="NormalWeb"/>
      </w:pPr>
      <w:r>
        <w:tab/>
      </w:r>
      <w:r w:rsidR="00893856">
        <w:t xml:space="preserve">RT fractionation then linked this preparatory state to delayed report latency and helped adjudicate between the two candidate models laid out in the Introduction, explaining why motion coherence and duration modulate mean RT. Within the theory, PMET indexes the starting point of the second accumulation phase relative to gating inhibition, whereas MET is the time from muscle-activation onset to response. The finding that coherence and duration modulated mean PMET, but not mean MET, localizes the behavioral effects to processes preceding muscle-activation onset and indicates that these factors affected the starting point of the second accumulation phase. </w:t>
      </w:r>
    </w:p>
    <w:p w14:paraId="2C61A214" w14:textId="77777777" w:rsidR="009C3C7D" w:rsidRDefault="00613990" w:rsidP="00905AFC">
      <w:pPr>
        <w:pStyle w:val="NormalWeb"/>
      </w:pPr>
      <w:r>
        <w:tab/>
        <w:t xml:space="preserve">The critical question is therefore why this starting point varied across conditions. The delay-period PMA dynamics point to Model 2: PMA rate ramped throughout the delay without the coherence-dependent buildup rate seen during the stimulus — inconsistent with Model 1, where delay-period activity should simply reflect the state reached at motion offset, but expected if temporal preparation for the RS adds to that state, in line with work on anticipatory motor activity (Burle et al., 2010; Heideman et al., 2018; Ramayya et al., 2025). Motion duration also affected decision accuracy, not just </w:t>
      </w:r>
      <w:r>
        <w:lastRenderedPageBreak/>
        <w:t>delayed report latency, with higher accuracy in the 2 s than the 0.3 s condition at intermediate coherence: longer stimuli therefore improved the evidence-dependent state itself, not merely the time available for temporal preparation. The coherence × duration interaction observed for mean PMET provides convergent behavioral evidence for this joint contribution of evidence-dependent maintenance and temporal preparation; the analogous interaction on delay-period PMA rate points the same qualitative way but, as discussed below, is a model limitation rather than independent support.</w:t>
      </w:r>
    </w:p>
    <w:p w14:paraId="38939642" w14:textId="77777777" w:rsidR="007D0193" w:rsidRDefault="00613990" w:rsidP="007D4B3C">
      <w:pPr>
        <w:pStyle w:val="NormalWeb"/>
      </w:pPr>
      <w:r>
        <w:rPr>
          <w:color w:val="1F4E9E"/>
        </w:rPr>
        <w:tab/>
        <w:t xml:space="preserve">The motion coherence × duration interaction on delay-period PMA rate — larger in the 2 s than in the 0.3 s condition — further specifies how motion duration shaped the state inherited from the first accumulation phase. This seemed at first compatible with both models: extra evidence in the 2 s condition could let high-coherence trials reach threshold and pin while lower-coherence trials lagged, amplifying the coherence effect (Mazurek et al., 2003; Kiani et al., 2008). But this contradicts the account given above for PMET and RT, where the maintained level's coherence-related differences shrink after a 2-s stimulus because most trials have reached threshold (Results); the same logic predicts the PMA-rate coherence effect should shrink too, not grow. </w:t>
      </w:r>
      <w:r>
        <w:rPr>
          <w:color w:val="1F4E9E"/>
        </w:rPr>
      </w:r>
      <w:r>
        <w:rPr>
          <w:color w:val="1F4E9E"/>
        </w:rPr>
        <w:t>The parameter-space evaluation confirms this:</w:t>
      </w:r>
      <w:r>
        <w:rPr>
          <w:color w:val="1F4E9E"/>
        </w:rPr>
        <w:t xml:space="preserve"> at every parameter setting compatible with observed accuracy, the delay-period coherence effect is smaller after 2 s than 0.3 s </w:t>
      </w:r>
      <w:r>
        <w:rPr>
          <w:color w:val="1F4E9E"/>
        </w:rPr>
        <w:t>(Results; the Appendix)</w:t>
      </w:r>
      <w:r>
        <w:rPr>
          <w:color w:val="1F4E9E"/>
        </w:rPr>
        <w:t xml:space="preserve"> — opposite to what is observed. We therefore treat this interaction as a model limitation rather than support for it, and no longer read it as evidence for Model 2 over Model 1.</w:t>
      </w:r>
    </w:p>
    <w:p w14:paraId="10F83646" w14:textId="77777777" w:rsidR="008420E1" w:rsidRDefault="00273CFA" w:rsidP="008420E1">
      <w:pPr>
        <w:pStyle w:val="NormalWeb"/>
      </w:pPr>
      <w:r>
        <w:tab/>
        <w:t>The EEG results complement this picture. MBL tracked motion-evidence accumulation early in the stimulus period, with a coherence-dependent buildup rate confined to the first second before saturating; MBL then remained sustained during the delay while continuing to increase — consistent with alpha-/beta-band lateralization carrying decision-related information into motor cortex before response implementation (Rogge et al., 2022; Twomey et al., 2016), and refined here by showing this sustained state is also shaped by temporal preparation for the expected RS. The LRP showed a different profile: it did not reliably track motion-evidence accumulation, but ramped during the delay, continued after RS onset, and reached its largest amplitude near the response — so temporal preparation was not confined to upstream motor representations, but also shaped later-stage effector-selective motor preparation.</w:t>
      </w:r>
    </w:p>
    <w:p w14:paraId="1D46DC2C" w14:textId="77777777" w:rsidR="008420E1" w:rsidRPr="008420E1" w:rsidRDefault="009A2BA9" w:rsidP="008420E1">
      <w:pPr>
        <w:pStyle w:val="NormalWeb"/>
      </w:pPr>
      <w:r>
        <w:tab/>
        <w:t>This hierarchical pattern helps explain why PMA rate was the most integrative and sensitive readout of motor preparation here. MBL captured evidence-dependent buildup and delay-period temporal preparation; the LRP captured temporal preparation and later-stage motor preparation; but neither revealed the full coherence- and duration-dependent structure that PMA rate did across the stimulus, delay, and post-RS periods — likely because PMAs are single-trial events measured directly from muscle, with a higher signal-to-noise ratio than scalp EEG. PMA rate is therefore a promising tool for studying how decision evidence, temporal expectation, urgency, inhibitory control, and action constraints jointly shape motor preparation (Balsdon et al., 2023; Dendauw et al., 2024; Ramayya et al., 2025; Rogge et al., 2022; Servant et al., 2021), and a natural next step is to use it to constrain formal models of threshold-reaching probability and temporal preparation.</w:t>
      </w:r>
    </w:p>
    <w:p w14:paraId="42793510" w14:textId="77777777" w:rsidR="00205CBC" w:rsidRDefault="00000000">
      <w:r>
        <w:rPr>
          <w:b w:val="0"/>
          <w:i w:val="0"/>
          <w:color w:val="1F4E9E"/>
        </w:rPr>
        <w:t>The modeling in this paper does and does not establish. No parameter is estimated from these data: the predictions tested are ordinal, derived analytically (Appendix), and claimed to hold at every admissible parameter setting, and the parameter-space evaluation checks that claim over the ranges of Table A1 rather than at a single point. Nothing below is therefore a statement about any participant’s parameters, and no parameter value is interpreted. What the evaluation does establish is a difference in what the two architectures can produce at all: over the admissible space, the model without temporal preparation cannot generate a delay-period ramp of the observed size while also generating partial activations at the observed rate, and the closed-form frontier of the Appendix shows why — the two are governed by the same quantity in opposite directions. In this design PMA rate was therefore not merely the most sensitive measure examined but the only one that separated the two architectures at all.</w:t>
      </w:r>
    </w:p>
    <w:p w14:paraId="3EF57FAE" w14:textId="77777777" w:rsidR="00205CBC" w:rsidRDefault="00000000">
      <w:r>
        <w:rPr>
          <w:color w:val="1F4E9E"/>
        </w:rPr>
        <w:t xml:space="preserve">A model limitation deserves mention: the coherence × duration interaction on delay-period PMA rate could not be reproduced in the observed direction (above) — </w:t>
      </w:r>
      <w:r>
        <w:rPr>
          <w:color w:val="1F4E9E"/>
        </w:rPr>
        <w:t>a genuine disagreement between the architecture and the data.</w:t>
      </w:r>
      <w:r>
        <w:rPr>
          <w:color w:val="1F4E9E"/>
        </w:rPr>
      </w:r>
      <w:r>
        <w:rPr>
          <w:color w:val="1F4E9E"/>
        </w:rPr>
      </w:r>
    </w:p>
    <w:p w14:paraId="6B2FFA05" w14:textId="77777777" w:rsidR="00205CBC" w:rsidRDefault="00000000">
      <w:r>
        <w:rPr>
          <w:color w:val="1F4E9E"/>
        </w:rPr>
        <w:t>A scope condition concerns the coherence range: we sampled three levels (0%, 12%, and 50%), coarser than the five- or six-level logarithmic series more commonly used to characterize psychometric and chronometric functions in random-dot motion studies (e.g., 3.2–51.2%: Roitman &amp; Shadlen, 2002; 6.4–51.2%: Kiani et al., 2008). This was sufficient to establish the coherence-dependent effects reported here, though not their full functional form. A second concerns delay length, fixed here at 3 s: companion data (Achard et al., 2025) show the same build-up preserved across 3–7 s delays when the response mapping is foreknown, but largely absent when revealed only at the RS.</w:t>
      </w:r>
    </w:p>
    <w:p w14:paraId="2A977A6B" w14:textId="77777777" w:rsidR="009A2BA9" w:rsidRPr="008420E1" w:rsidRDefault="009A2BA9" w:rsidP="007D4B3C">
      <w:pPr>
        <w:pStyle w:val="NormalWeb"/>
        <w:sectPr w:rsidR="009A2BA9" w:rsidRPr="008420E1" w:rsidSect="00D82F03">
          <w:pgSz w:w="11906" w:h="16838"/>
          <w:pgMar w:top="1418" w:right="1418" w:bottom="1418" w:left="1418" w:header="709" w:footer="709" w:gutter="0"/>
          <w:lnNumType w:countBy="1" w:restart="continuous"/>
          <w:cols w:space="708"/>
          <w:docGrid w:linePitch="360"/>
        </w:sectPr>
      </w:pPr>
      <w:r>
        <w:tab/>
        <w:t xml:space="preserve">In conclusion, delayed decision reports are not generated by storing an abstract completed choice and releasing it on demand. Instead, prior sensory evidence remains embodied in motor preparatory circuits, where it is maintained, reshaped by temporal expectations, and converted into overt action when the appropriate signal appears. By combining RT fractionation, PMA dynamics, and EEG markers of cortical motor preparation, the present study shows how </w:t>
      </w:r>
      <w:r>
        <w:lastRenderedPageBreak/>
        <w:t>evidence accumulation can bridge perception, decision maintenance, and action, reframing motor preparation as an active substrate of decision maintenance rather than a passive buffer.</w:t>
      </w:r>
    </w:p>
    <w:p w14:paraId="1040243B" w14:textId="77777777" w:rsidR="00CF1D54" w:rsidRDefault="00D43234" w:rsidP="00A30742">
      <w:pPr>
        <w:pStyle w:val="Titre1"/>
        <w:spacing w:after="0"/>
        <w:jc w:val="center"/>
      </w:pPr>
      <w:r>
        <w:lastRenderedPageBreak/>
        <w:t>Figures</w:t>
      </w:r>
    </w:p>
    <w:p w14:paraId="07BA983F" w14:textId="77777777" w:rsidR="00A30742" w:rsidRPr="00CF1D54" w:rsidRDefault="00A30742" w:rsidP="008C4732">
      <w:pPr>
        <w:rPr>
          <w:b/>
          <w:sz w:val="28"/>
        </w:rPr>
      </w:pPr>
      <w:r>
        <w:rPr>
          <w:noProof/>
        </w:rPr>
        <w:drawing>
          <wp:inline distT="0" distB="0" distL="0" distR="0" wp14:anchorId="3BE63EEC" wp14:editId="0B08BA6E">
            <wp:extent cx="5760720" cy="20153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720" cy="2015360"/>
                    </a:xfrm>
                    <a:prstGeom prst="rect">
                      <a:avLst/>
                    </a:prstGeom>
                  </pic:spPr>
                </pic:pic>
              </a:graphicData>
            </a:graphic>
          </wp:inline>
        </w:drawing>
      </w:r>
      <w:r>
        <w:br/>
      </w:r>
      <w:r>
        <w:rPr>
          <w:noProof/>
        </w:rPr>
        <w:drawing>
          <wp:inline distT="0" distB="0" distL="0" distR="0" wp14:anchorId="68E4C781" wp14:editId="2BC68CE3">
            <wp:extent cx="5760720" cy="20153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720" cy="2015360"/>
                    </a:xfrm>
                    <a:prstGeom prst="rect">
                      <a:avLst/>
                    </a:prstGeom>
                  </pic:spPr>
                </pic:pic>
              </a:graphicData>
            </a:graphic>
          </wp:inline>
        </w:drawing>
      </w:r>
    </w:p>
    <w:p w14:paraId="1C6F4DD4" w14:textId="77777777" w:rsidR="00EB090A" w:rsidRPr="00A53F1A" w:rsidRDefault="00625EB4" w:rsidP="00A53F1A">
      <w:pPr>
        <w:spacing w:line="276" w:lineRule="auto"/>
        <w:rPr>
          <w:iCs/>
          <w:sz w:val="22"/>
          <w:szCs w:val="22"/>
        </w:rPr>
        <w:sectPr w:rsidR="00EB090A" w:rsidRPr="00A53F1A">
          <w:pgSz w:w="11906" w:h="16838"/>
          <w:pgMar w:top="1417" w:right="1417" w:bottom="1417" w:left="1417" w:header="708" w:footer="708" w:gutter="0"/>
          <w:cols w:space="708"/>
          <w:docGrid w:linePitch="360"/>
        </w:sectPr>
      </w:pPr>
      <w:r>
        <w:rPr>
          <w:color w:val="1F4E9E"/>
        </w:rPr>
      </w:r>
      <w:r>
        <w:rPr>
          <w:color w:val="1F4E9E"/>
        </w:rPr>
      </w:r>
      <w:r>
        <w:rPr>
          <w:color w:val="1F4E9E"/>
        </w:rPr>
        <w:t>Fig 1. Simulated dynamics under the two candidate models.</w:t>
      </w:r>
      <w:r>
        <w:rPr>
          <w:color w:val="1F4E9E"/>
        </w:rPr>
        <w:t xml:space="preserve"> </w:t>
      </w:r>
      <w:r>
        <w:rPr>
          <w:color w:val="1F4E9E"/>
        </w:rPr>
        <w:t xml:space="preserve">Mean gated motor-preparatory signal at a representative admissible parameter vector — the sampled draw closest to the coordinate-wise median of the parameters of the draws admissible in both models, with the ramp magnitude β at the median of the values admissible under Model 2 (Materials and Methods), </w:t>
      </w:r>
      <w:r>
        <w:rPr>
          <w:color w:val="1F4E9E"/>
        </w:rPr>
        <w:t xml:space="preserve">time-locked to the four trial events (stimulus onset, stimulus offset, response signal, response); each trial is censored at its own response. </w:t>
      </w:r>
      <w:r>
        <w:rPr>
          <w:color w:val="1F4E9E"/>
        </w:rPr>
        <w:t>Each thin line is the mean over trials of one admissible parameter set, and the thick line the mean over parameter sets; thirty sets are shown, the same ones in both panels, so that the two differ in β and in nothing else. The variability displayed is therefore variability across the parameter space rather than across trials at one setting, which is the variability every claim in the paper is about. The vertical axis is in units of each set’s own distance from the maintained level to the gate, so that sets with different amplitudes are superimposable; 0 is the maintained level and 1 the gate.</w:t>
      </w:r>
      <w:r>
        <w:rPr>
          <w:color w:val="1F4E9E"/>
        </w:rPr>
      </w:r>
      <w:r>
        <w:rPr>
          <w:color w:val="1F4E9E"/>
        </w:rPr>
        <w:t xml:space="preserve"> Color denotes motion coherence and line style denotes stimulus duration; dotted lines mark the internal threshold θ and the gate g. Top: Model 2 (maintained evidence-dependent state plus temporal preparation). </w:t>
      </w:r>
      <w:r>
        <w:rPr>
          <w:color w:val="1F4E9E"/>
        </w:rPr>
        <w:t>Bottom: Model 1 (maintained evidence-dependent state only), at the same parameter vector with </w:t>
      </w:r>
      <m:oMath>
        <m:r>
          <w:rPr>
            <w:rFonts w:ascii="Cambria Math" w:hAnsi="Cambria Math"/>
          </w:rPr>
          <m:t xml:space="preserve">β</m:t>
        </m:r>
        <m:r>
          <m:rPr>
            <m:nor/>
          </m:rPr>
          <w:rPr>
            <w:rFonts w:ascii="Cambria Math" w:hAnsi="Cambria Math"/>
          </w:rPr>
          <m:t xml:space="preserve">=</m:t>
        </m:r>
        <m:r>
          <m:rPr>
            <m:nor/>
          </m:rPr>
          <w:rPr>
            <w:rFonts w:ascii="Cambria Math" w:hAnsi="Cambria Math"/>
          </w:rPr>
          <m:t xml:space="preserve">0</m:t>
        </m:r>
      </m:oMath>
      <w:r>
        <w:rPr>
          <w:color w:val="1F4E9E"/>
        </w:rPr>
        <w:t xml:space="preserve">. The two panels therefore differ in β and in nothing else, which is the only term in which the architectures differ.</w:t>
      </w:r>
      <w:r>
        <w:rPr>
          <w:color w:val="1F4E9E"/>
        </w:rPr>
      </w:r>
      <w:r>
        <w:rPr>
          <w:color w:val="1F4E9E"/>
        </w:rPr>
      </w:r>
      <w:r>
        <w:rPr>
          <w:color w:val="1F4E9E"/>
        </w:rPr>
        <w:t xml:space="preserve"> The two models differ only during the delay period, where Model 2 climbs toward the gate as the response signal approaches and Model 1 does not. The panels show means across simulated trials: the clean separation between conditions visible here is a population-level regularity, not something any single trial exhibits on its own — compare Fig 2B, one simulated trial.</w:t>
      </w:r>
    </w:p>
    <w:p w14:paraId="7509868B" w14:textId="77777777" w:rsidR="00D42B52" w:rsidRPr="00F5114B" w:rsidRDefault="00436157" w:rsidP="00436157">
      <w:pPr>
        <w:spacing w:after="0" w:line="360" w:lineRule="auto"/>
        <w:rPr>
          <w:rStyle w:val="Marquedecommentaire"/>
          <w:sz w:val="24"/>
          <w:szCs w:val="24"/>
        </w:rPr>
      </w:pPr>
      <w:r>
        <w:rPr>
          <w:noProof/>
        </w:rPr>
        <w:lastRenderedPageBreak/>
        <w:drawing>
          <wp:inline distT="0" distB="0" distL="0" distR="0" wp14:anchorId="7B179EF4" wp14:editId="5439E336">
            <wp:extent cx="5760720" cy="10515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nelA.png"/>
                    <pic:cNvPicPr/>
                  </pic:nvPicPr>
                  <pic:blipFill>
                    <a:blip r:embed="rId18"/>
                    <a:stretch>
                      <a:fillRect/>
                    </a:stretch>
                  </pic:blipFill>
                  <pic:spPr>
                    <a:xfrm>
                      <a:off x="0" y="0"/>
                      <a:ext cx="5760720" cy="1051521"/>
                    </a:xfrm>
                    <a:prstGeom prst="rect">
                      <a:avLst/>
                    </a:prstGeom>
                  </pic:spPr>
                </pic:pic>
              </a:graphicData>
            </a:graphic>
          </wp:inline>
        </w:drawing>
      </w:r>
      <w:r>
        <w:br/>
      </w:r>
      <w:r>
        <w:rPr>
          <w:noProof/>
        </w:rPr>
        <w:drawing>
          <wp:inline distT="0" distB="0" distL="0" distR="0" wp14:anchorId="4BCE7019" wp14:editId="49AF54FC">
            <wp:extent cx="5760720" cy="273053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ngle_labeled.png"/>
                    <pic:cNvPicPr/>
                  </pic:nvPicPr>
                  <pic:blipFill>
                    <a:blip r:embed="rId19"/>
                    <a:stretch>
                      <a:fillRect/>
                    </a:stretch>
                  </pic:blipFill>
                  <pic:spPr>
                    <a:xfrm>
                      <a:off x="0" y="0"/>
                      <a:ext cx="5760720" cy="2730539"/>
                    </a:xfrm>
                    <a:prstGeom prst="rect">
                      <a:avLst/>
                    </a:prstGeom>
                  </pic:spPr>
                </pic:pic>
              </a:graphicData>
            </a:graphic>
          </wp:inline>
        </w:drawing>
      </w:r>
    </w:p>
    <w:p w14:paraId="097B7C1C" w14:textId="77777777" w:rsidR="00D42B52" w:rsidRPr="00A53F1A" w:rsidRDefault="00A53F1A" w:rsidP="00A53F1A">
      <w:pPr>
        <w:spacing w:after="120" w:line="276" w:lineRule="auto"/>
        <w:rPr>
          <w:i/>
          <w:iCs/>
          <w:sz w:val="22"/>
          <w:szCs w:val="22"/>
        </w:rPr>
      </w:pPr>
      <w:r w:rsidRPr="00A53F1A">
        <w:rPr>
          <w:b/>
          <w:iCs/>
          <w:sz w:val="22"/>
          <w:szCs w:val="22"/>
        </w:rPr>
        <w:t>Fig 2. Experimental design and single-trial theoretical dynamics at the motor preparation and muscle activation levels</w:t>
      </w:r>
      <w:r w:rsidR="00D42B52" w:rsidRPr="00A53F1A">
        <w:rPr>
          <w:b/>
          <w:iCs/>
          <w:sz w:val="22"/>
          <w:szCs w:val="22"/>
        </w:rPr>
        <w:t>.</w:t>
      </w:r>
      <w:r w:rsidR="00D42B52" w:rsidRPr="00A53F1A">
        <w:rPr>
          <w:b/>
          <w:sz w:val="22"/>
          <w:szCs w:val="22"/>
        </w:rPr>
        <w:t xml:space="preserve"> </w:t>
      </w:r>
      <w:r w:rsidR="00D42B52" w:rsidRPr="00455EFD">
        <w:rPr>
          <w:sz w:val="22"/>
          <w:szCs w:val="22"/>
        </w:rPr>
        <w:t xml:space="preserve">Panel A illustrates the time-course of a trial in our response signal (RS) variant of the </w:t>
      </w:r>
      <w:r w:rsidR="007755D4">
        <w:rPr>
          <w:sz w:val="22"/>
          <w:szCs w:val="22"/>
        </w:rPr>
        <w:t>random-dot</w:t>
      </w:r>
      <w:r w:rsidR="00D42B52" w:rsidRPr="00455EFD">
        <w:rPr>
          <w:sz w:val="22"/>
          <w:szCs w:val="22"/>
        </w:rPr>
        <w:t xml:space="preserve"> motion task. See text for details.</w:t>
      </w:r>
      <w:r w:rsidR="00D42B52">
        <w:rPr>
          <w:sz w:val="22"/>
          <w:szCs w:val="22"/>
        </w:rPr>
        <w:t xml:space="preserve"> </w:t>
      </w:r>
      <w:r w:rsidR="00D42B52">
        <w:rPr>
          <w:sz w:val="22"/>
          <w:szCs w:val="22"/>
        </w:rPr>
      </w:r>
      <w:r w:rsidR="00D42B52">
        <w:rPr>
          <w:sz w:val="22"/>
          <w:szCs w:val="22"/>
        </w:rPr>
      </w:r>
      <w:r w:rsidR="00D42B52" w:rsidRPr="00455EFD">
        <w:rPr>
          <w:sz w:val="22"/>
          <w:szCs w:val="22"/>
        </w:rPr>
      </w:r>
      <w:r w:rsidR="00D42B52">
        <w:rPr>
          <w:sz w:val="22"/>
          <w:szCs w:val="22"/>
        </w:rPr>
        <w:t xml:space="preserve"> Muscle activation begins when motor preparation exceeds gating inhibition</w:t>
      </w:r>
      <w:r w:rsidR="00B926D3">
        <w:rPr>
          <w:sz w:val="22"/>
          <w:szCs w:val="22"/>
        </w:rPr>
        <w:t xml:space="preserve"> (parameter </w:t>
      </w:r>
      <w:r w:rsidR="00B926D3" w:rsidRPr="00B926D3">
        <w:rPr>
          <w:i/>
          <w:sz w:val="22"/>
          <w:szCs w:val="22"/>
        </w:rPr>
        <w:t>g</w:t>
      </w:r>
      <w:r w:rsidR="00B926D3">
        <w:rPr>
          <w:sz w:val="22"/>
          <w:szCs w:val="22"/>
        </w:rPr>
        <w:t>)</w:t>
      </w:r>
      <w:r w:rsidR="00D42B52">
        <w:rPr>
          <w:sz w:val="22"/>
          <w:szCs w:val="22"/>
        </w:rPr>
        <w:t>.</w:t>
      </w:r>
      <w:r w:rsidR="00D42B52">
        <w:rPr>
          <w:sz w:val="22"/>
          <w:szCs w:val="22"/>
        </w:rPr>
        <w:t xml:space="preserve"> The response time (RT) corresponds to the latency between RS onset and the response. In the present study, it is decomposed into a pre-motor execution time (PMET) and a motor execution time (MET), based on the onset of muscle activation leading up to the response. </w:t>
      </w:r>
      <w:r>
        <w:rPr/>
        <w:t xml:space="preserve"> </w:t>
      </w:r>
      <w:r>
        <w:rPr>
          <w:color w:val="1F4E9E"/>
        </w:rPr>
        <w:t>Panel B shows one simulated trial from Model 2 at the representative admissible parameter vector of Fig 1</w:t>
      </w:r>
      <w:r>
        <w:rPr>
          <w:color w:val="1F4E9E"/>
        </w:rPr>
      </w:r>
      <w:r>
        <w:rPr/>
        <w:t>, the single-trial counterpart of the mean trajectories in Fig 1. Above, the gated signal reaching the response effector, with the gate g and the response criterion g+r; below, the activation intervals returned by the same detection procedure applied to the EMG data (see Materials and Methods), after merging intervals within 25 ms and discarding intervals with too few supra-threshold samples. Orange marks a partial muscle activation; red marks the activation that reaches the criterion and becomes the overt response.</w:t>
      </w:r>
    </w:p>
    <w:p w14:paraId="6154EA27" w14:textId="77777777" w:rsidR="00EB090A" w:rsidRDefault="00EB090A" w:rsidP="00D56E48">
      <w:pPr>
        <w:spacing w:after="0" w:line="360" w:lineRule="auto"/>
        <w:rPr>
          <w:b/>
          <w:bCs/>
        </w:rPr>
        <w:sectPr w:rsidR="00EB090A">
          <w:pgSz w:w="11906" w:h="16838"/>
          <w:pgMar w:top="1417" w:right="1417" w:bottom="1417" w:left="1417" w:header="708" w:footer="708" w:gutter="0"/>
          <w:cols w:space="708"/>
          <w:docGrid w:linePitch="360"/>
        </w:sectPr>
      </w:pPr>
    </w:p>
    <w:p w14:paraId="11A7CBEA" w14:textId="77777777" w:rsidR="00902774" w:rsidRDefault="00902774" w:rsidP="00D56E48">
      <w:pPr>
        <w:spacing w:line="360" w:lineRule="auto"/>
        <w:rPr>
          <w:b/>
          <w:sz w:val="28"/>
        </w:rPr>
      </w:pPr>
      <w:r>
        <w:rPr>
          <w:b/>
          <w:noProof/>
          <w:sz w:val="28"/>
          <w:lang w:val="fr-FR" w:eastAsia="fr-FR"/>
        </w:rPr>
        <w:lastRenderedPageBreak/>
        <w:drawing>
          <wp:inline distT="0" distB="0" distL="0" distR="0" wp14:anchorId="665C2295" wp14:editId="77A7A290">
            <wp:extent cx="5753100" cy="1435100"/>
            <wp:effectExtent l="0" t="0" r="0" b="0"/>
            <wp:docPr id="12" name="Imag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a:extLst>
                        <a:ext uri="{C183D7F6-B498-43B3-948B-1728B52AA6E4}">
                          <adec:decorative xmlns:adec="http://schemas.microsoft.com/office/drawing/2017/decorative" val="1"/>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1435100"/>
                    </a:xfrm>
                    <a:prstGeom prst="rect">
                      <a:avLst/>
                    </a:prstGeom>
                    <a:noFill/>
                    <a:ln>
                      <a:noFill/>
                    </a:ln>
                  </pic:spPr>
                </pic:pic>
              </a:graphicData>
            </a:graphic>
          </wp:inline>
        </w:drawing>
      </w:r>
    </w:p>
    <w:p w14:paraId="6D467924" w14:textId="77777777" w:rsidR="00386CD9" w:rsidRPr="00A53F1A" w:rsidRDefault="00A53F1A" w:rsidP="00E553C5">
      <w:pPr>
        <w:pStyle w:val="Sansinterligne"/>
        <w:spacing w:line="276" w:lineRule="auto"/>
        <w:rPr>
          <w:i/>
          <w:iCs/>
          <w:sz w:val="22"/>
          <w:szCs w:val="22"/>
        </w:rPr>
      </w:pPr>
      <w:r>
        <w:t xml:space="preserve">Fig 3. Behavioral outcomes and response time fractionation based on the onset of muscle activation preceding the response. Panels A-D show, respectively, response accuracy, mean response time (RT), mean pre-motor execution time (PMET), and mean motor execution time (MET) as a function of motion coherence and duration. </w:t>
      </w:r>
      <w:r>
        <w:rPr>
          <w:color w:val="1F4E9E"/>
        </w:rPr>
        <w:t xml:space="preserve">Faint lines show individual participants. </w:t>
      </w:r>
      <w:r>
        <w:rPr>
          <w:color w:val="1F4E9E"/>
        </w:rPr>
        <w:t>Error bars represent a within-subjects interval about the mean, computed on Cousineau–Morey-normalized values (Morey, 2008) in every panel: ±1 within-subjects SEM for RT, PMET, and MET, and, for accuracy, a 95% percentile bootstrap interval over the normalized values (10,000 resamples over participants, Morey-scaled), which is asymmetric where the data approach the [0, 1] bounds and for which a symmetric SEM would not be appropriate.</w:t>
      </w:r>
      <w:r>
        <w:rPr>
          <w:color w:val="1F4E9E"/>
        </w:rPr>
        <w:t xml:space="preserve"> </w:t>
      </w:r>
      <w:r>
        <w:t>s = seconds.</w:t>
      </w:r>
    </w:p>
    <w:p w14:paraId="43A24F91" w14:textId="77777777" w:rsidR="00E9704A" w:rsidRDefault="00E9704A" w:rsidP="00226E36">
      <w:pPr>
        <w:spacing w:after="0" w:line="360" w:lineRule="auto"/>
        <w:rPr>
          <w:b/>
          <w:bCs/>
        </w:rPr>
        <w:sectPr w:rsidR="00E9704A">
          <w:pgSz w:w="11906" w:h="16838"/>
          <w:pgMar w:top="1417" w:right="1417" w:bottom="1417" w:left="1417" w:header="708" w:footer="708" w:gutter="0"/>
          <w:cols w:space="708"/>
          <w:docGrid w:linePitch="360"/>
        </w:sectPr>
      </w:pPr>
    </w:p>
    <w:p w14:paraId="44D34052" w14:textId="77777777" w:rsidR="00226E36" w:rsidRDefault="00902774" w:rsidP="00226E36">
      <w:pPr>
        <w:spacing w:line="360" w:lineRule="auto"/>
        <w:rPr>
          <w:b/>
          <w:sz w:val="28"/>
        </w:rPr>
      </w:pPr>
      <w:r>
        <w:rPr>
          <w:b/>
          <w:noProof/>
          <w:sz w:val="28"/>
          <w:lang w:val="fr-FR" w:eastAsia="fr-FR"/>
        </w:rPr>
        <w:lastRenderedPageBreak/>
        <w:drawing>
          <wp:inline distT="0" distB="0" distL="0" distR="0" wp14:anchorId="751478DA" wp14:editId="2D6D3DDB">
            <wp:extent cx="5753100" cy="5842000"/>
            <wp:effectExtent l="0" t="0" r="0" b="6350"/>
            <wp:docPr id="13" name="Imag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a:extLst>
                        <a:ext uri="{C183D7F6-B498-43B3-948B-1728B52AA6E4}">
                          <adec:decorative xmlns:adec="http://schemas.microsoft.com/office/drawing/2017/decorative" val="1"/>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5842000"/>
                    </a:xfrm>
                    <a:prstGeom prst="rect">
                      <a:avLst/>
                    </a:prstGeom>
                    <a:noFill/>
                    <a:ln>
                      <a:noFill/>
                    </a:ln>
                  </pic:spPr>
                </pic:pic>
              </a:graphicData>
            </a:graphic>
          </wp:inline>
        </w:drawing>
      </w:r>
    </w:p>
    <w:p w14:paraId="7757710A" w14:textId="77777777" w:rsidR="003009E9" w:rsidRPr="00C42D61" w:rsidRDefault="00C42D61" w:rsidP="00E553C5">
      <w:pPr>
        <w:pStyle w:val="Sansinterligne"/>
        <w:spacing w:line="276" w:lineRule="auto"/>
        <w:rPr>
          <w:i/>
          <w:iCs/>
          <w:sz w:val="22"/>
          <w:szCs w:val="22"/>
        </w:rPr>
      </w:pPr>
      <w:r w:rsidRPr="00C42D61">
        <w:rPr>
          <w:b/>
          <w:iCs/>
          <w:sz w:val="22"/>
          <w:szCs w:val="22"/>
        </w:rPr>
        <w:t>Fig 4. Rate of partial muscle activations and electroencephalographic measures of effector-selective motor preparation aligned to each trial event</w:t>
      </w:r>
      <w:r w:rsidR="00226E36" w:rsidRPr="00C42D61">
        <w:rPr>
          <w:b/>
          <w:iCs/>
          <w:sz w:val="22"/>
          <w:szCs w:val="22"/>
        </w:rPr>
        <w:t>.</w:t>
      </w:r>
      <w:r w:rsidR="00226E36" w:rsidRPr="00455EFD">
        <w:rPr>
          <w:sz w:val="22"/>
          <w:szCs w:val="22"/>
        </w:rPr>
        <w:t xml:space="preserve"> </w:t>
      </w:r>
      <w:r w:rsidR="008A2C8F">
        <w:rPr>
          <w:sz w:val="22"/>
          <w:szCs w:val="22"/>
        </w:rPr>
        <w:t xml:space="preserve">A) Grand-average rate of partial muscle activations (PMAs) in the electromyographic channel </w:t>
      </w:r>
      <w:r w:rsidR="00FC0106">
        <w:rPr>
          <w:sz w:val="22"/>
          <w:szCs w:val="22"/>
        </w:rPr>
        <w:t>of the responding effector</w:t>
      </w:r>
      <w:r w:rsidR="008A2C8F">
        <w:rPr>
          <w:sz w:val="22"/>
          <w:szCs w:val="22"/>
        </w:rPr>
        <w:t xml:space="preserve"> as a function of motion coherence and duration. </w:t>
      </w:r>
      <w:r w:rsidR="008A2C8F" w:rsidRPr="003009E9">
        <w:rPr>
          <w:sz w:val="22"/>
          <w:szCs w:val="22"/>
        </w:rPr>
        <w:t>PMA rate was estimated as the mean number of PMAs per 0.1-s bin</w:t>
      </w:r>
      <w:r w:rsidR="008A2C8F">
        <w:rPr>
          <w:sz w:val="22"/>
          <w:szCs w:val="22"/>
        </w:rPr>
        <w:t>.</w:t>
      </w:r>
      <w:r w:rsidR="008A2C8F" w:rsidRPr="008A2C8F">
        <w:rPr>
          <w:sz w:val="22"/>
          <w:szCs w:val="22"/>
        </w:rPr>
        <w:t xml:space="preserve"> </w:t>
      </w:r>
      <w:r w:rsidR="008A2C8F">
        <w:rPr>
          <w:sz w:val="22"/>
          <w:szCs w:val="22"/>
        </w:rPr>
        <w:t>From left to right, subplots show PMA rate aligned to stimulus onset, stimulus offset, RS onset, and the response, respectively. These locking events are indicated by the black vertical lines. The inset in the leftmost subplot provides a zoomed view of the corresponding data. The grand-average rate of PMAs in the opposite electromyogra</w:t>
      </w:r>
      <w:r w:rsidR="00D77B06">
        <w:rPr>
          <w:sz w:val="22"/>
          <w:szCs w:val="22"/>
        </w:rPr>
        <w:t>phic channel is shown in panel B</w:t>
      </w:r>
      <w:r w:rsidR="008A2C8F">
        <w:rPr>
          <w:sz w:val="22"/>
          <w:szCs w:val="22"/>
        </w:rPr>
        <w:t>. C) Grand-average lateralized readiness potential (LRP)</w:t>
      </w:r>
      <w:r w:rsidR="008A2C8F" w:rsidRPr="00443603">
        <w:rPr>
          <w:sz w:val="22"/>
          <w:szCs w:val="22"/>
        </w:rPr>
        <w:t xml:space="preserve"> </w:t>
      </w:r>
      <w:r w:rsidR="008A2C8F">
        <w:rPr>
          <w:sz w:val="22"/>
          <w:szCs w:val="22"/>
        </w:rPr>
        <w:t>computed in 0.1 s bins, as a function of motion coherence and duration. The layout of the su</w:t>
      </w:r>
      <w:r w:rsidR="00F47997">
        <w:rPr>
          <w:sz w:val="22"/>
          <w:szCs w:val="22"/>
        </w:rPr>
        <w:t xml:space="preserve">bplots matches that of panels A and </w:t>
      </w:r>
      <w:r w:rsidR="008A2C8F">
        <w:rPr>
          <w:sz w:val="22"/>
          <w:szCs w:val="22"/>
        </w:rPr>
        <w:t>B.</w:t>
      </w:r>
      <w:r w:rsidR="008A2C8F" w:rsidRPr="008A2C8F">
        <w:rPr>
          <w:sz w:val="22"/>
          <w:szCs w:val="22"/>
        </w:rPr>
        <w:t xml:space="preserve"> </w:t>
      </w:r>
      <w:r w:rsidR="008A2C8F">
        <w:rPr>
          <w:sz w:val="22"/>
          <w:szCs w:val="22"/>
        </w:rPr>
        <w:t xml:space="preserve">The y-axis is </w:t>
      </w:r>
      <w:r w:rsidR="008A2C8F" w:rsidRPr="00B96E5E">
        <w:rPr>
          <w:sz w:val="22"/>
          <w:szCs w:val="22"/>
        </w:rPr>
        <w:t xml:space="preserve">inverted such that upward deflections indicate stronger effector-selective motor preparation. </w:t>
      </w:r>
      <w:r w:rsidR="008A2C8F">
        <w:rPr>
          <w:sz w:val="22"/>
          <w:szCs w:val="22"/>
        </w:rPr>
        <w:t>The map on the right shows the grand-average scalp topography in</w:t>
      </w:r>
      <w:r w:rsidR="008A2C8F" w:rsidRPr="00A07CF1">
        <w:rPr>
          <w:sz w:val="22"/>
          <w:szCs w:val="22"/>
        </w:rPr>
        <w:t xml:space="preserve"> the -0.2 to 0 s interval relative to the response</w:t>
      </w:r>
      <w:r w:rsidR="008A2C8F">
        <w:rPr>
          <w:sz w:val="22"/>
          <w:szCs w:val="22"/>
        </w:rPr>
        <w:t xml:space="preserve">, </w:t>
      </w:r>
      <w:r w:rsidR="008A2C8F" w:rsidRPr="00A07CF1">
        <w:rPr>
          <w:sz w:val="22"/>
          <w:szCs w:val="22"/>
        </w:rPr>
        <w:t>collapsed across experimental conditions</w:t>
      </w:r>
      <w:r w:rsidR="008A2C8F">
        <w:rPr>
          <w:sz w:val="22"/>
          <w:szCs w:val="22"/>
        </w:rPr>
        <w:t>. It was computed by subtracting the mean current source density amplitude for right-hand trials from that for</w:t>
      </w:r>
      <w:r w:rsidR="008A2C8F" w:rsidRPr="00A07CF1">
        <w:rPr>
          <w:sz w:val="22"/>
          <w:szCs w:val="22"/>
        </w:rPr>
        <w:t xml:space="preserve"> left-hand trials</w:t>
      </w:r>
      <w:r w:rsidR="008A2C8F">
        <w:rPr>
          <w:sz w:val="22"/>
          <w:szCs w:val="22"/>
        </w:rPr>
        <w:t>. Black circles indicate the electrode sites used to compute the LRP (C3 and C4). D) Grand-</w:t>
      </w:r>
      <w:r w:rsidR="008A2C8F" w:rsidRPr="008A2C8F">
        <w:rPr>
          <w:sz w:val="22"/>
          <w:szCs w:val="22"/>
        </w:rPr>
        <w:t xml:space="preserve">average </w:t>
      </w:r>
      <w:r w:rsidR="00B109A6" w:rsidRPr="00B109A6">
        <w:rPr>
          <w:sz w:val="22"/>
          <w:szCs w:val="22"/>
        </w:rPr>
        <w:t xml:space="preserve">mu–beta-band spectral amplitude lateralization </w:t>
      </w:r>
      <w:r w:rsidR="008A2C8F" w:rsidRPr="001A32FB">
        <w:rPr>
          <w:sz w:val="22"/>
          <w:szCs w:val="22"/>
        </w:rPr>
        <w:lastRenderedPageBreak/>
        <w:t>(MBL)</w:t>
      </w:r>
      <w:r w:rsidR="008A2C8F">
        <w:rPr>
          <w:sz w:val="22"/>
          <w:szCs w:val="22"/>
        </w:rPr>
        <w:t xml:space="preserve">, computed in 0.1 s bins, as a function of motion coherence and duration. </w:t>
      </w:r>
      <w:r w:rsidR="008A2C8F" w:rsidRPr="00443603">
        <w:rPr>
          <w:sz w:val="22"/>
          <w:szCs w:val="22"/>
        </w:rPr>
        <w:t xml:space="preserve">The y-axis is </w:t>
      </w:r>
      <w:r w:rsidR="008A2C8F">
        <w:rPr>
          <w:sz w:val="22"/>
          <w:szCs w:val="22"/>
        </w:rPr>
        <w:t xml:space="preserve">also </w:t>
      </w:r>
      <w:r w:rsidR="008A2C8F" w:rsidRPr="00443603">
        <w:rPr>
          <w:sz w:val="22"/>
          <w:szCs w:val="22"/>
        </w:rPr>
        <w:t>inverted such that upward deflections indicate stronger effector-selective motor preparation.</w:t>
      </w:r>
      <w:r w:rsidR="008A2C8F" w:rsidRPr="008A2C8F">
        <w:rPr>
          <w:sz w:val="22"/>
          <w:szCs w:val="22"/>
        </w:rPr>
        <w:t xml:space="preserve"> </w:t>
      </w:r>
      <w:r w:rsidR="008A2C8F">
        <w:rPr>
          <w:sz w:val="22"/>
          <w:szCs w:val="22"/>
        </w:rPr>
        <w:t>The layout of the subplots matches that of the other panels.</w:t>
      </w:r>
      <w:r w:rsidR="008A2C8F" w:rsidRPr="008A2C8F">
        <w:rPr>
          <w:sz w:val="22"/>
          <w:szCs w:val="22"/>
        </w:rPr>
        <w:t xml:space="preserve"> </w:t>
      </w:r>
      <w:r w:rsidR="008A2C8F">
        <w:rPr>
          <w:sz w:val="22"/>
          <w:szCs w:val="22"/>
        </w:rPr>
        <w:t>The map on the right shows the grand-average scalp topography in</w:t>
      </w:r>
      <w:r w:rsidR="008A2C8F" w:rsidRPr="00A07CF1">
        <w:rPr>
          <w:sz w:val="22"/>
          <w:szCs w:val="22"/>
        </w:rPr>
        <w:t xml:space="preserve"> the -0.2 to 0 s interval relative to the response</w:t>
      </w:r>
      <w:r w:rsidR="008A2C8F">
        <w:rPr>
          <w:sz w:val="22"/>
          <w:szCs w:val="22"/>
        </w:rPr>
        <w:t xml:space="preserve">, </w:t>
      </w:r>
      <w:r w:rsidR="008A2C8F" w:rsidRPr="00A07CF1">
        <w:rPr>
          <w:sz w:val="22"/>
          <w:szCs w:val="22"/>
        </w:rPr>
        <w:t>collapsed across experimental conditions</w:t>
      </w:r>
      <w:r w:rsidR="008A2C8F">
        <w:rPr>
          <w:sz w:val="22"/>
          <w:szCs w:val="22"/>
        </w:rPr>
        <w:t xml:space="preserve">. It was computed by subtracting the mean </w:t>
      </w:r>
      <w:r w:rsidR="00952B90" w:rsidRPr="00B109A6">
        <w:rPr>
          <w:sz w:val="22"/>
          <w:szCs w:val="22"/>
        </w:rPr>
        <w:t xml:space="preserve">mu–beta-band spectral amplitude </w:t>
      </w:r>
      <w:r w:rsidR="008A2C8F">
        <w:rPr>
          <w:sz w:val="22"/>
          <w:szCs w:val="22"/>
        </w:rPr>
        <w:t>for right-hand trials from that for</w:t>
      </w:r>
      <w:r w:rsidR="008A2C8F" w:rsidRPr="00A07CF1">
        <w:rPr>
          <w:sz w:val="22"/>
          <w:szCs w:val="22"/>
        </w:rPr>
        <w:t xml:space="preserve"> left-hand trials</w:t>
      </w:r>
      <w:r w:rsidR="008A2C8F">
        <w:rPr>
          <w:sz w:val="22"/>
          <w:szCs w:val="22"/>
        </w:rPr>
        <w:t xml:space="preserve">. </w:t>
      </w:r>
      <w:r w:rsidR="00F47997">
        <w:rPr>
          <w:sz w:val="22"/>
          <w:szCs w:val="22"/>
        </w:rPr>
        <w:t xml:space="preserve">For all panels, </w:t>
      </w:r>
      <w:r w:rsidR="00F47997">
        <w:rPr>
          <w:sz w:val="22"/>
        </w:rPr>
        <w:t xml:space="preserve">shaded areas represent ±1 within-subjects standard error of the mean, computed using the method proposed by Morey </w:t>
      </w:r>
      <w:r w:rsidR="00F47997">
        <w:rPr>
          <w:sz w:val="22"/>
        </w:rPr>
        <w:fldChar w:fldCharType="begin"/>
      </w:r>
      <w:r w:rsidR="001217D5">
        <w:rPr>
          <w:sz w:val="22"/>
        </w:rPr>
        <w:instrText xml:space="preserve"> ADDIN ZOTERO_ITEM CSL_CITATION {"citationID":"oBJusFeo","properties":{"formattedCitation":"(2008)","plainCitation":"(2008)","noteIndex":0},"citationItems":[{"id":818,"uris":["http://zotero.org/users/5679506/items/5T3N78UM"],"itemData":{"id":818,"type":"article-journal","container-title":"Tutorial in Quantitative Methods for Psychology","issue":"2","page":"61-64","title":"Confidence intervals from normalized data: A correction to Cousineau (2005).","volume":"4","author":[{"family":"Morey","given":"Richard D."}],"issued":{"date-parts":[["2008"]]}},"suppress-author":true}],"schema":"https://github.com/citation-style-language/schema/raw/master/csl-citation.json"} </w:instrText>
      </w:r>
      <w:r w:rsidR="00F47997">
        <w:rPr>
          <w:sz w:val="22"/>
        </w:rPr>
        <w:fldChar w:fldCharType="separate"/>
      </w:r>
      <w:r w:rsidR="00F47997" w:rsidRPr="00C5097E">
        <w:rPr>
          <w:sz w:val="22"/>
        </w:rPr>
        <w:t>(2008)</w:t>
      </w:r>
      <w:r w:rsidR="00F47997">
        <w:rPr>
          <w:sz w:val="22"/>
        </w:rPr>
        <w:fldChar w:fldCharType="end"/>
      </w:r>
      <w:r w:rsidR="00F47997">
        <w:rPr>
          <w:sz w:val="22"/>
        </w:rPr>
        <w:t>.</w:t>
      </w:r>
      <w:r w:rsidR="00E67463">
        <w:rPr>
          <w:sz w:val="22"/>
        </w:rPr>
        <w:t xml:space="preserve"> </w:t>
      </w:r>
      <w:r w:rsidR="00560DDE" w:rsidRPr="00560DDE">
        <w:rPr>
          <w:sz w:val="22"/>
        </w:rPr>
        <w:t>s</w:t>
      </w:r>
      <w:r w:rsidR="00560DDE">
        <w:rPr>
          <w:sz w:val="22"/>
        </w:rPr>
        <w:t xml:space="preserve"> = seconds; mV/m</w:t>
      </w:r>
      <w:r w:rsidR="00560DDE" w:rsidRPr="00560DDE">
        <w:rPr>
          <w:sz w:val="22"/>
          <w:vertAlign w:val="superscript"/>
        </w:rPr>
        <w:t>2</w:t>
      </w:r>
      <w:r w:rsidR="00560DDE">
        <w:rPr>
          <w:sz w:val="22"/>
        </w:rPr>
        <w:t xml:space="preserve"> = </w:t>
      </w:r>
      <w:r w:rsidR="00BA5CF6">
        <w:rPr>
          <w:sz w:val="22"/>
        </w:rPr>
        <w:t>millivolts per square meter.</w:t>
      </w:r>
    </w:p>
    <w:p w14:paraId="70987202" w14:textId="77777777" w:rsidR="00DC5089" w:rsidRDefault="00DC5089" w:rsidP="002B60E0">
      <w:pPr>
        <w:pStyle w:val="Sansinterligne"/>
        <w:rPr>
          <w:sz w:val="22"/>
        </w:rPr>
      </w:pPr>
    </w:p>
    <w:p w14:paraId="235AADCA" w14:textId="77777777" w:rsidR="00DC5089" w:rsidRPr="002B60E0" w:rsidRDefault="00DC5089" w:rsidP="002B60E0">
      <w:pPr>
        <w:pStyle w:val="Sansinterligne"/>
        <w:rPr>
          <w:sz w:val="22"/>
          <w:szCs w:val="22"/>
        </w:rPr>
      </w:pPr>
    </w:p>
    <w:p w14:paraId="68C9E9FC" w14:textId="77777777" w:rsidR="00E9704A" w:rsidRDefault="00E9704A" w:rsidP="007E26FC">
      <w:pPr>
        <w:pStyle w:val="Titre1"/>
        <w:jc w:val="center"/>
        <w:sectPr w:rsidR="00E9704A">
          <w:pgSz w:w="11906" w:h="16838"/>
          <w:pgMar w:top="1417" w:right="1417" w:bottom="1417" w:left="1417" w:header="708" w:footer="708" w:gutter="0"/>
          <w:cols w:space="708"/>
          <w:docGrid w:linePitch="360"/>
        </w:sectPr>
      </w:pPr>
    </w:p>
    <w:p w14:paraId="25224CF4" w14:textId="77777777" w:rsidR="00ED700A" w:rsidRPr="00C732E4" w:rsidRDefault="007E26FC" w:rsidP="00C732E4">
      <w:pPr>
        <w:pStyle w:val="Titre1"/>
        <w:jc w:val="center"/>
      </w:pPr>
      <w:r>
        <w:lastRenderedPageBreak/>
        <w:t>Tables</w:t>
      </w:r>
    </w:p>
    <w:p w14:paraId="2FEEEF67" w14:textId="77777777" w:rsidR="000528D7" w:rsidRDefault="00EA3546" w:rsidP="00EC2B92">
      <w:pPr>
        <w:spacing w:before="240" w:after="0" w:line="276" w:lineRule="auto"/>
        <w:rPr>
          <w:b/>
          <w:sz w:val="22"/>
          <w:szCs w:val="22"/>
        </w:rPr>
      </w:pPr>
      <w:r w:rsidRPr="00EA3546">
        <w:rPr>
          <w:b/>
          <w:sz w:val="22"/>
          <w:szCs w:val="22"/>
        </w:rPr>
        <w:t xml:space="preserve">Table 1. </w:t>
      </w:r>
      <w:r w:rsidR="00DA4BD2" w:rsidRPr="00EA3546">
        <w:rPr>
          <w:b/>
          <w:sz w:val="22"/>
          <w:szCs w:val="22"/>
        </w:rPr>
        <w:t>S</w:t>
      </w:r>
      <w:r w:rsidR="008A4668" w:rsidRPr="00EA3546">
        <w:rPr>
          <w:b/>
          <w:sz w:val="22"/>
          <w:szCs w:val="22"/>
        </w:rPr>
        <w:t>ignificant effects from the ANOVAs on</w:t>
      </w:r>
      <w:r w:rsidR="00DA4BD2" w:rsidRPr="00EA3546">
        <w:rPr>
          <w:b/>
          <w:sz w:val="22"/>
          <w:szCs w:val="22"/>
        </w:rPr>
        <w:t xml:space="preserve"> </w:t>
      </w:r>
      <w:r w:rsidR="00DB3922" w:rsidRPr="00EA3546">
        <w:rPr>
          <w:b/>
          <w:sz w:val="22"/>
          <w:szCs w:val="22"/>
        </w:rPr>
        <w:t xml:space="preserve">response </w:t>
      </w:r>
      <w:r w:rsidR="00DA4BD2" w:rsidRPr="00EA3546">
        <w:rPr>
          <w:b/>
          <w:sz w:val="22"/>
          <w:szCs w:val="22"/>
        </w:rPr>
        <w:t xml:space="preserve">accuracy, mean </w:t>
      </w:r>
      <w:r w:rsidR="008A4668" w:rsidRPr="00EA3546">
        <w:rPr>
          <w:b/>
          <w:sz w:val="22"/>
          <w:szCs w:val="22"/>
        </w:rPr>
        <w:t>response time (</w:t>
      </w:r>
      <w:r w:rsidR="00DA4BD2" w:rsidRPr="00EA3546">
        <w:rPr>
          <w:b/>
          <w:sz w:val="22"/>
          <w:szCs w:val="22"/>
        </w:rPr>
        <w:t>RT</w:t>
      </w:r>
      <w:r w:rsidR="008A4668" w:rsidRPr="00EA3546">
        <w:rPr>
          <w:b/>
          <w:sz w:val="22"/>
          <w:szCs w:val="22"/>
        </w:rPr>
        <w:t>)</w:t>
      </w:r>
      <w:r w:rsidR="00DA4BD2" w:rsidRPr="00EA3546">
        <w:rPr>
          <w:b/>
          <w:sz w:val="22"/>
          <w:szCs w:val="22"/>
        </w:rPr>
        <w:t>,</w:t>
      </w:r>
      <w:r w:rsidR="008A4668" w:rsidRPr="00EA3546">
        <w:rPr>
          <w:b/>
          <w:sz w:val="22"/>
          <w:szCs w:val="22"/>
        </w:rPr>
        <w:t xml:space="preserve"> mean pre-motor execution time (PMET), and mean motor execution time (</w:t>
      </w:r>
      <w:r w:rsidR="00DA4BD2" w:rsidRPr="00EA3546">
        <w:rPr>
          <w:b/>
          <w:sz w:val="22"/>
          <w:szCs w:val="22"/>
        </w:rPr>
        <w:t>MET</w:t>
      </w:r>
      <w:r w:rsidR="008A4668" w:rsidRPr="00EA3546">
        <w:rPr>
          <w:b/>
          <w:sz w:val="22"/>
          <w:szCs w:val="22"/>
        </w:rPr>
        <w:t>)</w:t>
      </w:r>
      <w:r w:rsidRPr="00EA3546">
        <w:rPr>
          <w:b/>
          <w:sz w:val="22"/>
          <w:szCs w:val="22"/>
        </w:rPr>
        <w:t>.</w:t>
      </w:r>
    </w:p>
    <w:p w14:paraId="7C63162F" w14:textId="77777777" w:rsidR="000528D7" w:rsidRPr="00EA3546" w:rsidRDefault="000528D7" w:rsidP="000528D7">
      <w:pPr>
        <w:spacing w:after="0" w:line="240" w:lineRule="auto"/>
        <w:rPr>
          <w:b/>
          <w:sz w:val="22"/>
          <w:szCs w:val="22"/>
        </w:rPr>
      </w:pPr>
    </w:p>
    <w:tbl>
      <w:tblPr>
        <w:tblW w:w="7339" w:type="dxa"/>
        <w:tblLook w:val="04A0" w:firstRow="1" w:lastRow="0" w:firstColumn="1" w:lastColumn="0" w:noHBand="0" w:noVBand="1"/>
      </w:tblPr>
      <w:tblGrid>
        <w:gridCol w:w="2180"/>
        <w:gridCol w:w="236"/>
        <w:gridCol w:w="3254"/>
        <w:gridCol w:w="1669"/>
      </w:tblGrid>
      <w:tr w:rsidR="00EC2B92" w:rsidRPr="00220C0A" w14:paraId="61D2A20E" w14:textId="77777777" w:rsidTr="00D34E37">
        <w:trPr>
          <w:trHeight w:val="415"/>
        </w:trPr>
        <w:tc>
          <w:tcPr>
            <w:tcW w:w="2180" w:type="dxa"/>
            <w:tcBorders>
              <w:top w:val="single" w:sz="4" w:space="0" w:color="auto"/>
              <w:left w:val="nil"/>
              <w:bottom w:val="single" w:sz="12" w:space="0" w:color="auto"/>
              <w:right w:val="nil"/>
            </w:tcBorders>
            <w:vAlign w:val="bottom"/>
            <w:hideMark/>
          </w:tcPr>
          <w:p w14:paraId="00570C21" w14:textId="77777777" w:rsidR="00EC2B92" w:rsidRPr="000528D7" w:rsidRDefault="00320C6D" w:rsidP="004C7964">
            <w:pPr>
              <w:spacing w:after="0" w:line="240" w:lineRule="auto"/>
              <w:jc w:val="center"/>
              <w:rPr>
                <w:rFonts w:eastAsia="Times New Roman"/>
                <w:bCs/>
                <w:color w:val="000000"/>
                <w:sz w:val="22"/>
                <w:szCs w:val="20"/>
              </w:rPr>
            </w:pPr>
            <w:r>
              <w:rPr>
                <w:rFonts w:eastAsia="Times New Roman"/>
                <w:bCs/>
                <w:sz w:val="22"/>
                <w:szCs w:val="20"/>
              </w:rPr>
              <w:t>Dependent</w:t>
            </w:r>
            <w:r w:rsidR="00EC2B92" w:rsidRPr="000528D7">
              <w:rPr>
                <w:rFonts w:eastAsia="Times New Roman"/>
                <w:bCs/>
                <w:sz w:val="22"/>
                <w:szCs w:val="20"/>
              </w:rPr>
              <w:t xml:space="preserve"> variable</w:t>
            </w:r>
          </w:p>
        </w:tc>
        <w:tc>
          <w:tcPr>
            <w:tcW w:w="236" w:type="dxa"/>
            <w:tcBorders>
              <w:top w:val="single" w:sz="4" w:space="0" w:color="auto"/>
              <w:left w:val="nil"/>
              <w:bottom w:val="single" w:sz="12" w:space="0" w:color="auto"/>
              <w:right w:val="nil"/>
            </w:tcBorders>
          </w:tcPr>
          <w:p w14:paraId="2678F5A1" w14:textId="77777777" w:rsidR="00EC2B92" w:rsidRPr="000528D7" w:rsidRDefault="00EC2B92" w:rsidP="004C7964">
            <w:pPr>
              <w:spacing w:after="0" w:line="240" w:lineRule="auto"/>
              <w:jc w:val="center"/>
              <w:rPr>
                <w:rFonts w:eastAsia="Times New Roman"/>
                <w:bCs/>
                <w:color w:val="000000"/>
                <w:sz w:val="22"/>
                <w:szCs w:val="20"/>
              </w:rPr>
            </w:pPr>
          </w:p>
        </w:tc>
        <w:tc>
          <w:tcPr>
            <w:tcW w:w="3254" w:type="dxa"/>
            <w:tcBorders>
              <w:top w:val="single" w:sz="4" w:space="0" w:color="auto"/>
              <w:left w:val="nil"/>
              <w:bottom w:val="single" w:sz="12" w:space="0" w:color="auto"/>
              <w:right w:val="nil"/>
            </w:tcBorders>
            <w:noWrap/>
            <w:vAlign w:val="bottom"/>
            <w:hideMark/>
          </w:tcPr>
          <w:p w14:paraId="0973D857"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sz w:val="22"/>
                <w:szCs w:val="20"/>
              </w:rPr>
              <w:t>Significant effects</w:t>
            </w:r>
          </w:p>
        </w:tc>
        <w:tc>
          <w:tcPr>
            <w:tcW w:w="1669" w:type="dxa"/>
            <w:tcBorders>
              <w:top w:val="single" w:sz="4" w:space="0" w:color="auto"/>
              <w:left w:val="nil"/>
              <w:bottom w:val="single" w:sz="12" w:space="0" w:color="auto"/>
              <w:right w:val="nil"/>
            </w:tcBorders>
            <w:noWrap/>
            <w:vAlign w:val="bottom"/>
            <w:hideMark/>
          </w:tcPr>
          <w:p w14:paraId="3C3F41F8"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i/>
                <w:color w:val="000000"/>
                <w:sz w:val="22"/>
                <w:szCs w:val="20"/>
              </w:rPr>
              <w:t>p</w:t>
            </w:r>
            <w:r w:rsidRPr="000528D7">
              <w:rPr>
                <w:rFonts w:eastAsia="Times New Roman"/>
                <w:bCs/>
                <w:sz w:val="22"/>
                <w:szCs w:val="20"/>
              </w:rPr>
              <w:t>-value</w:t>
            </w:r>
          </w:p>
        </w:tc>
      </w:tr>
      <w:tr w:rsidR="00EC2B92" w:rsidRPr="00220C0A" w14:paraId="6AFA61DC" w14:textId="77777777" w:rsidTr="00D34E37">
        <w:trPr>
          <w:trHeight w:val="316"/>
        </w:trPr>
        <w:tc>
          <w:tcPr>
            <w:tcW w:w="2180" w:type="dxa"/>
            <w:vMerge w:val="restart"/>
            <w:tcBorders>
              <w:top w:val="single" w:sz="12" w:space="0" w:color="auto"/>
              <w:left w:val="nil"/>
              <w:bottom w:val="nil"/>
              <w:right w:val="nil"/>
            </w:tcBorders>
            <w:noWrap/>
            <w:vAlign w:val="center"/>
            <w:hideMark/>
          </w:tcPr>
          <w:p w14:paraId="689FE08E"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sz w:val="22"/>
                <w:szCs w:val="20"/>
              </w:rPr>
              <w:t>Accuracy</w:t>
            </w:r>
          </w:p>
        </w:tc>
        <w:tc>
          <w:tcPr>
            <w:tcW w:w="236" w:type="dxa"/>
            <w:tcBorders>
              <w:top w:val="single" w:sz="12" w:space="0" w:color="auto"/>
              <w:left w:val="nil"/>
              <w:bottom w:val="nil"/>
              <w:right w:val="nil"/>
            </w:tcBorders>
          </w:tcPr>
          <w:p w14:paraId="58768FE3"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single" w:sz="12" w:space="0" w:color="auto"/>
              <w:left w:val="nil"/>
              <w:bottom w:val="nil"/>
              <w:right w:val="nil"/>
            </w:tcBorders>
            <w:noWrap/>
            <w:vAlign w:val="bottom"/>
            <w:hideMark/>
          </w:tcPr>
          <w:p w14:paraId="577ACB4F"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duration</w:t>
            </w:r>
          </w:p>
        </w:tc>
        <w:tc>
          <w:tcPr>
            <w:tcW w:w="1669" w:type="dxa"/>
            <w:tcBorders>
              <w:top w:val="single" w:sz="12" w:space="0" w:color="auto"/>
              <w:left w:val="nil"/>
              <w:bottom w:val="nil"/>
              <w:right w:val="nil"/>
            </w:tcBorders>
            <w:noWrap/>
            <w:vAlign w:val="bottom"/>
            <w:hideMark/>
          </w:tcPr>
          <w:p w14:paraId="1CD6795B" w14:textId="77777777" w:rsidR="00EC2B92" w:rsidRPr="000528D7" w:rsidRDefault="00040630" w:rsidP="004C7964">
            <w:pPr>
              <w:spacing w:after="0" w:line="240" w:lineRule="auto"/>
              <w:jc w:val="center"/>
              <w:rPr>
                <w:rFonts w:eastAsia="Times New Roman"/>
                <w:color w:val="000000"/>
                <w:sz w:val="20"/>
                <w:szCs w:val="20"/>
              </w:rPr>
            </w:pPr>
            <w:r>
              <w:rPr>
                <w:rFonts w:eastAsia="Times New Roman"/>
                <w:sz w:val="20"/>
                <w:szCs w:val="20"/>
              </w:rPr>
              <w:t xml:space="preserve"> </w:t>
            </w:r>
            <w:r w:rsidRPr="00040630">
              <w:rPr>
                <w:rFonts w:eastAsia="Times New Roman"/>
                <w:i/>
                <w:color w:val="000000"/>
                <w:sz w:val="20"/>
                <w:szCs w:val="20"/>
              </w:rPr>
              <w:t>p</w:t>
            </w:r>
            <w:r>
              <w:rPr>
                <w:rFonts w:eastAsia="Times New Roman"/>
                <w:sz w:val="20"/>
                <w:szCs w:val="20"/>
              </w:rPr>
              <w:t xml:space="preserve"> </w:t>
            </w:r>
            <w:r w:rsidR="00EC2B92" w:rsidRPr="000528D7">
              <w:rPr>
                <w:rFonts w:eastAsia="Times New Roman"/>
                <w:sz w:val="20"/>
                <w:szCs w:val="20"/>
              </w:rPr>
              <w:t>&lt; .001</w:t>
            </w:r>
          </w:p>
        </w:tc>
      </w:tr>
      <w:tr w:rsidR="00EC2B92" w:rsidRPr="00220C0A" w14:paraId="1DB46109" w14:textId="77777777" w:rsidTr="00D34E37">
        <w:trPr>
          <w:trHeight w:val="276"/>
        </w:trPr>
        <w:tc>
          <w:tcPr>
            <w:tcW w:w="2180" w:type="dxa"/>
            <w:vMerge/>
            <w:tcBorders>
              <w:top w:val="nil"/>
              <w:left w:val="nil"/>
              <w:bottom w:val="nil"/>
              <w:right w:val="nil"/>
            </w:tcBorders>
            <w:vAlign w:val="center"/>
            <w:hideMark/>
          </w:tcPr>
          <w:p w14:paraId="228931E8"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044C43DD"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7CD419B2"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coherence</w:t>
            </w:r>
          </w:p>
        </w:tc>
        <w:tc>
          <w:tcPr>
            <w:tcW w:w="1669" w:type="dxa"/>
            <w:tcBorders>
              <w:top w:val="nil"/>
              <w:left w:val="nil"/>
              <w:bottom w:val="nil"/>
              <w:right w:val="nil"/>
            </w:tcBorders>
            <w:noWrap/>
            <w:vAlign w:val="bottom"/>
            <w:hideMark/>
          </w:tcPr>
          <w:p w14:paraId="6FEACC81"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sz w:val="20"/>
                <w:szCs w:val="20"/>
              </w:rPr>
              <w:t xml:space="preserve"> </w:t>
            </w:r>
            <w:r w:rsidR="00EC2B92" w:rsidRPr="000528D7">
              <w:rPr>
                <w:rFonts w:eastAsia="Times New Roman"/>
                <w:sz w:val="20"/>
                <w:szCs w:val="20"/>
              </w:rPr>
              <w:t>&lt; .001</w:t>
            </w:r>
          </w:p>
        </w:tc>
      </w:tr>
      <w:tr w:rsidR="00EC2B92" w:rsidRPr="00220C0A" w14:paraId="0C240723" w14:textId="77777777" w:rsidTr="00D34E37">
        <w:trPr>
          <w:trHeight w:val="276"/>
        </w:trPr>
        <w:tc>
          <w:tcPr>
            <w:tcW w:w="2180" w:type="dxa"/>
            <w:vMerge/>
            <w:tcBorders>
              <w:top w:val="nil"/>
              <w:left w:val="nil"/>
              <w:bottom w:val="nil"/>
              <w:right w:val="nil"/>
            </w:tcBorders>
            <w:vAlign w:val="center"/>
            <w:hideMark/>
          </w:tcPr>
          <w:p w14:paraId="2BFB469A"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61D03B7D"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0C87176F"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duration × coherence</w:t>
            </w:r>
          </w:p>
        </w:tc>
        <w:tc>
          <w:tcPr>
            <w:tcW w:w="1669" w:type="dxa"/>
            <w:tcBorders>
              <w:top w:val="nil"/>
              <w:left w:val="nil"/>
              <w:bottom w:val="nil"/>
              <w:right w:val="nil"/>
            </w:tcBorders>
            <w:noWrap/>
            <w:vAlign w:val="bottom"/>
            <w:hideMark/>
          </w:tcPr>
          <w:p w14:paraId="359ABBD1"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sz w:val="20"/>
                <w:szCs w:val="20"/>
              </w:rPr>
              <w:t xml:space="preserve"> </w:t>
            </w:r>
            <w:r w:rsidR="00EC2B92" w:rsidRPr="000528D7">
              <w:rPr>
                <w:rFonts w:eastAsia="Times New Roman"/>
                <w:sz w:val="20"/>
                <w:szCs w:val="20"/>
              </w:rPr>
              <w:t>&lt; .001</w:t>
            </w:r>
          </w:p>
        </w:tc>
      </w:tr>
      <w:tr w:rsidR="00EC2B92" w:rsidRPr="00220C0A" w14:paraId="7B0032F8" w14:textId="77777777" w:rsidTr="00D34E37">
        <w:trPr>
          <w:trHeight w:val="194"/>
        </w:trPr>
        <w:tc>
          <w:tcPr>
            <w:tcW w:w="2180" w:type="dxa"/>
            <w:tcBorders>
              <w:top w:val="nil"/>
              <w:left w:val="nil"/>
              <w:bottom w:val="nil"/>
              <w:right w:val="nil"/>
            </w:tcBorders>
            <w:noWrap/>
            <w:vAlign w:val="center"/>
            <w:hideMark/>
          </w:tcPr>
          <w:p w14:paraId="5D3284C2" w14:textId="77777777" w:rsidR="00EC2B92" w:rsidRPr="000528D7" w:rsidRDefault="00EC2B92" w:rsidP="004C7964">
            <w:pPr>
              <w:spacing w:after="0" w:line="240" w:lineRule="auto"/>
              <w:jc w:val="center"/>
              <w:rPr>
                <w:rFonts w:eastAsia="Times New Roman"/>
                <w:color w:val="000000"/>
                <w:sz w:val="22"/>
                <w:szCs w:val="20"/>
              </w:rPr>
            </w:pPr>
          </w:p>
        </w:tc>
        <w:tc>
          <w:tcPr>
            <w:tcW w:w="236" w:type="dxa"/>
            <w:tcBorders>
              <w:top w:val="nil"/>
              <w:left w:val="nil"/>
              <w:bottom w:val="nil"/>
              <w:right w:val="nil"/>
            </w:tcBorders>
          </w:tcPr>
          <w:p w14:paraId="761BE568" w14:textId="77777777" w:rsidR="00EC2B92" w:rsidRPr="000528D7" w:rsidRDefault="00EC2B92" w:rsidP="004C7964">
            <w:pPr>
              <w:spacing w:after="0" w:line="240" w:lineRule="auto"/>
              <w:jc w:val="center"/>
              <w:rPr>
                <w:rFonts w:eastAsia="Times New Roman"/>
                <w:sz w:val="20"/>
                <w:szCs w:val="20"/>
              </w:rPr>
            </w:pPr>
          </w:p>
        </w:tc>
        <w:tc>
          <w:tcPr>
            <w:tcW w:w="3254" w:type="dxa"/>
            <w:tcBorders>
              <w:top w:val="nil"/>
              <w:left w:val="nil"/>
              <w:bottom w:val="nil"/>
              <w:right w:val="nil"/>
            </w:tcBorders>
            <w:noWrap/>
            <w:vAlign w:val="bottom"/>
            <w:hideMark/>
          </w:tcPr>
          <w:p w14:paraId="273CCC4E" w14:textId="77777777" w:rsidR="00EC2B92" w:rsidRPr="000528D7" w:rsidRDefault="00EC2B92" w:rsidP="004C7964">
            <w:pPr>
              <w:spacing w:after="0" w:line="240" w:lineRule="auto"/>
              <w:jc w:val="center"/>
              <w:rPr>
                <w:rFonts w:eastAsia="Times New Roman"/>
                <w:sz w:val="20"/>
                <w:szCs w:val="20"/>
              </w:rPr>
            </w:pPr>
          </w:p>
        </w:tc>
        <w:tc>
          <w:tcPr>
            <w:tcW w:w="1669" w:type="dxa"/>
            <w:tcBorders>
              <w:top w:val="nil"/>
              <w:left w:val="nil"/>
              <w:bottom w:val="nil"/>
              <w:right w:val="nil"/>
            </w:tcBorders>
            <w:noWrap/>
            <w:vAlign w:val="bottom"/>
            <w:hideMark/>
          </w:tcPr>
          <w:p w14:paraId="62769A09" w14:textId="77777777" w:rsidR="00EC2B92" w:rsidRPr="000528D7" w:rsidRDefault="00EC2B92" w:rsidP="004C7964">
            <w:pPr>
              <w:spacing w:after="0" w:line="240" w:lineRule="auto"/>
              <w:jc w:val="center"/>
              <w:rPr>
                <w:rFonts w:eastAsia="Times New Roman"/>
                <w:sz w:val="20"/>
                <w:szCs w:val="20"/>
              </w:rPr>
            </w:pPr>
          </w:p>
        </w:tc>
      </w:tr>
      <w:tr w:rsidR="00EC2B92" w:rsidRPr="00220C0A" w14:paraId="01F989D3" w14:textId="77777777" w:rsidTr="00D34E37">
        <w:trPr>
          <w:trHeight w:val="276"/>
        </w:trPr>
        <w:tc>
          <w:tcPr>
            <w:tcW w:w="2180" w:type="dxa"/>
            <w:vMerge w:val="restart"/>
            <w:tcBorders>
              <w:top w:val="single" w:sz="4" w:space="0" w:color="auto"/>
              <w:left w:val="nil"/>
              <w:bottom w:val="nil"/>
              <w:right w:val="nil"/>
            </w:tcBorders>
            <w:noWrap/>
            <w:vAlign w:val="center"/>
            <w:hideMark/>
          </w:tcPr>
          <w:p w14:paraId="51B03CEB"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sz w:val="22"/>
                <w:szCs w:val="20"/>
              </w:rPr>
              <w:t>Mean RT</w:t>
            </w:r>
          </w:p>
        </w:tc>
        <w:tc>
          <w:tcPr>
            <w:tcW w:w="236" w:type="dxa"/>
            <w:tcBorders>
              <w:top w:val="single" w:sz="4" w:space="0" w:color="auto"/>
              <w:left w:val="nil"/>
              <w:bottom w:val="nil"/>
              <w:right w:val="nil"/>
            </w:tcBorders>
          </w:tcPr>
          <w:p w14:paraId="711DE1B4"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single" w:sz="4" w:space="0" w:color="auto"/>
              <w:left w:val="nil"/>
              <w:bottom w:val="nil"/>
              <w:right w:val="nil"/>
            </w:tcBorders>
            <w:noWrap/>
            <w:vAlign w:val="bottom"/>
            <w:hideMark/>
          </w:tcPr>
          <w:p w14:paraId="2268AA88"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duration</w:t>
            </w:r>
          </w:p>
        </w:tc>
        <w:tc>
          <w:tcPr>
            <w:tcW w:w="1669" w:type="dxa"/>
            <w:tcBorders>
              <w:top w:val="single" w:sz="4" w:space="0" w:color="auto"/>
              <w:left w:val="nil"/>
              <w:bottom w:val="nil"/>
              <w:right w:val="nil"/>
            </w:tcBorders>
            <w:noWrap/>
            <w:vAlign w:val="bottom"/>
            <w:hideMark/>
          </w:tcPr>
          <w:p w14:paraId="2462EBB7"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sz w:val="20"/>
                <w:szCs w:val="20"/>
              </w:rPr>
              <w:t xml:space="preserve"> </w:t>
            </w:r>
            <w:r w:rsidR="00EC2B92" w:rsidRPr="000528D7">
              <w:rPr>
                <w:rFonts w:eastAsia="Times New Roman"/>
                <w:sz w:val="20"/>
                <w:szCs w:val="20"/>
              </w:rPr>
              <w:t>&lt; .001</w:t>
            </w:r>
          </w:p>
        </w:tc>
      </w:tr>
      <w:tr w:rsidR="00EC2B92" w:rsidRPr="00220C0A" w14:paraId="2A754BB1" w14:textId="77777777" w:rsidTr="00D34E37">
        <w:trPr>
          <w:trHeight w:val="276"/>
        </w:trPr>
        <w:tc>
          <w:tcPr>
            <w:tcW w:w="2180" w:type="dxa"/>
            <w:vMerge/>
            <w:tcBorders>
              <w:top w:val="single" w:sz="4" w:space="0" w:color="auto"/>
              <w:left w:val="nil"/>
              <w:bottom w:val="nil"/>
              <w:right w:val="nil"/>
            </w:tcBorders>
            <w:vAlign w:val="center"/>
            <w:hideMark/>
          </w:tcPr>
          <w:p w14:paraId="5D291BEC"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0D211664"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4964A2CA"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coherence</w:t>
            </w:r>
          </w:p>
        </w:tc>
        <w:tc>
          <w:tcPr>
            <w:tcW w:w="1669" w:type="dxa"/>
            <w:tcBorders>
              <w:top w:val="nil"/>
              <w:left w:val="nil"/>
              <w:bottom w:val="nil"/>
              <w:right w:val="nil"/>
            </w:tcBorders>
            <w:noWrap/>
            <w:vAlign w:val="bottom"/>
            <w:hideMark/>
          </w:tcPr>
          <w:p w14:paraId="34C5FC85"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sz w:val="20"/>
                <w:szCs w:val="20"/>
              </w:rPr>
              <w:t xml:space="preserve"> </w:t>
            </w:r>
            <w:r w:rsidR="00EC2B92" w:rsidRPr="000528D7">
              <w:rPr>
                <w:rFonts w:eastAsia="Times New Roman"/>
                <w:sz w:val="20"/>
                <w:szCs w:val="20"/>
              </w:rPr>
              <w:t>&lt; .001</w:t>
            </w:r>
          </w:p>
        </w:tc>
      </w:tr>
      <w:tr w:rsidR="00EC2B92" w:rsidRPr="00220C0A" w14:paraId="3BD4B59C" w14:textId="77777777" w:rsidTr="00D34E37">
        <w:trPr>
          <w:trHeight w:val="276"/>
        </w:trPr>
        <w:tc>
          <w:tcPr>
            <w:tcW w:w="2180" w:type="dxa"/>
            <w:vMerge/>
            <w:tcBorders>
              <w:top w:val="single" w:sz="4" w:space="0" w:color="auto"/>
              <w:left w:val="nil"/>
              <w:bottom w:val="nil"/>
              <w:right w:val="nil"/>
            </w:tcBorders>
            <w:vAlign w:val="center"/>
            <w:hideMark/>
          </w:tcPr>
          <w:p w14:paraId="70E582D0"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2FD86AA3"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1C7FB979"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duration × coherence</w:t>
            </w:r>
          </w:p>
        </w:tc>
        <w:tc>
          <w:tcPr>
            <w:tcW w:w="1669" w:type="dxa"/>
            <w:tcBorders>
              <w:top w:val="nil"/>
              <w:left w:val="nil"/>
              <w:bottom w:val="nil"/>
              <w:right w:val="nil"/>
            </w:tcBorders>
            <w:noWrap/>
            <w:vAlign w:val="bottom"/>
            <w:hideMark/>
          </w:tcPr>
          <w:p w14:paraId="6AFB0AA8" w14:textId="77777777" w:rsidR="00EC2B92" w:rsidRPr="000528D7" w:rsidRDefault="00040630" w:rsidP="004C7964">
            <w:pPr>
              <w:spacing w:after="0" w:line="240" w:lineRule="auto"/>
              <w:jc w:val="center"/>
              <w:rPr>
                <w:rFonts w:eastAsia="Times New Roman"/>
                <w:color w:val="000000"/>
                <w:sz w:val="20"/>
                <w:szCs w:val="20"/>
              </w:rPr>
            </w:pPr>
            <w:r>
              <w:rPr>
                <w:rFonts w:eastAsia="Times New Roman"/>
                <w:i/>
                <w:color w:val="000000"/>
                <w:sz w:val="20"/>
                <w:szCs w:val="20"/>
              </w:rPr>
              <w:t xml:space="preserve">p </w:t>
            </w:r>
            <w:r w:rsidRPr="00320C6D">
              <w:rPr>
                <w:rFonts w:eastAsia="Times New Roman"/>
                <w:color w:val="000000"/>
                <w:sz w:val="20"/>
                <w:szCs w:val="20"/>
              </w:rPr>
              <w:t>=</w:t>
            </w:r>
            <w:r>
              <w:rPr>
                <w:rFonts w:eastAsia="Times New Roman"/>
                <w:i/>
                <w:sz w:val="20"/>
                <w:szCs w:val="20"/>
              </w:rPr>
              <w:t xml:space="preserve"> </w:t>
            </w:r>
            <w:r w:rsidR="00EC2B92" w:rsidRPr="000528D7">
              <w:rPr>
                <w:rFonts w:eastAsia="Times New Roman"/>
                <w:sz w:val="20"/>
                <w:szCs w:val="20"/>
              </w:rPr>
              <w:t>.016</w:t>
            </w:r>
          </w:p>
        </w:tc>
      </w:tr>
      <w:tr w:rsidR="00EC2B92" w:rsidRPr="00220C0A" w14:paraId="6E5B54EA" w14:textId="77777777" w:rsidTr="00D34E37">
        <w:trPr>
          <w:trHeight w:val="195"/>
        </w:trPr>
        <w:tc>
          <w:tcPr>
            <w:tcW w:w="2180" w:type="dxa"/>
            <w:tcBorders>
              <w:top w:val="nil"/>
              <w:left w:val="nil"/>
              <w:bottom w:val="nil"/>
              <w:right w:val="nil"/>
            </w:tcBorders>
            <w:noWrap/>
            <w:vAlign w:val="center"/>
            <w:hideMark/>
          </w:tcPr>
          <w:p w14:paraId="6A47EEC5" w14:textId="77777777" w:rsidR="00EC2B92" w:rsidRPr="000528D7" w:rsidRDefault="00EC2B92" w:rsidP="004C7964">
            <w:pPr>
              <w:spacing w:after="0" w:line="240" w:lineRule="auto"/>
              <w:jc w:val="center"/>
              <w:rPr>
                <w:rFonts w:eastAsia="Times New Roman"/>
                <w:color w:val="000000"/>
                <w:sz w:val="22"/>
                <w:szCs w:val="20"/>
              </w:rPr>
            </w:pPr>
          </w:p>
        </w:tc>
        <w:tc>
          <w:tcPr>
            <w:tcW w:w="236" w:type="dxa"/>
            <w:tcBorders>
              <w:top w:val="nil"/>
              <w:left w:val="nil"/>
              <w:bottom w:val="nil"/>
              <w:right w:val="nil"/>
            </w:tcBorders>
          </w:tcPr>
          <w:p w14:paraId="649FF83F" w14:textId="77777777" w:rsidR="00EC2B92" w:rsidRPr="000528D7" w:rsidRDefault="00EC2B92" w:rsidP="004C7964">
            <w:pPr>
              <w:spacing w:after="0" w:line="240" w:lineRule="auto"/>
              <w:jc w:val="center"/>
              <w:rPr>
                <w:rFonts w:eastAsia="Times New Roman"/>
                <w:sz w:val="20"/>
                <w:szCs w:val="20"/>
              </w:rPr>
            </w:pPr>
          </w:p>
        </w:tc>
        <w:tc>
          <w:tcPr>
            <w:tcW w:w="3254" w:type="dxa"/>
            <w:tcBorders>
              <w:top w:val="nil"/>
              <w:left w:val="nil"/>
              <w:bottom w:val="nil"/>
              <w:right w:val="nil"/>
            </w:tcBorders>
            <w:noWrap/>
            <w:vAlign w:val="bottom"/>
            <w:hideMark/>
          </w:tcPr>
          <w:p w14:paraId="68036C50" w14:textId="77777777" w:rsidR="00EC2B92" w:rsidRPr="000528D7" w:rsidRDefault="00EC2B92" w:rsidP="004C7964">
            <w:pPr>
              <w:spacing w:after="0" w:line="240" w:lineRule="auto"/>
              <w:jc w:val="center"/>
              <w:rPr>
                <w:rFonts w:eastAsia="Times New Roman"/>
                <w:sz w:val="20"/>
                <w:szCs w:val="20"/>
              </w:rPr>
            </w:pPr>
          </w:p>
        </w:tc>
        <w:tc>
          <w:tcPr>
            <w:tcW w:w="1669" w:type="dxa"/>
            <w:tcBorders>
              <w:top w:val="nil"/>
              <w:left w:val="nil"/>
              <w:bottom w:val="single" w:sz="4" w:space="0" w:color="auto"/>
              <w:right w:val="nil"/>
            </w:tcBorders>
            <w:noWrap/>
            <w:vAlign w:val="bottom"/>
            <w:hideMark/>
          </w:tcPr>
          <w:p w14:paraId="665F3AB0" w14:textId="77777777" w:rsidR="00EC2B92" w:rsidRPr="000528D7" w:rsidRDefault="00EC2B92" w:rsidP="004C7964">
            <w:pPr>
              <w:spacing w:after="0" w:line="240" w:lineRule="auto"/>
              <w:jc w:val="center"/>
              <w:rPr>
                <w:rFonts w:eastAsia="Times New Roman"/>
                <w:sz w:val="20"/>
                <w:szCs w:val="20"/>
              </w:rPr>
            </w:pPr>
          </w:p>
        </w:tc>
      </w:tr>
      <w:tr w:rsidR="00EC2B92" w:rsidRPr="00220C0A" w14:paraId="1C8522D3" w14:textId="77777777" w:rsidTr="00D34E37">
        <w:trPr>
          <w:trHeight w:val="276"/>
        </w:trPr>
        <w:tc>
          <w:tcPr>
            <w:tcW w:w="2180" w:type="dxa"/>
            <w:vMerge w:val="restart"/>
            <w:tcBorders>
              <w:top w:val="single" w:sz="4" w:space="0" w:color="auto"/>
              <w:left w:val="nil"/>
              <w:bottom w:val="nil"/>
              <w:right w:val="nil"/>
            </w:tcBorders>
            <w:noWrap/>
            <w:vAlign w:val="center"/>
            <w:hideMark/>
          </w:tcPr>
          <w:p w14:paraId="40D59330"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sz w:val="22"/>
                <w:szCs w:val="20"/>
              </w:rPr>
              <w:t>Mean PMET</w:t>
            </w:r>
          </w:p>
        </w:tc>
        <w:tc>
          <w:tcPr>
            <w:tcW w:w="236" w:type="dxa"/>
            <w:tcBorders>
              <w:top w:val="single" w:sz="4" w:space="0" w:color="auto"/>
              <w:left w:val="nil"/>
              <w:bottom w:val="nil"/>
              <w:right w:val="nil"/>
            </w:tcBorders>
          </w:tcPr>
          <w:p w14:paraId="5C7C6DC8"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single" w:sz="4" w:space="0" w:color="auto"/>
              <w:left w:val="nil"/>
              <w:bottom w:val="nil"/>
              <w:right w:val="nil"/>
            </w:tcBorders>
            <w:noWrap/>
            <w:vAlign w:val="bottom"/>
            <w:hideMark/>
          </w:tcPr>
          <w:p w14:paraId="2C8C673A"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duration</w:t>
            </w:r>
          </w:p>
        </w:tc>
        <w:tc>
          <w:tcPr>
            <w:tcW w:w="1669" w:type="dxa"/>
            <w:tcBorders>
              <w:top w:val="single" w:sz="4" w:space="0" w:color="auto"/>
              <w:left w:val="nil"/>
              <w:bottom w:val="nil"/>
              <w:right w:val="nil"/>
            </w:tcBorders>
            <w:noWrap/>
            <w:vAlign w:val="bottom"/>
            <w:hideMark/>
          </w:tcPr>
          <w:p w14:paraId="2160E02F"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sz w:val="20"/>
                <w:szCs w:val="20"/>
              </w:rPr>
              <w:t xml:space="preserve"> </w:t>
            </w:r>
            <w:r w:rsidR="00EC2B92" w:rsidRPr="000528D7">
              <w:rPr>
                <w:rFonts w:eastAsia="Times New Roman"/>
                <w:sz w:val="20"/>
                <w:szCs w:val="20"/>
              </w:rPr>
              <w:t>&lt; .001</w:t>
            </w:r>
          </w:p>
        </w:tc>
      </w:tr>
      <w:tr w:rsidR="00EC2B92" w:rsidRPr="00220C0A" w14:paraId="36A3AF35" w14:textId="77777777" w:rsidTr="00D34E37">
        <w:trPr>
          <w:trHeight w:val="276"/>
        </w:trPr>
        <w:tc>
          <w:tcPr>
            <w:tcW w:w="2180" w:type="dxa"/>
            <w:vMerge/>
            <w:tcBorders>
              <w:top w:val="single" w:sz="4" w:space="0" w:color="auto"/>
              <w:left w:val="nil"/>
              <w:bottom w:val="nil"/>
              <w:right w:val="nil"/>
            </w:tcBorders>
            <w:vAlign w:val="center"/>
            <w:hideMark/>
          </w:tcPr>
          <w:p w14:paraId="3A95B186"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1BC8365A"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6AD9D7E9"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coherence</w:t>
            </w:r>
          </w:p>
        </w:tc>
        <w:tc>
          <w:tcPr>
            <w:tcW w:w="1669" w:type="dxa"/>
            <w:tcBorders>
              <w:top w:val="nil"/>
              <w:left w:val="nil"/>
              <w:bottom w:val="nil"/>
              <w:right w:val="nil"/>
            </w:tcBorders>
            <w:noWrap/>
            <w:vAlign w:val="bottom"/>
            <w:hideMark/>
          </w:tcPr>
          <w:p w14:paraId="423CEED8"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sz w:val="20"/>
                <w:szCs w:val="20"/>
              </w:rPr>
              <w:t xml:space="preserve"> </w:t>
            </w:r>
            <w:r w:rsidR="00EC2B92" w:rsidRPr="000528D7">
              <w:rPr>
                <w:rFonts w:eastAsia="Times New Roman"/>
                <w:sz w:val="20"/>
                <w:szCs w:val="20"/>
              </w:rPr>
              <w:t>&lt; .001</w:t>
            </w:r>
          </w:p>
        </w:tc>
      </w:tr>
      <w:tr w:rsidR="00EC2B92" w:rsidRPr="00220C0A" w14:paraId="14637B06" w14:textId="77777777" w:rsidTr="00D34E37">
        <w:trPr>
          <w:trHeight w:val="276"/>
        </w:trPr>
        <w:tc>
          <w:tcPr>
            <w:tcW w:w="2180" w:type="dxa"/>
            <w:vMerge/>
            <w:tcBorders>
              <w:top w:val="single" w:sz="4" w:space="0" w:color="auto"/>
              <w:left w:val="nil"/>
              <w:bottom w:val="nil"/>
              <w:right w:val="nil"/>
            </w:tcBorders>
            <w:vAlign w:val="center"/>
            <w:hideMark/>
          </w:tcPr>
          <w:p w14:paraId="40855CD2"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5746B297"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4E3E1D93"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duration × coherence</w:t>
            </w:r>
          </w:p>
        </w:tc>
        <w:tc>
          <w:tcPr>
            <w:tcW w:w="1669" w:type="dxa"/>
            <w:tcBorders>
              <w:top w:val="nil"/>
              <w:left w:val="nil"/>
              <w:bottom w:val="nil"/>
              <w:right w:val="nil"/>
            </w:tcBorders>
            <w:noWrap/>
            <w:vAlign w:val="bottom"/>
            <w:hideMark/>
          </w:tcPr>
          <w:p w14:paraId="40017E9F"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Pr>
                <w:rFonts w:eastAsia="Times New Roman"/>
                <w:i/>
                <w:sz w:val="20"/>
                <w:szCs w:val="20"/>
              </w:rPr>
              <w:t xml:space="preserve"> </w:t>
            </w:r>
            <w:r w:rsidRPr="00320C6D">
              <w:rPr>
                <w:rFonts w:eastAsia="Times New Roman"/>
                <w:color w:val="000000"/>
                <w:sz w:val="20"/>
                <w:szCs w:val="20"/>
              </w:rPr>
              <w:t>=</w:t>
            </w:r>
            <w:r>
              <w:rPr>
                <w:rFonts w:eastAsia="Times New Roman"/>
                <w:i/>
                <w:sz w:val="20"/>
                <w:szCs w:val="20"/>
              </w:rPr>
              <w:t xml:space="preserve"> </w:t>
            </w:r>
            <w:r w:rsidR="00EC2B92" w:rsidRPr="000528D7">
              <w:rPr>
                <w:rFonts w:eastAsia="Times New Roman"/>
                <w:sz w:val="20"/>
                <w:szCs w:val="20"/>
              </w:rPr>
              <w:t>.035</w:t>
            </w:r>
          </w:p>
        </w:tc>
      </w:tr>
      <w:tr w:rsidR="00EC2B92" w:rsidRPr="00220C0A" w14:paraId="728AF24F" w14:textId="77777777" w:rsidTr="00D34E37">
        <w:trPr>
          <w:trHeight w:val="218"/>
        </w:trPr>
        <w:tc>
          <w:tcPr>
            <w:tcW w:w="2180" w:type="dxa"/>
            <w:tcBorders>
              <w:top w:val="nil"/>
              <w:left w:val="nil"/>
              <w:bottom w:val="single" w:sz="4" w:space="0" w:color="auto"/>
              <w:right w:val="nil"/>
            </w:tcBorders>
            <w:noWrap/>
            <w:vAlign w:val="bottom"/>
            <w:hideMark/>
          </w:tcPr>
          <w:p w14:paraId="47733FD0" w14:textId="77777777" w:rsidR="00EC2B92" w:rsidRPr="000528D7" w:rsidRDefault="00EC2B92" w:rsidP="004C7964">
            <w:pPr>
              <w:spacing w:after="0" w:line="240" w:lineRule="auto"/>
              <w:jc w:val="center"/>
              <w:rPr>
                <w:rFonts w:eastAsia="Times New Roman"/>
                <w:color w:val="000000"/>
                <w:sz w:val="22"/>
                <w:szCs w:val="20"/>
              </w:rPr>
            </w:pPr>
          </w:p>
        </w:tc>
        <w:tc>
          <w:tcPr>
            <w:tcW w:w="236" w:type="dxa"/>
            <w:tcBorders>
              <w:top w:val="nil"/>
              <w:left w:val="nil"/>
              <w:bottom w:val="single" w:sz="4" w:space="0" w:color="auto"/>
              <w:right w:val="nil"/>
            </w:tcBorders>
          </w:tcPr>
          <w:p w14:paraId="2B63F5F7" w14:textId="77777777" w:rsidR="00EC2B92" w:rsidRPr="000528D7" w:rsidRDefault="00EC2B92" w:rsidP="004C7964">
            <w:pPr>
              <w:spacing w:after="0" w:line="240" w:lineRule="auto"/>
              <w:jc w:val="center"/>
              <w:rPr>
                <w:rFonts w:eastAsia="Times New Roman"/>
                <w:sz w:val="20"/>
                <w:szCs w:val="20"/>
              </w:rPr>
            </w:pPr>
          </w:p>
        </w:tc>
        <w:tc>
          <w:tcPr>
            <w:tcW w:w="3254" w:type="dxa"/>
            <w:tcBorders>
              <w:top w:val="nil"/>
              <w:left w:val="nil"/>
              <w:bottom w:val="single" w:sz="4" w:space="0" w:color="auto"/>
              <w:right w:val="nil"/>
            </w:tcBorders>
            <w:noWrap/>
            <w:vAlign w:val="bottom"/>
            <w:hideMark/>
          </w:tcPr>
          <w:p w14:paraId="34DFD1AF" w14:textId="77777777" w:rsidR="00EC2B92" w:rsidRPr="000528D7" w:rsidRDefault="00EC2B92" w:rsidP="004C7964">
            <w:pPr>
              <w:spacing w:after="0" w:line="240" w:lineRule="auto"/>
              <w:jc w:val="center"/>
              <w:rPr>
                <w:rFonts w:eastAsia="Times New Roman"/>
                <w:sz w:val="20"/>
                <w:szCs w:val="20"/>
              </w:rPr>
            </w:pPr>
          </w:p>
        </w:tc>
        <w:tc>
          <w:tcPr>
            <w:tcW w:w="1669" w:type="dxa"/>
            <w:tcBorders>
              <w:top w:val="nil"/>
              <w:left w:val="nil"/>
              <w:bottom w:val="single" w:sz="4" w:space="0" w:color="auto"/>
              <w:right w:val="nil"/>
            </w:tcBorders>
            <w:noWrap/>
            <w:vAlign w:val="bottom"/>
            <w:hideMark/>
          </w:tcPr>
          <w:p w14:paraId="097BEEF5" w14:textId="77777777" w:rsidR="00EC2B92" w:rsidRPr="000528D7" w:rsidRDefault="00EC2B92" w:rsidP="004C7964">
            <w:pPr>
              <w:spacing w:after="0" w:line="240" w:lineRule="auto"/>
              <w:jc w:val="center"/>
              <w:rPr>
                <w:rFonts w:eastAsia="Times New Roman"/>
                <w:sz w:val="20"/>
                <w:szCs w:val="20"/>
              </w:rPr>
            </w:pPr>
          </w:p>
        </w:tc>
      </w:tr>
      <w:tr w:rsidR="00EC2B92" w:rsidRPr="00220C0A" w14:paraId="02744EB0" w14:textId="77777777" w:rsidTr="00D34E37">
        <w:trPr>
          <w:trHeight w:val="375"/>
        </w:trPr>
        <w:tc>
          <w:tcPr>
            <w:tcW w:w="2180" w:type="dxa"/>
            <w:tcBorders>
              <w:top w:val="single" w:sz="4" w:space="0" w:color="auto"/>
              <w:left w:val="nil"/>
              <w:bottom w:val="single" w:sz="12" w:space="0" w:color="auto"/>
              <w:right w:val="nil"/>
            </w:tcBorders>
            <w:noWrap/>
            <w:vAlign w:val="center"/>
            <w:hideMark/>
          </w:tcPr>
          <w:p w14:paraId="577EC193"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sz w:val="22"/>
                <w:szCs w:val="20"/>
              </w:rPr>
              <w:t>Mean MET</w:t>
            </w:r>
          </w:p>
        </w:tc>
        <w:tc>
          <w:tcPr>
            <w:tcW w:w="236" w:type="dxa"/>
            <w:tcBorders>
              <w:top w:val="single" w:sz="4" w:space="0" w:color="auto"/>
              <w:left w:val="nil"/>
              <w:bottom w:val="single" w:sz="12" w:space="0" w:color="auto"/>
              <w:right w:val="nil"/>
            </w:tcBorders>
          </w:tcPr>
          <w:p w14:paraId="34D50E6D" w14:textId="77777777" w:rsidR="00EC2B92" w:rsidRPr="000528D7" w:rsidRDefault="00EC2B92" w:rsidP="004C7964">
            <w:pPr>
              <w:spacing w:after="0" w:line="240" w:lineRule="auto"/>
              <w:jc w:val="center"/>
              <w:rPr>
                <w:rFonts w:eastAsia="Times New Roman"/>
                <w:sz w:val="20"/>
                <w:szCs w:val="20"/>
              </w:rPr>
            </w:pPr>
          </w:p>
        </w:tc>
        <w:tc>
          <w:tcPr>
            <w:tcW w:w="3254" w:type="dxa"/>
            <w:tcBorders>
              <w:top w:val="single" w:sz="4" w:space="0" w:color="auto"/>
              <w:left w:val="nil"/>
              <w:bottom w:val="single" w:sz="12" w:space="0" w:color="auto"/>
              <w:right w:val="nil"/>
            </w:tcBorders>
            <w:noWrap/>
            <w:vAlign w:val="center"/>
            <w:hideMark/>
          </w:tcPr>
          <w:p w14:paraId="6C974642"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w:t>
            </w:r>
          </w:p>
        </w:tc>
        <w:tc>
          <w:tcPr>
            <w:tcW w:w="1669" w:type="dxa"/>
            <w:tcBorders>
              <w:top w:val="single" w:sz="4" w:space="0" w:color="auto"/>
              <w:left w:val="nil"/>
              <w:bottom w:val="single" w:sz="12" w:space="0" w:color="auto"/>
              <w:right w:val="nil"/>
            </w:tcBorders>
            <w:noWrap/>
            <w:vAlign w:val="center"/>
            <w:hideMark/>
          </w:tcPr>
          <w:p w14:paraId="026F49F1" w14:textId="77777777" w:rsidR="00EC2B92" w:rsidRPr="000528D7" w:rsidRDefault="00EC2B92" w:rsidP="004C7964">
            <w:pPr>
              <w:spacing w:after="0" w:line="240" w:lineRule="auto"/>
              <w:jc w:val="center"/>
              <w:rPr>
                <w:rFonts w:eastAsia="Times New Roman"/>
                <w:i/>
                <w:iCs/>
                <w:color w:val="000000"/>
                <w:sz w:val="20"/>
                <w:szCs w:val="20"/>
              </w:rPr>
            </w:pPr>
            <w:r w:rsidRPr="000528D7">
              <w:rPr>
                <w:rFonts w:eastAsia="Times New Roman"/>
                <w:sz w:val="20"/>
                <w:szCs w:val="20"/>
              </w:rPr>
              <w:t>–</w:t>
            </w:r>
          </w:p>
        </w:tc>
      </w:tr>
    </w:tbl>
    <w:p w14:paraId="42FB68E4" w14:textId="77777777" w:rsidR="007E26FC" w:rsidRPr="007E4E5A" w:rsidRDefault="00DA4BD2" w:rsidP="00DB3922">
      <w:pPr>
        <w:spacing w:before="120" w:after="120" w:line="259" w:lineRule="auto"/>
      </w:pPr>
      <w:r w:rsidRPr="007E4E5A">
        <w:rPr>
          <w:i/>
          <w:sz w:val="20"/>
          <w:szCs w:val="20"/>
        </w:rPr>
        <w:t>Note</w:t>
      </w:r>
      <w:r w:rsidRPr="007E4E5A">
        <w:rPr>
          <w:sz w:val="20"/>
          <w:szCs w:val="20"/>
        </w:rPr>
        <w:t xml:space="preserve">. </w:t>
      </w:r>
      <w:r w:rsidR="00DB3922" w:rsidRPr="007E4E5A">
        <w:rPr>
          <w:sz w:val="20"/>
          <w:szCs w:val="20"/>
        </w:rPr>
        <w:t xml:space="preserve">Full ANOVA results, including effect sizes, are reported in </w:t>
      </w:r>
      <w:r w:rsidR="002A70D9" w:rsidRPr="007E4E5A">
        <w:rPr>
          <w:sz w:val="20"/>
          <w:szCs w:val="20"/>
        </w:rPr>
        <w:t>Table S1</w:t>
      </w:r>
      <w:r w:rsidR="00DB3922" w:rsidRPr="007E4E5A">
        <w:rPr>
          <w:sz w:val="20"/>
          <w:szCs w:val="20"/>
        </w:rPr>
        <w:t>.</w:t>
      </w:r>
    </w:p>
    <w:p w14:paraId="41F3D115" w14:textId="77777777" w:rsidR="00E9704A" w:rsidRDefault="00E9704A" w:rsidP="0070009D">
      <w:pPr>
        <w:spacing w:line="360" w:lineRule="auto"/>
        <w:rPr>
          <w:b/>
          <w:szCs w:val="22"/>
        </w:rPr>
        <w:sectPr w:rsidR="00E9704A">
          <w:pgSz w:w="11906" w:h="16838"/>
          <w:pgMar w:top="1417" w:right="1417" w:bottom="1417" w:left="1417" w:header="708" w:footer="708" w:gutter="0"/>
          <w:cols w:space="708"/>
          <w:docGrid w:linePitch="360"/>
        </w:sectPr>
      </w:pPr>
    </w:p>
    <w:p w14:paraId="41A8F828" w14:textId="77777777" w:rsidR="003232F3" w:rsidRPr="00136DDA" w:rsidRDefault="003E2AC3" w:rsidP="003232F3">
      <w:pPr>
        <w:spacing w:line="276" w:lineRule="auto"/>
        <w:rPr>
          <w:b/>
          <w:sz w:val="22"/>
          <w:szCs w:val="22"/>
        </w:rPr>
      </w:pPr>
      <w:r w:rsidRPr="00136DDA">
        <w:rPr>
          <w:b/>
          <w:sz w:val="22"/>
          <w:szCs w:val="22"/>
        </w:rPr>
        <w:lastRenderedPageBreak/>
        <w:t>Table 2</w:t>
      </w:r>
      <w:r w:rsidR="00136DDA" w:rsidRPr="00136DDA">
        <w:rPr>
          <w:b/>
          <w:sz w:val="22"/>
          <w:szCs w:val="22"/>
        </w:rPr>
        <w:t xml:space="preserve">. </w:t>
      </w:r>
      <w:r w:rsidR="0085372A" w:rsidRPr="00136DDA">
        <w:rPr>
          <w:b/>
          <w:sz w:val="22"/>
          <w:szCs w:val="22"/>
        </w:rPr>
        <w:t>Significant effects from the ANOVAs on partial muscle activation (PMA)</w:t>
      </w:r>
      <w:r w:rsidR="008802CE" w:rsidRPr="00136DDA">
        <w:rPr>
          <w:b/>
          <w:sz w:val="22"/>
          <w:szCs w:val="22"/>
        </w:rPr>
        <w:t xml:space="preserve"> rate</w:t>
      </w:r>
      <w:r w:rsidR="0027084A" w:rsidRPr="00136DDA">
        <w:rPr>
          <w:b/>
          <w:sz w:val="22"/>
          <w:szCs w:val="22"/>
        </w:rPr>
        <w:t xml:space="preserve"> in the electromy</w:t>
      </w:r>
      <w:r w:rsidR="006249FA" w:rsidRPr="00136DDA">
        <w:rPr>
          <w:b/>
          <w:sz w:val="22"/>
          <w:szCs w:val="22"/>
        </w:rPr>
        <w:t>ographic channel of</w:t>
      </w:r>
      <w:r w:rsidR="0027084A" w:rsidRPr="00136DDA">
        <w:rPr>
          <w:b/>
          <w:sz w:val="22"/>
          <w:szCs w:val="22"/>
        </w:rPr>
        <w:t xml:space="preserve"> the responding effector</w:t>
      </w:r>
      <w:r w:rsidR="0085372A" w:rsidRPr="00136DDA">
        <w:rPr>
          <w:b/>
          <w:sz w:val="22"/>
          <w:szCs w:val="22"/>
        </w:rPr>
        <w:t xml:space="preserve">, </w:t>
      </w:r>
      <w:r w:rsidR="00DC3482" w:rsidRPr="00136DDA">
        <w:rPr>
          <w:b/>
          <w:sz w:val="22"/>
          <w:szCs w:val="22"/>
        </w:rPr>
        <w:t>mu–beta-band spectral amplitude lateralization (MBL)</w:t>
      </w:r>
      <w:r w:rsidR="00BA5EAB" w:rsidRPr="00136DDA">
        <w:rPr>
          <w:b/>
          <w:sz w:val="22"/>
          <w:szCs w:val="22"/>
        </w:rPr>
        <w:t xml:space="preserve">, and lateralized readiness potential (LRP) amplitude </w:t>
      </w:r>
      <w:r w:rsidR="008802CE" w:rsidRPr="00136DDA">
        <w:rPr>
          <w:b/>
          <w:sz w:val="22"/>
          <w:szCs w:val="22"/>
        </w:rPr>
        <w:t>across</w:t>
      </w:r>
      <w:r w:rsidR="00BA5EAB" w:rsidRPr="00136DDA">
        <w:rPr>
          <w:b/>
          <w:sz w:val="22"/>
          <w:szCs w:val="22"/>
        </w:rPr>
        <w:t xml:space="preserve"> </w:t>
      </w:r>
      <w:r w:rsidR="006249FA" w:rsidRPr="00136DDA">
        <w:rPr>
          <w:b/>
          <w:sz w:val="22"/>
          <w:szCs w:val="22"/>
        </w:rPr>
        <w:t xml:space="preserve">task </w:t>
      </w:r>
      <w:r w:rsidR="00BA5EAB" w:rsidRPr="00136DDA">
        <w:rPr>
          <w:b/>
          <w:sz w:val="22"/>
          <w:szCs w:val="22"/>
        </w:rPr>
        <w:t>period</w:t>
      </w:r>
      <w:r w:rsidR="008802CE" w:rsidRPr="00136DDA">
        <w:rPr>
          <w:b/>
          <w:sz w:val="22"/>
          <w:szCs w:val="22"/>
        </w:rPr>
        <w:t>s</w:t>
      </w:r>
      <w:r w:rsidR="00136DDA" w:rsidRPr="00136DDA">
        <w:rPr>
          <w:b/>
          <w:sz w:val="22"/>
          <w:szCs w:val="22"/>
        </w:rPr>
        <w:t>.</w:t>
      </w:r>
      <w:r w:rsidR="00E547F0">
        <w:rPr>
          <w:b/>
          <w:sz w:val="22"/>
          <w:szCs w:val="22"/>
        </w:rPr>
        <w:t xml:space="preserve"> </w:t>
      </w:r>
    </w:p>
    <w:tbl>
      <w:tblPr>
        <w:tblW w:w="8779" w:type="dxa"/>
        <w:tblLook w:val="04A0" w:firstRow="1" w:lastRow="0" w:firstColumn="1" w:lastColumn="0" w:noHBand="0" w:noVBand="1"/>
        <w:tblLayout w:type="fixed"/>
      </w:tblPr>
      <w:tblGrid>
        <w:gridCol w:w="1701"/>
        <w:gridCol w:w="2079"/>
        <w:gridCol w:w="266"/>
        <w:gridCol w:w="1033"/>
        <w:gridCol w:w="222"/>
        <w:gridCol w:w="963"/>
        <w:gridCol w:w="222"/>
        <w:gridCol w:w="963"/>
        <w:gridCol w:w="222"/>
        <w:gridCol w:w="1108"/>
      </w:tblGrid>
      <w:tr w:rsidR="003E2AC3" w:rsidRPr="001E5E27" w14:paraId="0447C582" w14:textId="77777777" w:rsidTr="002E2AC7">
        <w:trPr>
          <w:trHeight w:val="351" w:hRule="atLeast"/>
        </w:trPr>
        <w:tc>
          <w:tcPr>
            <w:tcW w:w="1701" w:type="dxa"/>
            <w:tcBorders>
              <w:top w:val="single" w:sz="4" w:space="0" w:color="auto"/>
              <w:left w:val="nil"/>
              <w:bottom w:val="single" w:sz="12" w:space="0" w:color="auto"/>
              <w:right w:val="nil"/>
            </w:tcBorders>
            <w:noWrap/>
            <w:hideMark/>
          </w:tcPr>
          <w:p w14:paraId="0A44F518" w14:textId="77777777"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sz w:val="22"/>
                <w:szCs w:val="20"/>
              </w:rPr>
              <w:t>Dependent variable</w:t>
            </w:r>
          </w:p>
        </w:tc>
        <w:tc>
          <w:tcPr>
            <w:tcW w:w="2079" w:type="dxa"/>
            <w:tcBorders>
              <w:top w:val="single" w:sz="4" w:space="0" w:color="auto"/>
              <w:left w:val="nil"/>
              <w:bottom w:val="single" w:sz="12" w:space="0" w:color="auto"/>
              <w:right w:val="nil"/>
            </w:tcBorders>
            <w:noWrap/>
            <w:vAlign w:val="center"/>
            <w:hideMark/>
          </w:tcPr>
          <w:p w14:paraId="127B560A" w14:textId="77777777" w:rsidR="003E2AC3" w:rsidRPr="005B22F4" w:rsidRDefault="0051056C" w:rsidP="002D06AB">
            <w:pPr>
              <w:spacing w:after="0" w:line="240" w:lineRule="auto"/>
              <w:jc w:val="center"/>
              <w:rPr>
                <w:rFonts w:eastAsia="Times New Roman"/>
                <w:bCs/>
                <w:color w:val="000000"/>
                <w:sz w:val="22"/>
                <w:szCs w:val="20"/>
              </w:rPr>
            </w:pPr>
            <w:r w:rsidRPr="005B22F4">
              <w:rPr>
                <w:rFonts w:eastAsia="Times New Roman"/>
                <w:bCs/>
                <w:sz w:val="22"/>
                <w:szCs w:val="20"/>
              </w:rPr>
              <w:t>Significant effects</w:t>
            </w:r>
          </w:p>
        </w:tc>
        <w:tc>
          <w:tcPr>
            <w:tcW w:w="266" w:type="dxa"/>
            <w:tcBorders>
              <w:top w:val="single" w:sz="4" w:space="0" w:color="auto"/>
              <w:left w:val="nil"/>
              <w:bottom w:val="nil"/>
              <w:right w:val="nil"/>
            </w:tcBorders>
            <w:noWrap/>
            <w:vAlign w:val="center"/>
            <w:hideMark/>
          </w:tcPr>
          <w:p w14:paraId="20A07994" w14:textId="77777777" w:rsidR="003E2AC3" w:rsidRPr="005B22F4" w:rsidRDefault="003E2AC3" w:rsidP="002D06AB">
            <w:pPr>
              <w:spacing w:after="0" w:line="240" w:lineRule="auto"/>
              <w:jc w:val="center"/>
              <w:rPr>
                <w:rFonts w:eastAsia="Times New Roman"/>
                <w:bCs/>
                <w:color w:val="000000"/>
                <w:sz w:val="22"/>
                <w:szCs w:val="20"/>
              </w:rPr>
            </w:pPr>
          </w:p>
        </w:tc>
        <w:tc>
          <w:tcPr>
            <w:tcW w:w="4733" w:type="dxa"/>
            <w:gridSpan w:val="7"/>
            <w:tcBorders>
              <w:top w:val="single" w:sz="4" w:space="0" w:color="auto"/>
              <w:left w:val="nil"/>
              <w:bottom w:val="single" w:sz="12" w:space="0" w:color="auto"/>
              <w:right w:val="nil"/>
            </w:tcBorders>
            <w:noWrap/>
            <w:vAlign w:val="center"/>
            <w:hideMark/>
          </w:tcPr>
          <w:p w14:paraId="4764E23B" w14:textId="77777777"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sz w:val="22"/>
                <w:szCs w:val="20"/>
              </w:rPr>
              <w:t>Period</w:t>
            </w:r>
          </w:p>
        </w:tc>
      </w:tr>
      <w:tr w:rsidR="003E2AC3" w:rsidRPr="001E5E27" w14:paraId="4144510A" w14:textId="77777777" w:rsidTr="007972EC">
        <w:trPr>
          <w:trHeight w:val="300" w:hRule="atLeast"/>
        </w:trPr>
        <w:tc>
          <w:tcPr>
            <w:tcW w:w="1701" w:type="dxa"/>
            <w:tcBorders>
              <w:top w:val="single" w:sz="12" w:space="0" w:color="auto"/>
              <w:left w:val="nil"/>
              <w:bottom w:val="nil"/>
              <w:right w:val="nil"/>
            </w:tcBorders>
            <w:noWrap/>
            <w:vAlign w:val="bottom"/>
            <w:hideMark/>
          </w:tcPr>
          <w:p w14:paraId="5070B80F" w14:textId="77777777" w:rsidR="003E2AC3" w:rsidRPr="005B22F4" w:rsidRDefault="003E2AC3" w:rsidP="002D06AB">
            <w:pPr>
              <w:spacing w:after="0" w:line="240" w:lineRule="auto"/>
              <w:jc w:val="center"/>
              <w:rPr>
                <w:rFonts w:eastAsia="Times New Roman"/>
                <w:bCs/>
                <w:color w:val="000000"/>
                <w:sz w:val="20"/>
                <w:szCs w:val="20"/>
              </w:rPr>
            </w:pPr>
          </w:p>
        </w:tc>
        <w:tc>
          <w:tcPr>
            <w:tcW w:w="2079" w:type="dxa"/>
            <w:tcBorders>
              <w:top w:val="single" w:sz="12" w:space="0" w:color="auto"/>
              <w:left w:val="nil"/>
              <w:bottom w:val="nil"/>
              <w:right w:val="nil"/>
            </w:tcBorders>
            <w:noWrap/>
            <w:vAlign w:val="bottom"/>
            <w:hideMark/>
          </w:tcPr>
          <w:p w14:paraId="0F51FB42" w14:textId="77777777" w:rsidR="003E2AC3" w:rsidRPr="005B22F4" w:rsidRDefault="003E2AC3" w:rsidP="002D06AB">
            <w:pPr>
              <w:spacing w:after="0" w:line="240" w:lineRule="auto"/>
              <w:jc w:val="center"/>
              <w:rPr>
                <w:rFonts w:eastAsia="Times New Roman"/>
                <w:sz w:val="20"/>
                <w:szCs w:val="20"/>
              </w:rPr>
            </w:pPr>
          </w:p>
        </w:tc>
        <w:tc>
          <w:tcPr>
            <w:tcW w:w="266" w:type="dxa"/>
            <w:tcBorders>
              <w:top w:val="nil"/>
              <w:left w:val="nil"/>
              <w:bottom w:val="nil"/>
              <w:right w:val="nil"/>
            </w:tcBorders>
            <w:noWrap/>
            <w:vAlign w:val="bottom"/>
            <w:hideMark/>
          </w:tcPr>
          <w:p w14:paraId="5720C45A" w14:textId="77777777" w:rsidR="003E2AC3" w:rsidRPr="005B22F4" w:rsidRDefault="003E2AC3" w:rsidP="002D06AB">
            <w:pPr>
              <w:spacing w:after="0" w:line="240" w:lineRule="auto"/>
              <w:jc w:val="center"/>
              <w:rPr>
                <w:rFonts w:eastAsia="Times New Roman"/>
                <w:sz w:val="20"/>
                <w:szCs w:val="20"/>
              </w:rPr>
            </w:pPr>
          </w:p>
        </w:tc>
        <w:tc>
          <w:tcPr>
            <w:tcW w:w="1033" w:type="dxa"/>
            <w:tcBorders>
              <w:top w:val="single" w:sz="12" w:space="0" w:color="auto"/>
              <w:left w:val="nil"/>
              <w:bottom w:val="nil"/>
              <w:right w:val="nil"/>
            </w:tcBorders>
            <w:noWrap/>
            <w:vAlign w:val="bottom"/>
            <w:hideMark/>
          </w:tcPr>
          <w:p w14:paraId="1F19A570" w14:textId="77777777" w:rsidR="003E2AC3" w:rsidRPr="005B22F4" w:rsidRDefault="003E2AC3" w:rsidP="002D06AB">
            <w:pPr>
              <w:spacing w:after="0" w:line="240" w:lineRule="auto"/>
              <w:jc w:val="center"/>
              <w:rPr>
                <w:rFonts w:eastAsia="Times New Roman"/>
                <w:sz w:val="20"/>
                <w:szCs w:val="20"/>
              </w:rPr>
            </w:pPr>
          </w:p>
        </w:tc>
        <w:tc>
          <w:tcPr>
            <w:tcW w:w="222" w:type="dxa"/>
            <w:tcBorders>
              <w:top w:val="single" w:sz="12" w:space="0" w:color="auto"/>
              <w:left w:val="nil"/>
              <w:bottom w:val="nil"/>
              <w:right w:val="nil"/>
            </w:tcBorders>
            <w:noWrap/>
            <w:vAlign w:val="bottom"/>
            <w:hideMark/>
          </w:tcPr>
          <w:p w14:paraId="35EC6D04" w14:textId="77777777" w:rsidR="003E2AC3" w:rsidRPr="005B22F4" w:rsidRDefault="003E2AC3" w:rsidP="002D06AB">
            <w:pPr>
              <w:spacing w:after="0" w:line="240" w:lineRule="auto"/>
              <w:jc w:val="center"/>
              <w:rPr>
                <w:rFonts w:eastAsia="Times New Roman"/>
                <w:sz w:val="20"/>
                <w:szCs w:val="20"/>
              </w:rPr>
            </w:pPr>
          </w:p>
        </w:tc>
        <w:tc>
          <w:tcPr>
            <w:tcW w:w="963" w:type="dxa"/>
            <w:tcBorders>
              <w:top w:val="single" w:sz="12" w:space="0" w:color="auto"/>
              <w:left w:val="nil"/>
              <w:bottom w:val="nil"/>
              <w:right w:val="nil"/>
            </w:tcBorders>
            <w:noWrap/>
            <w:vAlign w:val="bottom"/>
            <w:hideMark/>
          </w:tcPr>
          <w:p w14:paraId="4A1EF630" w14:textId="77777777" w:rsidR="003E2AC3" w:rsidRPr="005B22F4" w:rsidRDefault="003E2AC3" w:rsidP="002D06AB">
            <w:pPr>
              <w:spacing w:after="0" w:line="240" w:lineRule="auto"/>
              <w:jc w:val="center"/>
              <w:rPr>
                <w:rFonts w:eastAsia="Times New Roman"/>
                <w:sz w:val="20"/>
                <w:szCs w:val="20"/>
              </w:rPr>
            </w:pPr>
          </w:p>
        </w:tc>
        <w:tc>
          <w:tcPr>
            <w:tcW w:w="222" w:type="dxa"/>
            <w:tcBorders>
              <w:top w:val="single" w:sz="12" w:space="0" w:color="auto"/>
              <w:left w:val="nil"/>
              <w:bottom w:val="nil"/>
              <w:right w:val="nil"/>
            </w:tcBorders>
            <w:noWrap/>
            <w:vAlign w:val="bottom"/>
            <w:hideMark/>
          </w:tcPr>
          <w:p w14:paraId="20D77112" w14:textId="77777777" w:rsidR="003E2AC3" w:rsidRPr="005B22F4" w:rsidRDefault="003E2AC3" w:rsidP="002D06AB">
            <w:pPr>
              <w:spacing w:after="0" w:line="240" w:lineRule="auto"/>
              <w:jc w:val="center"/>
              <w:rPr>
                <w:rFonts w:eastAsia="Times New Roman"/>
                <w:sz w:val="20"/>
                <w:szCs w:val="20"/>
              </w:rPr>
            </w:pPr>
          </w:p>
        </w:tc>
        <w:tc>
          <w:tcPr>
            <w:tcW w:w="963" w:type="dxa"/>
            <w:tcBorders>
              <w:top w:val="single" w:sz="12" w:space="0" w:color="auto"/>
              <w:left w:val="nil"/>
              <w:bottom w:val="nil"/>
              <w:right w:val="nil"/>
            </w:tcBorders>
            <w:noWrap/>
            <w:vAlign w:val="bottom"/>
            <w:hideMark/>
          </w:tcPr>
          <w:p w14:paraId="04198D05" w14:textId="77777777" w:rsidR="003E2AC3" w:rsidRPr="005B22F4" w:rsidRDefault="003E2AC3" w:rsidP="002D06AB">
            <w:pPr>
              <w:spacing w:after="0" w:line="240" w:lineRule="auto"/>
              <w:jc w:val="center"/>
              <w:rPr>
                <w:rFonts w:eastAsia="Times New Roman"/>
                <w:sz w:val="20"/>
                <w:szCs w:val="20"/>
              </w:rPr>
            </w:pPr>
          </w:p>
        </w:tc>
        <w:tc>
          <w:tcPr>
            <w:tcW w:w="222" w:type="dxa"/>
            <w:tcBorders>
              <w:top w:val="single" w:sz="12" w:space="0" w:color="auto"/>
              <w:left w:val="nil"/>
              <w:bottom w:val="nil"/>
              <w:right w:val="nil"/>
            </w:tcBorders>
            <w:noWrap/>
            <w:vAlign w:val="bottom"/>
            <w:hideMark/>
          </w:tcPr>
          <w:p w14:paraId="6343A53F" w14:textId="77777777" w:rsidR="003E2AC3" w:rsidRPr="005B22F4" w:rsidRDefault="003E2AC3" w:rsidP="002D06AB">
            <w:pPr>
              <w:spacing w:after="0" w:line="240" w:lineRule="auto"/>
              <w:jc w:val="center"/>
              <w:rPr>
                <w:rFonts w:eastAsia="Times New Roman"/>
                <w:sz w:val="20"/>
                <w:szCs w:val="20"/>
              </w:rPr>
            </w:pPr>
          </w:p>
        </w:tc>
        <w:tc>
          <w:tcPr>
            <w:tcW w:w="1108" w:type="dxa"/>
            <w:tcBorders>
              <w:top w:val="single" w:sz="12" w:space="0" w:color="auto"/>
              <w:left w:val="nil"/>
              <w:bottom w:val="nil"/>
              <w:right w:val="nil"/>
            </w:tcBorders>
            <w:noWrap/>
            <w:vAlign w:val="bottom"/>
            <w:hideMark/>
          </w:tcPr>
          <w:p w14:paraId="35275713" w14:textId="77777777" w:rsidR="003E2AC3" w:rsidRPr="005B22F4" w:rsidRDefault="003E2AC3" w:rsidP="002D06AB">
            <w:pPr>
              <w:spacing w:after="0" w:line="240" w:lineRule="auto"/>
              <w:jc w:val="center"/>
              <w:rPr>
                <w:rFonts w:eastAsia="Times New Roman"/>
                <w:sz w:val="20"/>
                <w:szCs w:val="20"/>
              </w:rPr>
            </w:pPr>
          </w:p>
        </w:tc>
      </w:tr>
      <w:tr w:rsidR="003E2AC3" w:rsidRPr="001E5E27" w14:paraId="6FFDCE5E" w14:textId="77777777" w:rsidTr="007972EC">
        <w:trPr>
          <w:trHeight w:val="300" w:hRule="atLeast"/>
        </w:trPr>
        <w:tc>
          <w:tcPr>
            <w:tcW w:w="1701" w:type="dxa"/>
            <w:tcBorders>
              <w:top w:val="nil"/>
              <w:left w:val="nil"/>
              <w:bottom w:val="nil"/>
              <w:right w:val="nil"/>
            </w:tcBorders>
            <w:noWrap/>
            <w:vAlign w:val="bottom"/>
            <w:hideMark/>
          </w:tcPr>
          <w:p w14:paraId="74E5BE01" w14:textId="77777777" w:rsidR="003E2AC3" w:rsidRPr="005B22F4" w:rsidRDefault="003E2AC3" w:rsidP="002D06AB">
            <w:pPr>
              <w:spacing w:after="0" w:line="240" w:lineRule="auto"/>
              <w:jc w:val="center"/>
              <w:rPr>
                <w:rFonts w:eastAsia="Times New Roman"/>
                <w:sz w:val="20"/>
                <w:szCs w:val="20"/>
              </w:rPr>
            </w:pPr>
          </w:p>
        </w:tc>
        <w:tc>
          <w:tcPr>
            <w:tcW w:w="2079" w:type="dxa"/>
            <w:tcBorders>
              <w:top w:val="nil"/>
              <w:left w:val="nil"/>
              <w:bottom w:val="nil"/>
              <w:right w:val="nil"/>
            </w:tcBorders>
            <w:noWrap/>
            <w:vAlign w:val="bottom"/>
            <w:hideMark/>
          </w:tcPr>
          <w:p w14:paraId="2CB7103F" w14:textId="77777777" w:rsidR="003E2AC3" w:rsidRPr="005B22F4" w:rsidRDefault="003E2AC3" w:rsidP="002D06AB">
            <w:pPr>
              <w:spacing w:after="0" w:line="240" w:lineRule="auto"/>
              <w:jc w:val="center"/>
              <w:rPr>
                <w:rFonts w:eastAsia="Times New Roman"/>
                <w:sz w:val="20"/>
                <w:szCs w:val="20"/>
              </w:rPr>
            </w:pPr>
          </w:p>
        </w:tc>
        <w:tc>
          <w:tcPr>
            <w:tcW w:w="266" w:type="dxa"/>
            <w:tcBorders>
              <w:top w:val="nil"/>
              <w:left w:val="nil"/>
              <w:bottom w:val="nil"/>
              <w:right w:val="nil"/>
            </w:tcBorders>
            <w:noWrap/>
            <w:vAlign w:val="bottom"/>
            <w:hideMark/>
          </w:tcPr>
          <w:p w14:paraId="05F6F950" w14:textId="77777777" w:rsidR="003E2AC3" w:rsidRPr="005B22F4" w:rsidRDefault="003E2AC3" w:rsidP="002D06AB">
            <w:pPr>
              <w:spacing w:after="0" w:line="240" w:lineRule="auto"/>
              <w:jc w:val="center"/>
              <w:rPr>
                <w:rFonts w:eastAsia="Times New Roman"/>
                <w:sz w:val="20"/>
                <w:szCs w:val="20"/>
              </w:rPr>
            </w:pPr>
          </w:p>
        </w:tc>
        <w:tc>
          <w:tcPr>
            <w:tcW w:w="1033" w:type="dxa"/>
            <w:tcBorders>
              <w:top w:val="nil"/>
              <w:left w:val="nil"/>
              <w:bottom w:val="single" w:sz="8" w:space="0" w:color="auto"/>
              <w:right w:val="nil"/>
            </w:tcBorders>
            <w:noWrap/>
            <w:hideMark/>
          </w:tcPr>
          <w:p w14:paraId="6EC71CEB"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sz w:val="20"/>
                <w:szCs w:val="20"/>
              </w:rPr>
              <w:t>Stimulus</w:t>
            </w:r>
          </w:p>
        </w:tc>
        <w:tc>
          <w:tcPr>
            <w:tcW w:w="222" w:type="dxa"/>
            <w:tcBorders>
              <w:top w:val="nil"/>
              <w:left w:val="nil"/>
              <w:bottom w:val="nil"/>
              <w:right w:val="nil"/>
            </w:tcBorders>
            <w:noWrap/>
            <w:hideMark/>
          </w:tcPr>
          <w:p w14:paraId="67AD5FAD"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8" w:space="0" w:color="auto"/>
              <w:right w:val="nil"/>
            </w:tcBorders>
            <w:noWrap/>
            <w:hideMark/>
          </w:tcPr>
          <w:p w14:paraId="013C56E1"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sz w:val="20"/>
                <w:szCs w:val="20"/>
              </w:rPr>
              <w:t>Delay</w:t>
            </w:r>
          </w:p>
        </w:tc>
        <w:tc>
          <w:tcPr>
            <w:tcW w:w="222" w:type="dxa"/>
            <w:tcBorders>
              <w:top w:val="nil"/>
              <w:left w:val="nil"/>
              <w:bottom w:val="nil"/>
              <w:right w:val="nil"/>
            </w:tcBorders>
            <w:noWrap/>
            <w:hideMark/>
          </w:tcPr>
          <w:p w14:paraId="02DD9FDA"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8" w:space="0" w:color="auto"/>
              <w:right w:val="nil"/>
            </w:tcBorders>
            <w:noWrap/>
            <w:hideMark/>
          </w:tcPr>
          <w:p w14:paraId="0B4A24D3"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sz w:val="20"/>
                <w:szCs w:val="20"/>
              </w:rPr>
              <w:t>RS</w:t>
            </w:r>
          </w:p>
        </w:tc>
        <w:tc>
          <w:tcPr>
            <w:tcW w:w="222" w:type="dxa"/>
            <w:tcBorders>
              <w:top w:val="nil"/>
              <w:left w:val="nil"/>
              <w:bottom w:val="nil"/>
              <w:right w:val="nil"/>
            </w:tcBorders>
            <w:noWrap/>
            <w:hideMark/>
          </w:tcPr>
          <w:p w14:paraId="36735B39"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8" w:space="0" w:color="auto"/>
              <w:right w:val="nil"/>
            </w:tcBorders>
            <w:noWrap/>
            <w:hideMark/>
          </w:tcPr>
          <w:p w14:paraId="027F7D7D"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sz w:val="20"/>
                <w:szCs w:val="20"/>
              </w:rPr>
              <w:t>Response</w:t>
            </w:r>
          </w:p>
        </w:tc>
      </w:tr>
      <w:tr w:rsidR="003E2AC3" w:rsidRPr="001E5E27" w14:paraId="08A0618B" w14:textId="77777777" w:rsidTr="007972EC">
        <w:trPr>
          <w:trHeight w:val="360" w:hRule="atLeast"/>
        </w:trPr>
        <w:tc>
          <w:tcPr>
            <w:tcW w:w="1701" w:type="dxa"/>
            <w:vMerge w:val="restart"/>
            <w:tcBorders>
              <w:top w:val="nil"/>
              <w:left w:val="nil"/>
              <w:bottom w:val="single" w:sz="4" w:space="0" w:color="000000"/>
              <w:right w:val="nil"/>
            </w:tcBorders>
            <w:noWrap/>
            <w:vAlign w:val="center"/>
            <w:hideMark/>
          </w:tcPr>
          <w:p w14:paraId="76E2E18F" w14:textId="77777777" w:rsidR="003E2AC3" w:rsidRPr="005B22F4" w:rsidRDefault="003E2AC3" w:rsidP="002D06AB">
            <w:pPr>
              <w:spacing w:after="0" w:line="240" w:lineRule="auto"/>
              <w:jc w:val="center"/>
              <w:rPr>
                <w:rFonts w:eastAsia="Times New Roman"/>
                <w:bCs/>
                <w:color w:val="000000"/>
                <w:sz w:val="22"/>
                <w:szCs w:val="20"/>
              </w:rPr>
            </w:pPr>
            <w:r>
              <w:t>PMA rate</w:t>
            </w:r>
          </w:p>
        </w:tc>
        <w:tc>
          <w:tcPr>
            <w:tcW w:w="2079" w:type="dxa"/>
            <w:tcBorders>
              <w:top w:val="nil"/>
              <w:left w:val="nil"/>
              <w:bottom w:val="nil"/>
              <w:right w:val="nil"/>
            </w:tcBorders>
            <w:noWrap/>
            <w:vAlign w:val="bottom"/>
            <w:hideMark/>
          </w:tcPr>
          <w:p w14:paraId="78F433FD"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duration</w:t>
            </w:r>
          </w:p>
        </w:tc>
        <w:tc>
          <w:tcPr>
            <w:tcW w:w="266" w:type="dxa"/>
            <w:tcBorders>
              <w:top w:val="nil"/>
              <w:left w:val="nil"/>
              <w:bottom w:val="nil"/>
              <w:right w:val="nil"/>
            </w:tcBorders>
            <w:noWrap/>
            <w:vAlign w:val="bottom"/>
            <w:hideMark/>
          </w:tcPr>
          <w:p w14:paraId="4B7B79A7"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single" w:sz="8" w:space="0" w:color="auto"/>
              <w:left w:val="nil"/>
              <w:bottom w:val="nil"/>
              <w:right w:val="nil"/>
            </w:tcBorders>
            <w:noWrap/>
            <w:vAlign w:val="bottom"/>
            <w:hideMark/>
          </w:tcPr>
          <w:p w14:paraId="5AF6E88A"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sz w:val="20"/>
                <w:szCs w:val="20"/>
              </w:rPr>
              <w:t xml:space="preserve"> = .001</w:t>
            </w:r>
          </w:p>
        </w:tc>
        <w:tc>
          <w:tcPr>
            <w:tcW w:w="222" w:type="dxa"/>
            <w:tcBorders>
              <w:top w:val="nil"/>
              <w:left w:val="nil"/>
              <w:bottom w:val="nil"/>
              <w:right w:val="nil"/>
            </w:tcBorders>
            <w:noWrap/>
            <w:vAlign w:val="bottom"/>
            <w:hideMark/>
          </w:tcPr>
          <w:p w14:paraId="4D43CD0D"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single" w:sz="8" w:space="0" w:color="auto"/>
              <w:left w:val="nil"/>
              <w:bottom w:val="nil"/>
              <w:right w:val="nil"/>
            </w:tcBorders>
            <w:noWrap/>
            <w:vAlign w:val="bottom"/>
            <w:hideMark/>
          </w:tcPr>
          <w:p w14:paraId="3D1E3A2C"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sz w:val="20"/>
                <w:szCs w:val="20"/>
              </w:rPr>
              <w:t xml:space="preserve"> &lt; .001</w:t>
            </w:r>
          </w:p>
        </w:tc>
        <w:tc>
          <w:tcPr>
            <w:tcW w:w="222" w:type="dxa"/>
            <w:tcBorders>
              <w:top w:val="nil"/>
              <w:left w:val="nil"/>
              <w:bottom w:val="nil"/>
              <w:right w:val="nil"/>
            </w:tcBorders>
            <w:noWrap/>
            <w:vAlign w:val="bottom"/>
            <w:hideMark/>
          </w:tcPr>
          <w:p w14:paraId="4BAA8AA4"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single" w:sz="8" w:space="0" w:color="auto"/>
              <w:left w:val="nil"/>
              <w:bottom w:val="nil"/>
              <w:right w:val="nil"/>
            </w:tcBorders>
            <w:noWrap/>
            <w:vAlign w:val="bottom"/>
            <w:hideMark/>
          </w:tcPr>
          <w:p w14:paraId="68959B8E"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sz w:val="20"/>
                <w:szCs w:val="20"/>
              </w:rPr>
              <w:t xml:space="preserve"> &lt; .001</w:t>
            </w:r>
          </w:p>
        </w:tc>
        <w:tc>
          <w:tcPr>
            <w:tcW w:w="222" w:type="dxa"/>
            <w:tcBorders>
              <w:top w:val="nil"/>
              <w:left w:val="nil"/>
              <w:bottom w:val="nil"/>
              <w:right w:val="nil"/>
            </w:tcBorders>
            <w:noWrap/>
            <w:vAlign w:val="bottom"/>
            <w:hideMark/>
          </w:tcPr>
          <w:p w14:paraId="4E7D7897" w14:textId="77777777" w:rsidR="003E2AC3" w:rsidRPr="005B22F4" w:rsidRDefault="003E2AC3" w:rsidP="002D06AB">
            <w:pPr>
              <w:spacing w:after="0" w:line="240" w:lineRule="auto"/>
              <w:jc w:val="center"/>
              <w:rPr>
                <w:rFonts w:eastAsia="Times New Roman"/>
                <w:i/>
                <w:iCs/>
                <w:color w:val="000000"/>
                <w:sz w:val="20"/>
                <w:szCs w:val="20"/>
              </w:rPr>
            </w:pPr>
          </w:p>
        </w:tc>
        <w:tc>
          <w:tcPr>
            <w:tcW w:w="1108" w:type="dxa"/>
            <w:tcBorders>
              <w:top w:val="single" w:sz="8" w:space="0" w:color="auto"/>
              <w:left w:val="nil"/>
              <w:bottom w:val="nil"/>
              <w:right w:val="nil"/>
            </w:tcBorders>
            <w:noWrap/>
            <w:vAlign w:val="bottom"/>
            <w:hideMark/>
          </w:tcPr>
          <w:p w14:paraId="3E88292C" w14:textId="77777777" w:rsidR="003E2AC3" w:rsidRPr="005B22F4" w:rsidRDefault="003E2AC3" w:rsidP="002D06AB">
            <w:pPr>
              <w:spacing w:after="0" w:line="240" w:lineRule="auto"/>
              <w:jc w:val="center"/>
              <w:rPr>
                <w:rFonts w:eastAsia="Times New Roman"/>
                <w:color w:val="000000"/>
                <w:sz w:val="20"/>
                <w:szCs w:val="20"/>
              </w:rPr>
            </w:pPr>
            <w:r>
              <w:rPr>
                <w:color w:val="1F4E9E"/>
              </w:rPr>
              <w:t>p = .012</w:t>
            </w:r>
          </w:p>
        </w:tc>
      </w:tr>
      <w:tr w:rsidR="003E2AC3" w:rsidRPr="001E5E27" w14:paraId="3B35C925" w14:textId="77777777" w:rsidTr="007972EC">
        <w:trPr>
          <w:trHeight w:val="300" w:hRule="atLeast"/>
        </w:trPr>
        <w:tc>
          <w:tcPr>
            <w:tcW w:w="1701" w:type="dxa"/>
            <w:vMerge/>
            <w:tcBorders>
              <w:top w:val="nil"/>
              <w:left w:val="nil"/>
              <w:bottom w:val="single" w:sz="4" w:space="0" w:color="000000"/>
              <w:right w:val="nil"/>
            </w:tcBorders>
            <w:vAlign w:val="center"/>
            <w:hideMark/>
          </w:tcPr>
          <w:p w14:paraId="0BCABBD6"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7B94A5E7"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coherence</w:t>
            </w:r>
          </w:p>
        </w:tc>
        <w:tc>
          <w:tcPr>
            <w:tcW w:w="266" w:type="dxa"/>
            <w:tcBorders>
              <w:top w:val="nil"/>
              <w:left w:val="nil"/>
              <w:bottom w:val="nil"/>
              <w:right w:val="nil"/>
            </w:tcBorders>
            <w:noWrap/>
            <w:vAlign w:val="bottom"/>
            <w:hideMark/>
          </w:tcPr>
          <w:p w14:paraId="10AD92B8"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6DE263CC"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color w:val="000000"/>
                <w:sz w:val="20"/>
                <w:szCs w:val="20"/>
              </w:rPr>
              <w:t>p</w:t>
            </w:r>
            <w:r w:rsidRPr="005B22F4">
              <w:rPr>
                <w:rFonts w:eastAsia="Times New Roman"/>
                <w:sz w:val="20"/>
                <w:szCs w:val="20"/>
              </w:rPr>
              <w:t xml:space="preserve"> = .021</w:t>
            </w:r>
          </w:p>
        </w:tc>
        <w:tc>
          <w:tcPr>
            <w:tcW w:w="222" w:type="dxa"/>
            <w:tcBorders>
              <w:top w:val="nil"/>
              <w:left w:val="nil"/>
              <w:bottom w:val="nil"/>
              <w:right w:val="nil"/>
            </w:tcBorders>
            <w:noWrap/>
            <w:vAlign w:val="bottom"/>
            <w:hideMark/>
          </w:tcPr>
          <w:p w14:paraId="211B89D7"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nil"/>
              <w:right w:val="nil"/>
            </w:tcBorders>
            <w:noWrap/>
            <w:vAlign w:val="bottom"/>
            <w:hideMark/>
          </w:tcPr>
          <w:p w14:paraId="3883B2D4"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color w:val="1F4E9E"/>
                <w:sz w:val="20"/>
                <w:szCs w:val="20"/>
              </w:rPr>
              <w:t>p = .045</w:t>
            </w:r>
          </w:p>
        </w:tc>
        <w:tc>
          <w:tcPr>
            <w:tcW w:w="222" w:type="dxa"/>
            <w:tcBorders>
              <w:top w:val="nil"/>
              <w:left w:val="nil"/>
              <w:bottom w:val="nil"/>
              <w:right w:val="nil"/>
            </w:tcBorders>
            <w:noWrap/>
            <w:vAlign w:val="bottom"/>
            <w:hideMark/>
          </w:tcPr>
          <w:p w14:paraId="2F7051EC"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nil"/>
              <w:right w:val="nil"/>
            </w:tcBorders>
            <w:noWrap/>
            <w:vAlign w:val="bottom"/>
            <w:hideMark/>
          </w:tcPr>
          <w:p w14:paraId="03039B96"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vAlign w:val="bottom"/>
            <w:hideMark/>
          </w:tcPr>
          <w:p w14:paraId="3C747C98" w14:textId="77777777" w:rsidR="003E2AC3" w:rsidRPr="005B22F4" w:rsidRDefault="003E2AC3" w:rsidP="002D06AB">
            <w:pPr>
              <w:spacing w:after="0" w:line="240" w:lineRule="auto"/>
              <w:jc w:val="center"/>
              <w:rPr>
                <w:rFonts w:eastAsia="Times New Roman"/>
                <w:sz w:val="20"/>
                <w:szCs w:val="20"/>
              </w:rPr>
            </w:pPr>
          </w:p>
        </w:tc>
        <w:tc>
          <w:tcPr>
            <w:tcW w:w="1108" w:type="dxa"/>
            <w:tcBorders>
              <w:top w:val="nil"/>
              <w:left w:val="nil"/>
              <w:bottom w:val="nil"/>
              <w:right w:val="nil"/>
            </w:tcBorders>
            <w:noWrap/>
            <w:vAlign w:val="bottom"/>
            <w:hideMark/>
          </w:tcPr>
          <w:p w14:paraId="5BDCA86A"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r>
      <w:tr w:rsidR="003E2AC3" w:rsidRPr="001E5E27" w14:paraId="5119FD69" w14:textId="77777777" w:rsidTr="007972EC">
        <w:trPr>
          <w:trHeight w:val="300" w:hRule="atLeast"/>
        </w:trPr>
        <w:tc>
          <w:tcPr>
            <w:tcW w:w="1701" w:type="dxa"/>
            <w:vMerge/>
            <w:tcBorders>
              <w:top w:val="nil"/>
              <w:left w:val="nil"/>
              <w:bottom w:val="single" w:sz="4" w:space="0" w:color="000000"/>
              <w:right w:val="nil"/>
            </w:tcBorders>
            <w:vAlign w:val="center"/>
            <w:hideMark/>
          </w:tcPr>
          <w:p w14:paraId="197253BB"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5202E4C1"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time (linear)</w:t>
            </w:r>
          </w:p>
        </w:tc>
        <w:tc>
          <w:tcPr>
            <w:tcW w:w="266" w:type="dxa"/>
            <w:tcBorders>
              <w:top w:val="nil"/>
              <w:left w:val="nil"/>
              <w:bottom w:val="nil"/>
              <w:right w:val="nil"/>
            </w:tcBorders>
            <w:noWrap/>
            <w:vAlign w:val="bottom"/>
            <w:hideMark/>
          </w:tcPr>
          <w:p w14:paraId="540EA651"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510F41F9" w14:textId="77777777" w:rsidR="00205CBC" w:rsidRDefault="00000000">
            <w:r>
              <w:t>p &lt; .001</w:t>
            </w:r>
          </w:p>
        </w:tc>
        <w:tc>
          <w:tcPr>
            <w:tcW w:w="222" w:type="dxa"/>
            <w:tcBorders>
              <w:top w:val="nil"/>
              <w:left w:val="nil"/>
              <w:bottom w:val="nil"/>
              <w:right w:val="nil"/>
            </w:tcBorders>
            <w:noWrap/>
            <w:vAlign w:val="bottom"/>
            <w:hideMark/>
          </w:tcPr>
          <w:p w14:paraId="5162D169"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57088ED2" w14:textId="77777777" w:rsidR="00205CBC" w:rsidRDefault="00000000">
            <w:r>
              <w:t>p &lt; .001</w:t>
            </w:r>
          </w:p>
        </w:tc>
        <w:tc>
          <w:tcPr>
            <w:tcW w:w="222" w:type="dxa"/>
            <w:tcBorders>
              <w:top w:val="nil"/>
              <w:left w:val="nil"/>
              <w:bottom w:val="nil"/>
              <w:right w:val="nil"/>
            </w:tcBorders>
            <w:noWrap/>
            <w:vAlign w:val="bottom"/>
            <w:hideMark/>
          </w:tcPr>
          <w:p w14:paraId="7E5BFAC8"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29B0CB76"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sz w:val="20"/>
                <w:szCs w:val="20"/>
              </w:rPr>
              <w:t xml:space="preserve"> &lt; .001</w:t>
            </w:r>
          </w:p>
        </w:tc>
        <w:tc>
          <w:tcPr>
            <w:tcW w:w="222" w:type="dxa"/>
            <w:tcBorders>
              <w:top w:val="nil"/>
              <w:left w:val="nil"/>
              <w:bottom w:val="nil"/>
              <w:right w:val="nil"/>
            </w:tcBorders>
            <w:noWrap/>
            <w:vAlign w:val="bottom"/>
            <w:hideMark/>
          </w:tcPr>
          <w:p w14:paraId="7E7A2AA1" w14:textId="77777777" w:rsidR="003E2AC3" w:rsidRPr="005B22F4" w:rsidRDefault="003E2AC3" w:rsidP="002D06AB">
            <w:pPr>
              <w:spacing w:after="0" w:line="240" w:lineRule="auto"/>
              <w:jc w:val="center"/>
              <w:rPr>
                <w:rFonts w:eastAsia="Times New Roman"/>
                <w:i/>
                <w:iCs/>
                <w:color w:val="000000"/>
                <w:sz w:val="20"/>
                <w:szCs w:val="20"/>
              </w:rPr>
            </w:pPr>
          </w:p>
        </w:tc>
        <w:tc>
          <w:tcPr>
            <w:tcW w:w="1108" w:type="dxa"/>
            <w:tcBorders>
              <w:top w:val="nil"/>
              <w:left w:val="nil"/>
              <w:bottom w:val="nil"/>
              <w:right w:val="nil"/>
            </w:tcBorders>
            <w:noWrap/>
            <w:vAlign w:val="bottom"/>
            <w:hideMark/>
          </w:tcPr>
          <w:p w14:paraId="2FC26E9B" w14:textId="77777777" w:rsidR="003E2AC3" w:rsidRPr="005B22F4" w:rsidRDefault="003E2AC3" w:rsidP="002D06AB">
            <w:pPr>
              <w:spacing w:after="0" w:line="240" w:lineRule="auto"/>
              <w:jc w:val="center"/>
              <w:rPr>
                <w:rFonts w:eastAsia="Times New Roman"/>
                <w:i/>
                <w:iCs/>
                <w:color w:val="000000"/>
                <w:sz w:val="20"/>
                <w:szCs w:val="20"/>
              </w:rPr>
            </w:pPr>
            <w:r>
              <w:rPr>
                <w:color w:val="1F4E9E"/>
              </w:rPr>
              <w:t>n/a†</w:t>
            </w:r>
          </w:p>
        </w:tc>
      </w:tr>
      <w:tr w:rsidR="003E2AC3" w:rsidRPr="001E5E27" w14:paraId="260322B5" w14:textId="77777777" w:rsidTr="007972EC">
        <w:trPr>
          <w:trHeight w:val="300" w:hRule="atLeast"/>
        </w:trPr>
        <w:tc>
          <w:tcPr>
            <w:tcW w:w="1701" w:type="dxa"/>
            <w:vMerge/>
            <w:tcBorders>
              <w:top w:val="nil"/>
              <w:left w:val="nil"/>
              <w:bottom w:val="single" w:sz="4" w:space="0" w:color="000000"/>
              <w:right w:val="nil"/>
            </w:tcBorders>
            <w:vAlign w:val="center"/>
            <w:hideMark/>
          </w:tcPr>
          <w:p w14:paraId="6D1B7B76"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525C414C"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duration × coherence</w:t>
            </w:r>
          </w:p>
        </w:tc>
        <w:tc>
          <w:tcPr>
            <w:tcW w:w="266" w:type="dxa"/>
            <w:tcBorders>
              <w:top w:val="nil"/>
              <w:left w:val="nil"/>
              <w:bottom w:val="nil"/>
              <w:right w:val="nil"/>
            </w:tcBorders>
            <w:noWrap/>
            <w:vAlign w:val="bottom"/>
            <w:hideMark/>
          </w:tcPr>
          <w:p w14:paraId="3841DBF3"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center"/>
            <w:hideMark/>
          </w:tcPr>
          <w:p w14:paraId="519FBCDD"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vAlign w:val="bottom"/>
            <w:hideMark/>
          </w:tcPr>
          <w:p w14:paraId="781D3DFA" w14:textId="77777777" w:rsidR="003E2AC3" w:rsidRPr="005B22F4" w:rsidRDefault="003E2AC3" w:rsidP="002D06AB">
            <w:pPr>
              <w:spacing w:after="0" w:line="240" w:lineRule="auto"/>
              <w:jc w:val="center"/>
              <w:rPr>
                <w:rFonts w:eastAsia="Times New Roman"/>
                <w:sz w:val="20"/>
                <w:szCs w:val="20"/>
              </w:rPr>
            </w:pPr>
          </w:p>
        </w:tc>
        <w:tc>
          <w:tcPr>
            <w:tcW w:w="963" w:type="dxa"/>
            <w:tcBorders>
              <w:top w:val="nil"/>
              <w:left w:val="nil"/>
              <w:bottom w:val="nil"/>
              <w:right w:val="nil"/>
            </w:tcBorders>
            <w:noWrap/>
            <w:vAlign w:val="bottom"/>
            <w:hideMark/>
          </w:tcPr>
          <w:p w14:paraId="14DF9BE8"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color w:val="1F4E9E"/>
                <w:sz w:val="20"/>
                <w:szCs w:val="20"/>
              </w:rPr>
              <w:t>p = .042</w:t>
            </w:r>
          </w:p>
        </w:tc>
        <w:tc>
          <w:tcPr>
            <w:tcW w:w="222" w:type="dxa"/>
            <w:tcBorders>
              <w:top w:val="nil"/>
              <w:left w:val="nil"/>
              <w:bottom w:val="nil"/>
              <w:right w:val="nil"/>
            </w:tcBorders>
            <w:noWrap/>
            <w:vAlign w:val="bottom"/>
            <w:hideMark/>
          </w:tcPr>
          <w:p w14:paraId="616CBEF6"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nil"/>
              <w:right w:val="nil"/>
            </w:tcBorders>
            <w:noWrap/>
            <w:hideMark/>
          </w:tcPr>
          <w:p w14:paraId="23E6DF9A"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hideMark/>
          </w:tcPr>
          <w:p w14:paraId="6B1CD090" w14:textId="77777777" w:rsidR="003E2AC3" w:rsidRPr="005B22F4" w:rsidRDefault="003E2AC3" w:rsidP="002D06AB">
            <w:pPr>
              <w:spacing w:after="0" w:line="240" w:lineRule="auto"/>
              <w:jc w:val="center"/>
              <w:rPr>
                <w:rFonts w:eastAsia="Times New Roman"/>
                <w:sz w:val="20"/>
                <w:szCs w:val="20"/>
              </w:rPr>
            </w:pPr>
          </w:p>
        </w:tc>
        <w:tc>
          <w:tcPr>
            <w:tcW w:w="1108" w:type="dxa"/>
            <w:tcBorders>
              <w:top w:val="nil"/>
              <w:left w:val="nil"/>
              <w:bottom w:val="nil"/>
              <w:right w:val="nil"/>
            </w:tcBorders>
            <w:noWrap/>
            <w:hideMark/>
          </w:tcPr>
          <w:p w14:paraId="4B7A184D"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r>
      <w:tr w:rsidR="003E2AC3" w:rsidRPr="001E5E27" w14:paraId="1D81819B" w14:textId="77777777" w:rsidTr="007972EC">
        <w:trPr>
          <w:trHeight w:val="300" w:hRule="atLeast"/>
        </w:trPr>
        <w:tc>
          <w:tcPr>
            <w:tcW w:w="1701" w:type="dxa"/>
            <w:vMerge/>
            <w:tcBorders>
              <w:top w:val="nil"/>
              <w:left w:val="nil"/>
              <w:bottom w:val="single" w:sz="4" w:space="0" w:color="000000"/>
              <w:right w:val="nil"/>
            </w:tcBorders>
            <w:vAlign w:val="center"/>
            <w:hideMark/>
          </w:tcPr>
          <w:p w14:paraId="61574056"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6B4C0120"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duration × time (linear)</w:t>
            </w:r>
          </w:p>
        </w:tc>
        <w:tc>
          <w:tcPr>
            <w:tcW w:w="266" w:type="dxa"/>
            <w:tcBorders>
              <w:top w:val="nil"/>
              <w:left w:val="nil"/>
              <w:bottom w:val="nil"/>
              <w:right w:val="nil"/>
            </w:tcBorders>
            <w:noWrap/>
            <w:vAlign w:val="bottom"/>
            <w:hideMark/>
          </w:tcPr>
          <w:p w14:paraId="5DD41951"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2CDC1976" w14:textId="77777777" w:rsidR="00205CBC" w:rsidRDefault="00000000">
            <w:r>
              <w:rPr>
                <w:color w:val="1F4E9E"/>
              </w:rPr>
              <w:t>p = .006</w:t>
            </w:r>
          </w:p>
        </w:tc>
        <w:tc>
          <w:tcPr>
            <w:tcW w:w="222" w:type="dxa"/>
            <w:tcBorders>
              <w:top w:val="nil"/>
              <w:left w:val="nil"/>
              <w:bottom w:val="nil"/>
              <w:right w:val="nil"/>
            </w:tcBorders>
            <w:noWrap/>
            <w:vAlign w:val="bottom"/>
            <w:hideMark/>
          </w:tcPr>
          <w:p w14:paraId="12C97FF6"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573ECDC4" w14:textId="77777777" w:rsidR="00205CBC" w:rsidRDefault="00000000">
            <w:r>
              <w:rPr>
                <w:color w:val="1F4E9E"/>
              </w:rPr>
              <w:t>p = .002</w:t>
            </w:r>
          </w:p>
        </w:tc>
        <w:tc>
          <w:tcPr>
            <w:tcW w:w="222" w:type="dxa"/>
            <w:tcBorders>
              <w:top w:val="nil"/>
              <w:left w:val="nil"/>
              <w:bottom w:val="nil"/>
              <w:right w:val="nil"/>
            </w:tcBorders>
            <w:noWrap/>
            <w:vAlign w:val="bottom"/>
            <w:hideMark/>
          </w:tcPr>
          <w:p w14:paraId="1F68CA65"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122957A4"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sz w:val="20"/>
                <w:szCs w:val="20"/>
              </w:rPr>
              <w:t>p</w:t>
            </w:r>
            <w:r w:rsidRPr="005B22F4">
              <w:rPr>
                <w:rFonts w:eastAsia="Times New Roman"/>
                <w:sz w:val="20"/>
                <w:szCs w:val="20"/>
              </w:rPr>
              <w:t xml:space="preserve"> = .015</w:t>
            </w:r>
          </w:p>
        </w:tc>
        <w:tc>
          <w:tcPr>
            <w:tcW w:w="222" w:type="dxa"/>
            <w:tcBorders>
              <w:top w:val="nil"/>
              <w:left w:val="nil"/>
              <w:bottom w:val="nil"/>
              <w:right w:val="nil"/>
            </w:tcBorders>
            <w:noWrap/>
            <w:vAlign w:val="bottom"/>
            <w:hideMark/>
          </w:tcPr>
          <w:p w14:paraId="5713E4FA"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nil"/>
              <w:right w:val="nil"/>
            </w:tcBorders>
            <w:noWrap/>
            <w:vAlign w:val="bottom"/>
            <w:hideMark/>
          </w:tcPr>
          <w:p w14:paraId="31441FB7" w14:textId="77777777" w:rsidR="003E2AC3" w:rsidRPr="005B22F4" w:rsidRDefault="003E2AC3" w:rsidP="002D06AB">
            <w:pPr>
              <w:spacing w:after="0" w:line="240" w:lineRule="auto"/>
              <w:jc w:val="center"/>
              <w:rPr>
                <w:rFonts w:eastAsia="Times New Roman"/>
                <w:i/>
                <w:iCs/>
                <w:color w:val="000000"/>
                <w:sz w:val="20"/>
                <w:szCs w:val="20"/>
              </w:rPr>
            </w:pPr>
            <w:r>
              <w:rPr>
                <w:color w:val="1F4E9E"/>
              </w:rPr>
              <w:t>n/a†</w:t>
            </w:r>
          </w:p>
        </w:tc>
      </w:tr>
      <w:tr w:rsidR="003E2AC3" w:rsidRPr="001E5E27" w14:paraId="14FA7ABB" w14:textId="77777777" w:rsidTr="007972EC">
        <w:trPr>
          <w:trHeight w:val="416" w:hRule="atLeast"/>
        </w:trPr>
        <w:tc>
          <w:tcPr>
            <w:tcW w:w="1701" w:type="dxa"/>
            <w:vMerge/>
            <w:tcBorders>
              <w:top w:val="nil"/>
              <w:left w:val="nil"/>
              <w:bottom w:val="single" w:sz="4" w:space="0" w:color="000000"/>
              <w:right w:val="nil"/>
            </w:tcBorders>
            <w:vAlign w:val="center"/>
            <w:hideMark/>
          </w:tcPr>
          <w:p w14:paraId="0C55CDC9"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52C44D84"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coherence × time (linear)</w:t>
            </w:r>
          </w:p>
        </w:tc>
        <w:tc>
          <w:tcPr>
            <w:tcW w:w="266" w:type="dxa"/>
            <w:tcBorders>
              <w:top w:val="nil"/>
              <w:left w:val="nil"/>
              <w:bottom w:val="single" w:sz="4" w:space="0" w:color="auto"/>
              <w:right w:val="nil"/>
            </w:tcBorders>
            <w:noWrap/>
            <w:hideMark/>
          </w:tcPr>
          <w:p w14:paraId="4FDEB551"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single" w:sz="4" w:space="0" w:color="auto"/>
              <w:right w:val="nil"/>
            </w:tcBorders>
            <w:noWrap/>
            <w:hideMark/>
          </w:tcPr>
          <w:p w14:paraId="2DDEC1A3" w14:textId="77777777" w:rsidR="00205CBC" w:rsidRDefault="00000000">
            <w:r>
              <w:rPr>
                <w:color w:val="1F4E9E"/>
              </w:rPr>
              <w:t>p = .007</w:t>
            </w:r>
          </w:p>
        </w:tc>
        <w:tc>
          <w:tcPr>
            <w:tcW w:w="222" w:type="dxa"/>
            <w:tcBorders>
              <w:top w:val="nil"/>
              <w:left w:val="nil"/>
              <w:bottom w:val="single" w:sz="4" w:space="0" w:color="auto"/>
              <w:right w:val="nil"/>
            </w:tcBorders>
            <w:noWrap/>
            <w:hideMark/>
          </w:tcPr>
          <w:p w14:paraId="55B7628E"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774CC157" w14:textId="77777777" w:rsidR="00205CBC" w:rsidRDefault="00000000">
            <w:r>
              <w:t>–</w:t>
            </w:r>
          </w:p>
        </w:tc>
        <w:tc>
          <w:tcPr>
            <w:tcW w:w="222" w:type="dxa"/>
            <w:tcBorders>
              <w:top w:val="nil"/>
              <w:left w:val="nil"/>
              <w:bottom w:val="single" w:sz="4" w:space="0" w:color="auto"/>
              <w:right w:val="nil"/>
            </w:tcBorders>
            <w:noWrap/>
            <w:vAlign w:val="center"/>
            <w:hideMark/>
          </w:tcPr>
          <w:p w14:paraId="56A22C0D"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2680DBE5"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c>
          <w:tcPr>
            <w:tcW w:w="222" w:type="dxa"/>
            <w:tcBorders>
              <w:top w:val="nil"/>
              <w:left w:val="nil"/>
              <w:bottom w:val="single" w:sz="4" w:space="0" w:color="auto"/>
              <w:right w:val="nil"/>
            </w:tcBorders>
            <w:noWrap/>
            <w:vAlign w:val="center"/>
            <w:hideMark/>
          </w:tcPr>
          <w:p w14:paraId="3880AC9E"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4" w:space="0" w:color="auto"/>
              <w:right w:val="nil"/>
            </w:tcBorders>
            <w:noWrap/>
            <w:vAlign w:val="center"/>
            <w:hideMark/>
          </w:tcPr>
          <w:p w14:paraId="3B6B0DBA"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r>
      <w:tr w:rsidR="003E2AC3" w:rsidRPr="001E5E27" w14:paraId="14FA7ABB" w14:textId="77777777" w:rsidTr="007972EC">
        <w:trPr>
          <w:trHeight w:val="416" w:hRule="atLeast"/>
        </w:trPr>
        <w:tc>
          <w:tcPr>
            <w:tcW w:w="1701" w:type="dxa"/>
            <w:vMerge/>
            <w:tcBorders>
              <w:top w:val="nil"/>
              <w:left w:val="nil"/>
              <w:bottom w:val="single" w:sz="4" w:space="0" w:color="000000"/>
              <w:right w:val="nil"/>
            </w:tcBorders>
            <w:vAlign w:val="center"/>
            <w:hideMark/>
          </w:tcPr>
          <w:p w14:paraId="0C55CDC9"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52C44D84" w14:textId="77777777" w:rsidR="003E2AC3" w:rsidRPr="005B22F4" w:rsidRDefault="003E2AC3" w:rsidP="002D06AB">
            <w:pPr>
              <w:spacing w:after="0" w:line="240" w:lineRule="auto"/>
              <w:jc w:val="center"/>
              <w:rPr>
                <w:rFonts w:eastAsia="Times New Roman"/>
                <w:color w:val="000000"/>
                <w:sz w:val="20"/>
                <w:szCs w:val="20"/>
              </w:rPr>
            </w:pPr>
            <w:r>
              <w:t>time (quadratic)</w:t>
            </w:r>
          </w:p>
        </w:tc>
        <w:tc>
          <w:tcPr>
            <w:tcW w:w="266" w:type="dxa"/>
            <w:tcBorders>
              <w:top w:val="nil"/>
              <w:left w:val="nil"/>
              <w:bottom w:val="single" w:sz="4" w:space="0" w:color="auto"/>
              <w:right w:val="nil"/>
            </w:tcBorders>
            <w:noWrap/>
            <w:hideMark/>
          </w:tcPr>
          <w:p w14:paraId="4FDEB551" w14:textId="77777777" w:rsidR="003E2AC3" w:rsidRPr="005B22F4" w:rsidRDefault="003E2AC3" w:rsidP="002D06AB">
            <w:pPr>
              <w:spacing w:after="0" w:line="240" w:lineRule="auto"/>
              <w:jc w:val="center"/>
              <w:rPr>
                <w:rFonts w:eastAsia="Times New Roman"/>
                <w:color w:val="000000"/>
                <w:sz w:val="20"/>
                <w:szCs w:val="20"/>
              </w:rPr>
            </w:pPr>
            <w:r/>
          </w:p>
        </w:tc>
        <w:tc>
          <w:tcPr>
            <w:tcW w:w="1033" w:type="dxa"/>
            <w:tcBorders>
              <w:top w:val="nil"/>
              <w:left w:val="nil"/>
              <w:bottom w:val="single" w:sz="4" w:space="0" w:color="auto"/>
              <w:right w:val="nil"/>
            </w:tcBorders>
            <w:noWrap/>
            <w:hideMark/>
          </w:tcPr>
          <w:p w14:paraId="2DDEC1A3" w14:textId="77777777" w:rsidR="00205CBC" w:rsidRDefault="00000000">
            <w:r>
              <w:t>–</w:t>
            </w:r>
          </w:p>
        </w:tc>
        <w:tc>
          <w:tcPr>
            <w:tcW w:w="222" w:type="dxa"/>
            <w:tcBorders>
              <w:top w:val="nil"/>
              <w:left w:val="nil"/>
              <w:bottom w:val="single" w:sz="4" w:space="0" w:color="auto"/>
              <w:right w:val="nil"/>
            </w:tcBorders>
            <w:noWrap/>
            <w:hideMark/>
          </w:tcPr>
          <w:p w14:paraId="55B7628E" w14:textId="77777777" w:rsidR="003E2AC3" w:rsidRPr="005B22F4" w:rsidRDefault="003E2AC3" w:rsidP="002D06AB">
            <w:pPr>
              <w:spacing w:after="0" w:line="240" w:lineRule="auto"/>
              <w:jc w:val="center"/>
              <w:rPr>
                <w:rFonts w:eastAsia="Times New Roman"/>
                <w:color w:val="000000"/>
                <w:sz w:val="20"/>
                <w:szCs w:val="20"/>
              </w:rPr>
            </w:pPr>
            <w:r/>
          </w:p>
        </w:tc>
        <w:tc>
          <w:tcPr>
            <w:tcW w:w="963" w:type="dxa"/>
            <w:tcBorders>
              <w:top w:val="nil"/>
              <w:left w:val="nil"/>
              <w:bottom w:val="single" w:sz="4" w:space="0" w:color="auto"/>
              <w:right w:val="nil"/>
            </w:tcBorders>
            <w:noWrap/>
            <w:vAlign w:val="center"/>
            <w:hideMark/>
          </w:tcPr>
          <w:p w14:paraId="774CC157" w14:textId="77777777" w:rsidR="00205CBC" w:rsidRDefault="00000000">
            <w:r>
              <w:t>p &lt; .001</w:t>
            </w:r>
          </w:p>
        </w:tc>
        <w:tc>
          <w:tcPr>
            <w:tcW w:w="222" w:type="dxa"/>
            <w:tcBorders>
              <w:top w:val="nil"/>
              <w:left w:val="nil"/>
              <w:bottom w:val="single" w:sz="4" w:space="0" w:color="auto"/>
              <w:right w:val="nil"/>
            </w:tcBorders>
            <w:noWrap/>
            <w:vAlign w:val="center"/>
            <w:hideMark/>
          </w:tcPr>
          <w:p w14:paraId="56A22C0D" w14:textId="77777777" w:rsidR="003E2AC3" w:rsidRPr="005B22F4" w:rsidRDefault="003E2AC3" w:rsidP="002D06AB">
            <w:pPr>
              <w:spacing w:after="0" w:line="240" w:lineRule="auto"/>
              <w:jc w:val="center"/>
              <w:rPr>
                <w:rFonts w:eastAsia="Times New Roman"/>
                <w:color w:val="000000"/>
                <w:sz w:val="20"/>
                <w:szCs w:val="20"/>
              </w:rPr>
            </w:pPr>
            <w:r/>
          </w:p>
        </w:tc>
        <w:tc>
          <w:tcPr>
            <w:tcW w:w="963" w:type="dxa"/>
            <w:tcBorders>
              <w:top w:val="nil"/>
              <w:left w:val="nil"/>
              <w:bottom w:val="single" w:sz="4" w:space="0" w:color="auto"/>
              <w:right w:val="nil"/>
            </w:tcBorders>
            <w:noWrap/>
            <w:vAlign w:val="center"/>
            <w:hideMark/>
          </w:tcPr>
          <w:p w14:paraId="2680DBE5" w14:textId="77777777" w:rsidR="003E2AC3" w:rsidRPr="005B22F4" w:rsidRDefault="003E2AC3" w:rsidP="002D06AB">
            <w:pPr>
              <w:spacing w:after="0" w:line="240" w:lineRule="auto"/>
              <w:jc w:val="center"/>
              <w:rPr>
                <w:rFonts w:eastAsia="Times New Roman"/>
                <w:color w:val="000000"/>
                <w:sz w:val="20"/>
                <w:szCs w:val="20"/>
              </w:rPr>
            </w:pPr>
            <w:r>
              <w:t>– ¶</w:t>
            </w:r>
          </w:p>
        </w:tc>
        <w:tc>
          <w:tcPr>
            <w:tcW w:w="222" w:type="dxa"/>
            <w:tcBorders>
              <w:top w:val="nil"/>
              <w:left w:val="nil"/>
              <w:bottom w:val="single" w:sz="4" w:space="0" w:color="auto"/>
              <w:right w:val="nil"/>
            </w:tcBorders>
            <w:noWrap/>
            <w:vAlign w:val="center"/>
            <w:hideMark/>
          </w:tcPr>
          <w:p w14:paraId="3880AC9E" w14:textId="77777777" w:rsidR="003E2AC3" w:rsidRPr="005B22F4" w:rsidRDefault="003E2AC3" w:rsidP="002D06AB">
            <w:pPr>
              <w:spacing w:after="0" w:line="240" w:lineRule="auto"/>
              <w:jc w:val="center"/>
              <w:rPr>
                <w:rFonts w:eastAsia="Times New Roman"/>
                <w:color w:val="000000"/>
                <w:sz w:val="20"/>
                <w:szCs w:val="20"/>
              </w:rPr>
            </w:pPr>
            <w:r/>
          </w:p>
        </w:tc>
        <w:tc>
          <w:tcPr>
            <w:tcW w:w="1108" w:type="dxa"/>
            <w:tcBorders>
              <w:top w:val="nil"/>
              <w:left w:val="nil"/>
              <w:bottom w:val="single" w:sz="4" w:space="0" w:color="auto"/>
              <w:right w:val="nil"/>
            </w:tcBorders>
            <w:noWrap/>
            <w:vAlign w:val="center"/>
            <w:hideMark/>
          </w:tcPr>
          <w:p w14:paraId="3B6B0DBA" w14:textId="77777777" w:rsidR="003E2AC3" w:rsidRPr="005B22F4" w:rsidRDefault="003E2AC3" w:rsidP="002D06AB">
            <w:pPr>
              <w:spacing w:after="0" w:line="240" w:lineRule="auto"/>
              <w:jc w:val="center"/>
              <w:rPr>
                <w:rFonts w:eastAsia="Times New Roman"/>
                <w:color w:val="000000"/>
                <w:sz w:val="20"/>
                <w:szCs w:val="20"/>
              </w:rPr>
            </w:pPr>
            <w:r>
              <w:t>– ¶</w:t>
            </w:r>
          </w:p>
        </w:tc>
      </w:tr>
      <w:tr w:rsidR="003E2AC3" w:rsidRPr="001E5E27" w14:paraId="576EB08E" w14:textId="77777777" w:rsidTr="007972EC">
        <w:trPr>
          <w:trHeight w:val="419" w:hRule="atLeast"/>
        </w:trPr>
        <w:tc>
          <w:tcPr>
            <w:tcW w:w="1701" w:type="dxa"/>
            <w:vMerge w:val="restart"/>
            <w:tcBorders>
              <w:top w:val="nil"/>
              <w:left w:val="nil"/>
              <w:bottom w:val="single" w:sz="4" w:space="0" w:color="000000"/>
              <w:right w:val="nil"/>
            </w:tcBorders>
            <w:noWrap/>
            <w:vAlign w:val="center"/>
            <w:hideMark/>
          </w:tcPr>
          <w:p w14:paraId="68430976" w14:textId="77777777" w:rsidR="003E2AC3" w:rsidRPr="005B22F4" w:rsidRDefault="003E2AC3" w:rsidP="002D06AB">
            <w:pPr>
              <w:spacing w:after="0" w:line="240" w:lineRule="auto"/>
              <w:jc w:val="center"/>
              <w:rPr>
                <w:rFonts w:eastAsia="Times New Roman"/>
                <w:bCs/>
                <w:color w:val="000000"/>
                <w:sz w:val="22"/>
                <w:szCs w:val="20"/>
              </w:rPr>
            </w:pPr>
            <w:r>
              <w:t>MBL amplitude</w:t>
            </w:r>
          </w:p>
        </w:tc>
        <w:tc>
          <w:tcPr>
            <w:tcW w:w="2079" w:type="dxa"/>
            <w:tcBorders>
              <w:top w:val="nil"/>
              <w:left w:val="nil"/>
              <w:bottom w:val="nil"/>
              <w:right w:val="nil"/>
            </w:tcBorders>
            <w:noWrap/>
            <w:vAlign w:val="bottom"/>
            <w:hideMark/>
          </w:tcPr>
          <w:p w14:paraId="6ECED02D"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time (linear)</w:t>
            </w:r>
          </w:p>
        </w:tc>
        <w:tc>
          <w:tcPr>
            <w:tcW w:w="266" w:type="dxa"/>
            <w:tcBorders>
              <w:top w:val="nil"/>
              <w:left w:val="nil"/>
              <w:bottom w:val="nil"/>
              <w:right w:val="nil"/>
            </w:tcBorders>
            <w:noWrap/>
            <w:vAlign w:val="bottom"/>
            <w:hideMark/>
          </w:tcPr>
          <w:p w14:paraId="0F154629"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3E315774" w14:textId="77777777" w:rsidR="00205CBC" w:rsidRDefault="00000000">
            <w:r>
              <w:rPr>
                <w:color w:val="1F4E9E"/>
              </w:rPr>
              <w:t>p = .003</w:t>
            </w:r>
          </w:p>
        </w:tc>
        <w:tc>
          <w:tcPr>
            <w:tcW w:w="222" w:type="dxa"/>
            <w:tcBorders>
              <w:top w:val="nil"/>
              <w:left w:val="nil"/>
              <w:bottom w:val="nil"/>
              <w:right w:val="nil"/>
            </w:tcBorders>
            <w:noWrap/>
            <w:vAlign w:val="bottom"/>
            <w:hideMark/>
          </w:tcPr>
          <w:p w14:paraId="05F4DEB3"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1E103F8A" w14:textId="77777777" w:rsidR="00205CBC" w:rsidRDefault="00000000">
            <w:r>
              <w:rPr>
                <w:color w:val="1F4E9E"/>
              </w:rPr>
              <w:t>p = .014</w:t>
            </w:r>
          </w:p>
        </w:tc>
        <w:tc>
          <w:tcPr>
            <w:tcW w:w="222" w:type="dxa"/>
            <w:tcBorders>
              <w:top w:val="nil"/>
              <w:left w:val="nil"/>
              <w:bottom w:val="nil"/>
              <w:right w:val="nil"/>
            </w:tcBorders>
            <w:noWrap/>
            <w:vAlign w:val="bottom"/>
            <w:hideMark/>
          </w:tcPr>
          <w:p w14:paraId="706241AF"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center"/>
            <w:hideMark/>
          </w:tcPr>
          <w:p w14:paraId="047ECB64"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vAlign w:val="bottom"/>
            <w:hideMark/>
          </w:tcPr>
          <w:p w14:paraId="0F4D75B3" w14:textId="77777777" w:rsidR="003E2AC3" w:rsidRPr="005B22F4" w:rsidRDefault="003E2AC3" w:rsidP="002D06AB">
            <w:pPr>
              <w:spacing w:after="0" w:line="240" w:lineRule="auto"/>
              <w:jc w:val="center"/>
              <w:rPr>
                <w:rFonts w:eastAsia="Times New Roman"/>
                <w:sz w:val="20"/>
                <w:szCs w:val="20"/>
              </w:rPr>
            </w:pPr>
          </w:p>
        </w:tc>
        <w:tc>
          <w:tcPr>
            <w:tcW w:w="1108" w:type="dxa"/>
            <w:tcBorders>
              <w:top w:val="nil"/>
              <w:left w:val="nil"/>
              <w:bottom w:val="nil"/>
              <w:right w:val="nil"/>
            </w:tcBorders>
            <w:noWrap/>
            <w:vAlign w:val="bottom"/>
            <w:hideMark/>
          </w:tcPr>
          <w:p w14:paraId="29A91A9D"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sz w:val="20"/>
                <w:szCs w:val="20"/>
              </w:rPr>
              <w:t>p</w:t>
            </w:r>
            <w:r w:rsidRPr="005B22F4">
              <w:rPr>
                <w:rFonts w:eastAsia="Times New Roman"/>
                <w:sz w:val="20"/>
                <w:szCs w:val="20"/>
              </w:rPr>
              <w:t xml:space="preserve"> </w:t>
            </w:r>
            <w:r w:rsidR="00D34E37">
              <w:rPr>
                <w:rFonts w:eastAsia="Times New Roman"/>
                <w:color w:val="000000"/>
                <w:sz w:val="20"/>
                <w:szCs w:val="20"/>
              </w:rPr>
              <w:t>=</w:t>
            </w:r>
            <w:r w:rsidRPr="005B22F4">
              <w:rPr>
                <w:rFonts w:eastAsia="Times New Roman"/>
                <w:color w:val="000000"/>
                <w:sz w:val="20"/>
                <w:szCs w:val="20"/>
              </w:rPr>
              <w:t xml:space="preserve"> .</w:t>
            </w:r>
            <w:r w:rsidRPr="00C73FFF">
              <w:rPr>
                <w:rFonts w:eastAsia="Times New Roman"/>
                <w:sz w:val="20"/>
                <w:szCs w:val="20"/>
              </w:rPr>
              <w:t>00</w:t>
            </w:r>
            <w:r w:rsidR="00D34E37" w:rsidRPr="00C73FFF">
              <w:rPr>
                <w:rFonts w:eastAsia="Times New Roman"/>
                <w:sz w:val="20"/>
                <w:szCs w:val="20"/>
              </w:rPr>
              <w:t>3</w:t>
            </w:r>
          </w:p>
        </w:tc>
      </w:tr>
      <w:tr w:rsidR="003E2AC3" w:rsidRPr="001E5E27" w14:paraId="2A51F26B" w14:textId="77777777" w:rsidTr="007972EC">
        <w:trPr>
          <w:trHeight w:val="372" w:hRule="atLeast"/>
        </w:trPr>
        <w:tc>
          <w:tcPr>
            <w:tcW w:w="1701" w:type="dxa"/>
            <w:vMerge/>
            <w:tcBorders>
              <w:top w:val="nil"/>
              <w:left w:val="nil"/>
              <w:bottom w:val="single" w:sz="4" w:space="0" w:color="000000"/>
              <w:right w:val="nil"/>
            </w:tcBorders>
            <w:vAlign w:val="center"/>
            <w:hideMark/>
          </w:tcPr>
          <w:p w14:paraId="4C782847"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38AE0CD3"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coherence × time (linear)</w:t>
            </w:r>
          </w:p>
        </w:tc>
        <w:tc>
          <w:tcPr>
            <w:tcW w:w="266" w:type="dxa"/>
            <w:tcBorders>
              <w:top w:val="nil"/>
              <w:left w:val="nil"/>
              <w:bottom w:val="single" w:sz="4" w:space="0" w:color="auto"/>
              <w:right w:val="nil"/>
            </w:tcBorders>
            <w:noWrap/>
            <w:hideMark/>
          </w:tcPr>
          <w:p w14:paraId="082EDD1D"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single" w:sz="4" w:space="0" w:color="auto"/>
              <w:right w:val="nil"/>
            </w:tcBorders>
            <w:noWrap/>
            <w:hideMark/>
          </w:tcPr>
          <w:p w14:paraId="08E54894" w14:textId="77777777" w:rsidR="00205CBC" w:rsidRDefault="00000000">
            <w:r>
              <w:rPr>
                <w:color w:val="1F4E9E"/>
              </w:rPr>
              <w:t>– ‡</w:t>
            </w:r>
          </w:p>
        </w:tc>
        <w:tc>
          <w:tcPr>
            <w:tcW w:w="222" w:type="dxa"/>
            <w:tcBorders>
              <w:top w:val="nil"/>
              <w:left w:val="nil"/>
              <w:bottom w:val="single" w:sz="4" w:space="0" w:color="auto"/>
              <w:right w:val="nil"/>
            </w:tcBorders>
            <w:noWrap/>
            <w:hideMark/>
          </w:tcPr>
          <w:p w14:paraId="5F1DFB3A"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1C3BD962" w14:textId="77777777" w:rsidR="00205CBC" w:rsidRDefault="00000000">
            <w:r>
              <w:t>–</w:t>
            </w:r>
          </w:p>
        </w:tc>
        <w:tc>
          <w:tcPr>
            <w:tcW w:w="222" w:type="dxa"/>
            <w:tcBorders>
              <w:top w:val="nil"/>
              <w:left w:val="nil"/>
              <w:bottom w:val="single" w:sz="4" w:space="0" w:color="auto"/>
              <w:right w:val="nil"/>
            </w:tcBorders>
            <w:noWrap/>
            <w:vAlign w:val="center"/>
            <w:hideMark/>
          </w:tcPr>
          <w:p w14:paraId="3F0F3B00"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465743E5"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c>
          <w:tcPr>
            <w:tcW w:w="222" w:type="dxa"/>
            <w:tcBorders>
              <w:top w:val="nil"/>
              <w:left w:val="nil"/>
              <w:bottom w:val="single" w:sz="4" w:space="0" w:color="auto"/>
              <w:right w:val="nil"/>
            </w:tcBorders>
            <w:noWrap/>
            <w:hideMark/>
          </w:tcPr>
          <w:p w14:paraId="1CD47A51"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4" w:space="0" w:color="auto"/>
              <w:right w:val="nil"/>
            </w:tcBorders>
            <w:noWrap/>
            <w:hideMark/>
          </w:tcPr>
          <w:p w14:paraId="1E652BE7"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r>
      <w:tr w:rsidR="003E2AC3" w:rsidRPr="001E5E27" w14:paraId="42BC1484" w14:textId="77777777" w:rsidTr="007972EC">
        <w:trPr>
          <w:trHeight w:val="372" w:hRule="atLeast"/>
        </w:trPr>
        <w:tc>
          <w:tcPr>
            <w:tcW w:w="1701" w:type="dxa"/>
            <w:vMerge/>
            <w:tcBorders>
              <w:top w:val="nil"/>
              <w:left w:val="nil"/>
              <w:bottom w:val="single" w:sz="4" w:space="0" w:color="000000"/>
              <w:right w:val="nil"/>
            </w:tcBorders>
            <w:vAlign w:val="center"/>
            <w:hideMark/>
          </w:tcPr>
          <w:p w14:paraId="24CDC0E0"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046D083A" w14:textId="77777777" w:rsidR="003E2AC3" w:rsidRPr="005B22F4" w:rsidRDefault="003E2AC3" w:rsidP="002D06AB">
            <w:pPr>
              <w:spacing w:after="0" w:line="240" w:lineRule="auto"/>
              <w:jc w:val="center"/>
              <w:rPr>
                <w:rFonts w:eastAsia="Times New Roman"/>
                <w:color w:val="000000"/>
                <w:sz w:val="20"/>
                <w:szCs w:val="20"/>
              </w:rPr>
            </w:pPr>
            <w:r>
              <w:rPr>
                <w:color w:val="1F4E9E"/>
              </w:rPr>
              <w:t>duration × time (linear)</w:t>
            </w:r>
          </w:p>
        </w:tc>
        <w:tc>
          <w:tcPr>
            <w:tcW w:w="266" w:type="dxa"/>
            <w:tcBorders>
              <w:top w:val="nil"/>
              <w:left w:val="nil"/>
              <w:bottom w:val="single" w:sz="4" w:space="0" w:color="auto"/>
              <w:right w:val="nil"/>
            </w:tcBorders>
            <w:noWrap/>
            <w:hideMark/>
          </w:tcPr>
          <w:p w14:paraId="65E14B0C"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single" w:sz="4" w:space="0" w:color="auto"/>
              <w:right w:val="nil"/>
            </w:tcBorders>
            <w:noWrap/>
            <w:hideMark/>
          </w:tcPr>
          <w:p w14:paraId="0F08EB1F" w14:textId="77777777" w:rsidR="00205CBC" w:rsidRDefault="00000000">
            <w:r>
              <w:rPr>
                <w:color w:val="1F4E9E"/>
              </w:rPr>
              <w:t>p = .046 §</w:t>
            </w:r>
          </w:p>
        </w:tc>
        <w:tc>
          <w:tcPr>
            <w:tcW w:w="222" w:type="dxa"/>
            <w:tcBorders>
              <w:top w:val="nil"/>
              <w:left w:val="nil"/>
              <w:bottom w:val="single" w:sz="4" w:space="0" w:color="auto"/>
              <w:right w:val="nil"/>
            </w:tcBorders>
            <w:noWrap/>
            <w:hideMark/>
          </w:tcPr>
          <w:p w14:paraId="6430BCFB"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3CCED648" w14:textId="77777777" w:rsidR="00205CBC" w:rsidRDefault="00000000">
            <w:r>
              <w:rPr>
                <w:color w:val="1F4E9E"/>
              </w:rPr>
              <w:t>–</w:t>
            </w:r>
          </w:p>
        </w:tc>
        <w:tc>
          <w:tcPr>
            <w:tcW w:w="222" w:type="dxa"/>
            <w:tcBorders>
              <w:top w:val="nil"/>
              <w:left w:val="nil"/>
              <w:bottom w:val="single" w:sz="4" w:space="0" w:color="auto"/>
              <w:right w:val="nil"/>
            </w:tcBorders>
            <w:noWrap/>
            <w:vAlign w:val="center"/>
            <w:hideMark/>
          </w:tcPr>
          <w:p w14:paraId="65FF4D9D"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0E51687D" w14:textId="77777777" w:rsidR="003E2AC3" w:rsidRPr="005B22F4" w:rsidRDefault="003E2AC3" w:rsidP="002D06AB">
            <w:pPr>
              <w:spacing w:after="0" w:line="240" w:lineRule="auto"/>
              <w:jc w:val="center"/>
              <w:rPr>
                <w:rFonts w:eastAsia="Times New Roman"/>
                <w:color w:val="000000"/>
                <w:sz w:val="20"/>
                <w:szCs w:val="20"/>
              </w:rPr>
            </w:pPr>
            <w:r>
              <w:rPr>
                <w:color w:val="1F4E9E"/>
              </w:rPr>
              <w:t>–</w:t>
            </w:r>
          </w:p>
        </w:tc>
        <w:tc>
          <w:tcPr>
            <w:tcW w:w="222" w:type="dxa"/>
            <w:tcBorders>
              <w:top w:val="nil"/>
              <w:left w:val="nil"/>
              <w:bottom w:val="single" w:sz="4" w:space="0" w:color="auto"/>
              <w:right w:val="nil"/>
            </w:tcBorders>
            <w:noWrap/>
            <w:hideMark/>
          </w:tcPr>
          <w:p w14:paraId="64223ED4"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4" w:space="0" w:color="auto"/>
              <w:right w:val="nil"/>
            </w:tcBorders>
            <w:noWrap/>
            <w:hideMark/>
          </w:tcPr>
          <w:p w14:paraId="10D1266E" w14:textId="77777777" w:rsidR="003E2AC3" w:rsidRPr="005B22F4" w:rsidRDefault="003E2AC3" w:rsidP="002D06AB">
            <w:pPr>
              <w:spacing w:after="0" w:line="240" w:lineRule="auto"/>
              <w:jc w:val="center"/>
              <w:rPr>
                <w:rFonts w:eastAsia="Times New Roman"/>
                <w:color w:val="000000"/>
                <w:sz w:val="20"/>
                <w:szCs w:val="20"/>
              </w:rPr>
            </w:pPr>
            <w:r>
              <w:rPr>
                <w:color w:val="1F4E9E"/>
              </w:rPr>
              <w:t>–</w:t>
            </w:r>
          </w:p>
        </w:tc>
      </w:tr>
      <w:tr w:rsidR="003E2AC3" w:rsidRPr="001E5E27" w14:paraId="42BC1484" w14:textId="77777777" w:rsidTr="007972EC">
        <w:trPr>
          <w:trHeight w:val="372" w:hRule="atLeast"/>
        </w:trPr>
        <w:tc>
          <w:tcPr>
            <w:tcW w:w="1701" w:type="dxa"/>
            <w:vMerge/>
            <w:tcBorders>
              <w:top w:val="nil"/>
              <w:left w:val="nil"/>
              <w:bottom w:val="single" w:sz="4" w:space="0" w:color="000000"/>
              <w:right w:val="nil"/>
            </w:tcBorders>
            <w:vAlign w:val="center"/>
            <w:hideMark/>
          </w:tcPr>
          <w:p w14:paraId="24CDC0E0"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046D083A" w14:textId="77777777" w:rsidR="003E2AC3" w:rsidRPr="005B22F4" w:rsidRDefault="003E2AC3" w:rsidP="002D06AB">
            <w:pPr>
              <w:spacing w:after="0" w:line="240" w:lineRule="auto"/>
              <w:jc w:val="center"/>
              <w:rPr>
                <w:rFonts w:eastAsia="Times New Roman"/>
                <w:color w:val="000000"/>
                <w:sz w:val="20"/>
                <w:szCs w:val="20"/>
              </w:rPr>
            </w:pPr>
            <w:r>
              <w:t>time (quadratic)</w:t>
            </w:r>
          </w:p>
        </w:tc>
        <w:tc>
          <w:tcPr>
            <w:tcW w:w="266" w:type="dxa"/>
            <w:tcBorders>
              <w:top w:val="nil"/>
              <w:left w:val="nil"/>
              <w:bottom w:val="single" w:sz="4" w:space="0" w:color="auto"/>
              <w:right w:val="nil"/>
            </w:tcBorders>
            <w:noWrap/>
            <w:hideMark/>
          </w:tcPr>
          <w:p w14:paraId="65E14B0C" w14:textId="77777777" w:rsidR="003E2AC3" w:rsidRPr="005B22F4" w:rsidRDefault="003E2AC3" w:rsidP="002D06AB">
            <w:pPr>
              <w:spacing w:after="0" w:line="240" w:lineRule="auto"/>
              <w:jc w:val="center"/>
              <w:rPr>
                <w:rFonts w:eastAsia="Times New Roman"/>
                <w:color w:val="000000"/>
                <w:sz w:val="20"/>
                <w:szCs w:val="20"/>
              </w:rPr>
            </w:pPr>
            <w:r/>
          </w:p>
        </w:tc>
        <w:tc>
          <w:tcPr>
            <w:tcW w:w="1033" w:type="dxa"/>
            <w:tcBorders>
              <w:top w:val="nil"/>
              <w:left w:val="nil"/>
              <w:bottom w:val="single" w:sz="4" w:space="0" w:color="auto"/>
              <w:right w:val="nil"/>
            </w:tcBorders>
            <w:noWrap/>
            <w:hideMark/>
          </w:tcPr>
          <w:p w14:paraId="0F08EB1F" w14:textId="77777777" w:rsidR="00205CBC" w:rsidRDefault="00000000">
            <w:r>
              <w:t>p = .007</w:t>
            </w:r>
          </w:p>
        </w:tc>
        <w:tc>
          <w:tcPr>
            <w:tcW w:w="222" w:type="dxa"/>
            <w:tcBorders>
              <w:top w:val="nil"/>
              <w:left w:val="nil"/>
              <w:bottom w:val="single" w:sz="4" w:space="0" w:color="auto"/>
              <w:right w:val="nil"/>
            </w:tcBorders>
            <w:noWrap/>
            <w:hideMark/>
          </w:tcPr>
          <w:p w14:paraId="6430BCFB" w14:textId="77777777" w:rsidR="003E2AC3" w:rsidRPr="005B22F4" w:rsidRDefault="003E2AC3" w:rsidP="002D06AB">
            <w:pPr>
              <w:spacing w:after="0" w:line="240" w:lineRule="auto"/>
              <w:jc w:val="center"/>
              <w:rPr>
                <w:rFonts w:eastAsia="Times New Roman"/>
                <w:color w:val="000000"/>
                <w:sz w:val="20"/>
                <w:szCs w:val="20"/>
              </w:rPr>
            </w:pPr>
            <w:r/>
          </w:p>
        </w:tc>
        <w:tc>
          <w:tcPr>
            <w:tcW w:w="963" w:type="dxa"/>
            <w:tcBorders>
              <w:top w:val="nil"/>
              <w:left w:val="nil"/>
              <w:bottom w:val="single" w:sz="4" w:space="0" w:color="auto"/>
              <w:right w:val="nil"/>
            </w:tcBorders>
            <w:noWrap/>
            <w:vAlign w:val="center"/>
            <w:hideMark/>
          </w:tcPr>
          <w:p w14:paraId="3CCED648" w14:textId="77777777" w:rsidR="00205CBC" w:rsidRDefault="00000000">
            <w:r>
              <w:t>–</w:t>
            </w:r>
          </w:p>
        </w:tc>
        <w:tc>
          <w:tcPr>
            <w:tcW w:w="222" w:type="dxa"/>
            <w:tcBorders>
              <w:top w:val="nil"/>
              <w:left w:val="nil"/>
              <w:bottom w:val="single" w:sz="4" w:space="0" w:color="auto"/>
              <w:right w:val="nil"/>
            </w:tcBorders>
            <w:noWrap/>
            <w:vAlign w:val="center"/>
            <w:hideMark/>
          </w:tcPr>
          <w:p w14:paraId="65FF4D9D" w14:textId="77777777" w:rsidR="003E2AC3" w:rsidRPr="005B22F4" w:rsidRDefault="003E2AC3" w:rsidP="002D06AB">
            <w:pPr>
              <w:spacing w:after="0" w:line="240" w:lineRule="auto"/>
              <w:jc w:val="center"/>
              <w:rPr>
                <w:rFonts w:eastAsia="Times New Roman"/>
                <w:color w:val="000000"/>
                <w:sz w:val="20"/>
                <w:szCs w:val="20"/>
              </w:rPr>
            </w:pPr>
            <w:r/>
          </w:p>
        </w:tc>
        <w:tc>
          <w:tcPr>
            <w:tcW w:w="963" w:type="dxa"/>
            <w:tcBorders>
              <w:top w:val="nil"/>
              <w:left w:val="nil"/>
              <w:bottom w:val="single" w:sz="4" w:space="0" w:color="auto"/>
              <w:right w:val="nil"/>
            </w:tcBorders>
            <w:noWrap/>
            <w:vAlign w:val="center"/>
            <w:hideMark/>
          </w:tcPr>
          <w:p w14:paraId="0E51687D" w14:textId="77777777" w:rsidR="003E2AC3" w:rsidRPr="005B22F4" w:rsidRDefault="003E2AC3" w:rsidP="002D06AB">
            <w:pPr>
              <w:spacing w:after="0" w:line="240" w:lineRule="auto"/>
              <w:jc w:val="center"/>
              <w:rPr>
                <w:rFonts w:eastAsia="Times New Roman"/>
                <w:color w:val="000000"/>
                <w:sz w:val="20"/>
                <w:szCs w:val="20"/>
              </w:rPr>
            </w:pPr>
            <w:r>
              <w:t>– ¶</w:t>
            </w:r>
          </w:p>
        </w:tc>
        <w:tc>
          <w:tcPr>
            <w:tcW w:w="222" w:type="dxa"/>
            <w:tcBorders>
              <w:top w:val="nil"/>
              <w:left w:val="nil"/>
              <w:bottom w:val="single" w:sz="4" w:space="0" w:color="auto"/>
              <w:right w:val="nil"/>
            </w:tcBorders>
            <w:noWrap/>
            <w:hideMark/>
          </w:tcPr>
          <w:p w14:paraId="64223ED4" w14:textId="77777777" w:rsidR="003E2AC3" w:rsidRPr="005B22F4" w:rsidRDefault="003E2AC3" w:rsidP="002D06AB">
            <w:pPr>
              <w:spacing w:after="0" w:line="240" w:lineRule="auto"/>
              <w:jc w:val="center"/>
              <w:rPr>
                <w:rFonts w:eastAsia="Times New Roman"/>
                <w:color w:val="000000"/>
                <w:sz w:val="20"/>
                <w:szCs w:val="20"/>
              </w:rPr>
            </w:pPr>
            <w:r/>
          </w:p>
        </w:tc>
        <w:tc>
          <w:tcPr>
            <w:tcW w:w="1108" w:type="dxa"/>
            <w:tcBorders>
              <w:top w:val="nil"/>
              <w:left w:val="nil"/>
              <w:bottom w:val="single" w:sz="4" w:space="0" w:color="auto"/>
              <w:right w:val="nil"/>
            </w:tcBorders>
            <w:noWrap/>
            <w:hideMark/>
          </w:tcPr>
          <w:p w14:paraId="10D1266E" w14:textId="77777777" w:rsidR="003E2AC3" w:rsidRPr="005B22F4" w:rsidRDefault="003E2AC3" w:rsidP="002D06AB">
            <w:pPr>
              <w:spacing w:after="0" w:line="240" w:lineRule="auto"/>
              <w:jc w:val="center"/>
              <w:rPr>
                <w:rFonts w:eastAsia="Times New Roman"/>
                <w:color w:val="000000"/>
                <w:sz w:val="20"/>
                <w:szCs w:val="20"/>
              </w:rPr>
            </w:pPr>
            <w:r>
              <w:t>– ¶</w:t>
            </w:r>
          </w:p>
        </w:tc>
      </w:tr>
      <w:tr w:rsidR="003E2AC3" w:rsidRPr="001E5E27" w14:paraId="66F9D98E" w14:textId="77777777" w:rsidTr="007972EC">
        <w:trPr>
          <w:trHeight w:val="472" w:hRule="atLeast"/>
        </w:trPr>
        <w:tc>
          <w:tcPr>
            <w:tcW w:w="1701" w:type="dxa"/>
            <w:tcBorders>
              <w:top w:val="nil"/>
              <w:left w:val="nil"/>
              <w:bottom w:val="single" w:sz="12" w:space="0" w:color="auto"/>
              <w:right w:val="nil"/>
            </w:tcBorders>
            <w:noWrap/>
            <w:vAlign w:val="center"/>
            <w:hideMark/>
            <w:vMerge w:val="restart"/>
          </w:tcPr>
          <w:p w14:paraId="446BDB87" w14:textId="77777777"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sz w:val="22"/>
                <w:szCs w:val="20"/>
              </w:rPr>
              <w:t>LRP</w:t>
            </w:r>
            <w:r w:rsidR="0085372A" w:rsidRPr="005B22F4">
              <w:rPr>
                <w:rFonts w:eastAsia="Times New Roman"/>
                <w:bCs/>
                <w:sz w:val="22"/>
                <w:szCs w:val="20"/>
              </w:rPr>
              <w:t xml:space="preserve"> amplitude</w:t>
            </w:r>
          </w:p>
        </w:tc>
        <w:tc>
          <w:tcPr>
            <w:tcW w:w="2079" w:type="dxa"/>
            <w:tcBorders>
              <w:top w:val="nil"/>
              <w:left w:val="nil"/>
              <w:bottom w:val="single" w:sz="12" w:space="0" w:color="auto"/>
              <w:right w:val="nil"/>
            </w:tcBorders>
            <w:noWrap/>
            <w:vAlign w:val="center"/>
            <w:hideMark/>
          </w:tcPr>
          <w:p w14:paraId="78D1A022"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time (linear)</w:t>
            </w:r>
          </w:p>
        </w:tc>
        <w:tc>
          <w:tcPr>
            <w:tcW w:w="266" w:type="dxa"/>
            <w:tcBorders>
              <w:top w:val="nil"/>
              <w:left w:val="nil"/>
              <w:bottom w:val="single" w:sz="12" w:space="0" w:color="auto"/>
              <w:right w:val="nil"/>
            </w:tcBorders>
            <w:noWrap/>
            <w:vAlign w:val="center"/>
            <w:hideMark/>
          </w:tcPr>
          <w:p w14:paraId="1CF92D3E" w14:textId="77777777" w:rsidR="003E2AC3" w:rsidRPr="005B22F4" w:rsidRDefault="003E2AC3" w:rsidP="002D06AB">
            <w:pPr>
              <w:spacing w:after="0" w:line="240" w:lineRule="auto"/>
              <w:jc w:val="center"/>
              <w:rPr>
                <w:rFonts w:eastAsia="Times New Roman"/>
                <w:sz w:val="20"/>
                <w:szCs w:val="20"/>
              </w:rPr>
            </w:pPr>
          </w:p>
        </w:tc>
        <w:tc>
          <w:tcPr>
            <w:tcW w:w="1033" w:type="dxa"/>
            <w:tcBorders>
              <w:top w:val="nil"/>
              <w:left w:val="nil"/>
              <w:bottom w:val="single" w:sz="12" w:space="0" w:color="auto"/>
              <w:right w:val="nil"/>
            </w:tcBorders>
            <w:noWrap/>
            <w:vAlign w:val="center"/>
            <w:hideMark/>
          </w:tcPr>
          <w:p w14:paraId="1E4964CA" w14:textId="77777777" w:rsidR="00205CBC" w:rsidRDefault="00000000">
            <w:r>
              <w:t>–</w:t>
            </w:r>
          </w:p>
        </w:tc>
        <w:tc>
          <w:tcPr>
            <w:tcW w:w="222" w:type="dxa"/>
            <w:tcBorders>
              <w:top w:val="nil"/>
              <w:left w:val="nil"/>
              <w:bottom w:val="single" w:sz="12" w:space="0" w:color="auto"/>
              <w:right w:val="nil"/>
            </w:tcBorders>
            <w:noWrap/>
            <w:vAlign w:val="center"/>
            <w:hideMark/>
          </w:tcPr>
          <w:p w14:paraId="00AC54E1"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12" w:space="0" w:color="auto"/>
              <w:right w:val="nil"/>
            </w:tcBorders>
            <w:noWrap/>
            <w:vAlign w:val="center"/>
            <w:hideMark/>
          </w:tcPr>
          <w:p w14:paraId="6E40F7C1" w14:textId="77777777" w:rsidR="00205CBC" w:rsidRDefault="00000000">
            <w:r>
              <w:rPr>
                <w:color w:val="1F4E9E"/>
              </w:rPr>
              <w:t>p = .001</w:t>
            </w:r>
          </w:p>
        </w:tc>
        <w:tc>
          <w:tcPr>
            <w:tcW w:w="222" w:type="dxa"/>
            <w:tcBorders>
              <w:top w:val="nil"/>
              <w:left w:val="nil"/>
              <w:bottom w:val="single" w:sz="12" w:space="0" w:color="auto"/>
              <w:right w:val="nil"/>
            </w:tcBorders>
            <w:noWrap/>
            <w:vAlign w:val="center"/>
            <w:hideMark/>
          </w:tcPr>
          <w:p w14:paraId="4D6D93E9"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12" w:space="0" w:color="auto"/>
              <w:right w:val="nil"/>
            </w:tcBorders>
            <w:noWrap/>
            <w:vAlign w:val="center"/>
            <w:hideMark/>
          </w:tcPr>
          <w:p w14:paraId="7FD02D21"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sz w:val="20"/>
                <w:szCs w:val="20"/>
              </w:rPr>
              <w:t>p</w:t>
            </w:r>
            <w:r w:rsidRPr="005B22F4">
              <w:rPr>
                <w:rFonts w:eastAsia="Times New Roman"/>
                <w:sz w:val="20"/>
                <w:szCs w:val="20"/>
              </w:rPr>
              <w:t xml:space="preserve"> = .001</w:t>
            </w:r>
          </w:p>
        </w:tc>
        <w:tc>
          <w:tcPr>
            <w:tcW w:w="222" w:type="dxa"/>
            <w:tcBorders>
              <w:top w:val="nil"/>
              <w:left w:val="nil"/>
              <w:bottom w:val="single" w:sz="12" w:space="0" w:color="auto"/>
              <w:right w:val="nil"/>
            </w:tcBorders>
            <w:noWrap/>
            <w:vAlign w:val="center"/>
            <w:hideMark/>
          </w:tcPr>
          <w:p w14:paraId="706042DF"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12" w:space="0" w:color="auto"/>
              <w:right w:val="nil"/>
            </w:tcBorders>
            <w:noWrap/>
            <w:vAlign w:val="center"/>
            <w:hideMark/>
          </w:tcPr>
          <w:p w14:paraId="37F256D4"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sz w:val="20"/>
                <w:szCs w:val="20"/>
              </w:rPr>
              <w:t>p</w:t>
            </w:r>
            <w:r w:rsidRPr="005B22F4">
              <w:rPr>
                <w:rFonts w:eastAsia="Times New Roman"/>
                <w:sz w:val="20"/>
                <w:szCs w:val="20"/>
              </w:rPr>
              <w:t xml:space="preserve"> &lt; .001</w:t>
            </w:r>
          </w:p>
        </w:tc>
      </w:tr>
      <w:tr w:rsidR="003E2AC3" w:rsidRPr="001E5E27" w14:paraId="66F9D98E" w14:textId="77777777" w:rsidTr="007972EC">
        <w:trPr>
          <w:trHeight w:val="472" w:hRule="atLeast"/>
        </w:trPr>
        <w:tc>
          <w:tcPr>
            <w:tcW w:w="1701" w:type="dxa"/>
            <w:tcBorders>
              <w:top w:val="nil"/>
              <w:left w:val="nil"/>
              <w:bottom w:val="single" w:sz="12" w:space="0" w:color="auto"/>
              <w:right w:val="nil"/>
            </w:tcBorders>
            <w:noWrap/>
            <w:vAlign w:val="center"/>
            <w:hideMark/>
            <w:vMerge w:val="restart"/>
          </w:tcPr>
          <w:p w14:paraId="446BDB87" w14:textId="77777777" w:rsidR="003E2AC3" w:rsidRPr="005B22F4" w:rsidRDefault="003E2AC3" w:rsidP="002D06AB">
            <w:pPr>
              <w:spacing w:after="0" w:line="240" w:lineRule="auto"/>
              <w:jc w:val="center"/>
              <w:rPr>
                <w:rFonts w:eastAsia="Times New Roman"/>
                <w:bCs/>
                <w:color w:val="000000"/>
                <w:sz w:val="22"/>
                <w:szCs w:val="20"/>
              </w:rPr>
            </w:pPr>
            <w:r>
              <w:t>LRP amplitude</w:t>
            </w:r>
          </w:p>
        </w:tc>
        <w:tc>
          <w:tcPr>
            <w:tcW w:w="2079" w:type="dxa"/>
            <w:tcBorders>
              <w:top w:val="nil"/>
              <w:left w:val="nil"/>
              <w:bottom w:val="single" w:sz="12" w:space="0" w:color="auto"/>
              <w:right w:val="nil"/>
            </w:tcBorders>
            <w:noWrap/>
            <w:vAlign w:val="center"/>
            <w:hideMark/>
          </w:tcPr>
          <w:p w14:paraId="78D1A022" w14:textId="77777777" w:rsidR="003E2AC3" w:rsidRPr="005B22F4" w:rsidRDefault="003E2AC3" w:rsidP="002D06AB">
            <w:pPr>
              <w:spacing w:after="0" w:line="240" w:lineRule="auto"/>
              <w:jc w:val="center"/>
              <w:rPr>
                <w:rFonts w:eastAsia="Times New Roman"/>
                <w:color w:val="000000"/>
                <w:sz w:val="20"/>
                <w:szCs w:val="20"/>
              </w:rPr>
            </w:pPr>
            <w:r>
              <w:t>duration × time (quadratic)</w:t>
            </w:r>
          </w:p>
        </w:tc>
        <w:tc>
          <w:tcPr>
            <w:tcW w:w="266" w:type="dxa"/>
            <w:tcBorders>
              <w:top w:val="nil"/>
              <w:left w:val="nil"/>
              <w:bottom w:val="single" w:sz="12" w:space="0" w:color="auto"/>
              <w:right w:val="nil"/>
            </w:tcBorders>
            <w:noWrap/>
            <w:vAlign w:val="center"/>
            <w:hideMark/>
          </w:tcPr>
          <w:p w14:paraId="1CF92D3E" w14:textId="77777777" w:rsidR="003E2AC3" w:rsidRPr="005B22F4" w:rsidRDefault="003E2AC3" w:rsidP="002D06AB">
            <w:pPr>
              <w:spacing w:after="0" w:line="240" w:lineRule="auto"/>
              <w:jc w:val="center"/>
              <w:rPr>
                <w:rFonts w:eastAsia="Times New Roman"/>
                <w:sz w:val="20"/>
                <w:szCs w:val="20"/>
              </w:rPr>
            </w:pPr>
            <w:r/>
          </w:p>
        </w:tc>
        <w:tc>
          <w:tcPr>
            <w:tcW w:w="1033" w:type="dxa"/>
            <w:tcBorders>
              <w:top w:val="nil"/>
              <w:left w:val="nil"/>
              <w:bottom w:val="single" w:sz="12" w:space="0" w:color="auto"/>
              <w:right w:val="nil"/>
            </w:tcBorders>
            <w:noWrap/>
            <w:vAlign w:val="center"/>
            <w:hideMark/>
          </w:tcPr>
          <w:p w14:paraId="1E4964CA" w14:textId="77777777" w:rsidR="00205CBC" w:rsidRDefault="00000000">
            <w:r>
              <w:t>p = .014</w:t>
            </w:r>
          </w:p>
        </w:tc>
        <w:tc>
          <w:tcPr>
            <w:tcW w:w="222" w:type="dxa"/>
            <w:tcBorders>
              <w:top w:val="nil"/>
              <w:left w:val="nil"/>
              <w:bottom w:val="single" w:sz="12" w:space="0" w:color="auto"/>
              <w:right w:val="nil"/>
            </w:tcBorders>
            <w:noWrap/>
            <w:vAlign w:val="center"/>
            <w:hideMark/>
          </w:tcPr>
          <w:p w14:paraId="00AC54E1" w14:textId="77777777" w:rsidR="003E2AC3" w:rsidRPr="005B22F4" w:rsidRDefault="003E2AC3" w:rsidP="002D06AB">
            <w:pPr>
              <w:spacing w:after="0" w:line="240" w:lineRule="auto"/>
              <w:jc w:val="center"/>
              <w:rPr>
                <w:rFonts w:eastAsia="Times New Roman"/>
                <w:color w:val="000000"/>
                <w:sz w:val="20"/>
                <w:szCs w:val="20"/>
              </w:rPr>
            </w:pPr>
            <w:r/>
          </w:p>
        </w:tc>
        <w:tc>
          <w:tcPr>
            <w:tcW w:w="963" w:type="dxa"/>
            <w:tcBorders>
              <w:top w:val="nil"/>
              <w:left w:val="nil"/>
              <w:bottom w:val="single" w:sz="12" w:space="0" w:color="auto"/>
              <w:right w:val="nil"/>
            </w:tcBorders>
            <w:noWrap/>
            <w:vAlign w:val="center"/>
            <w:hideMark/>
          </w:tcPr>
          <w:p w14:paraId="6E40F7C1" w14:textId="77777777" w:rsidR="00205CBC" w:rsidRDefault="00000000">
            <w:r>
              <w:t>–</w:t>
            </w:r>
          </w:p>
        </w:tc>
        <w:tc>
          <w:tcPr>
            <w:tcW w:w="222" w:type="dxa"/>
            <w:tcBorders>
              <w:top w:val="nil"/>
              <w:left w:val="nil"/>
              <w:bottom w:val="single" w:sz="12" w:space="0" w:color="auto"/>
              <w:right w:val="nil"/>
            </w:tcBorders>
            <w:noWrap/>
            <w:vAlign w:val="center"/>
            <w:hideMark/>
          </w:tcPr>
          <w:p w14:paraId="4D6D93E9" w14:textId="77777777" w:rsidR="003E2AC3" w:rsidRPr="005B22F4" w:rsidRDefault="003E2AC3" w:rsidP="002D06AB">
            <w:pPr>
              <w:spacing w:after="0" w:line="240" w:lineRule="auto"/>
              <w:jc w:val="center"/>
              <w:rPr>
                <w:rFonts w:eastAsia="Times New Roman"/>
                <w:color w:val="000000"/>
                <w:sz w:val="20"/>
                <w:szCs w:val="20"/>
              </w:rPr>
            </w:pPr>
            <w:r/>
          </w:p>
        </w:tc>
        <w:tc>
          <w:tcPr>
            <w:tcW w:w="963" w:type="dxa"/>
            <w:tcBorders>
              <w:top w:val="nil"/>
              <w:left w:val="nil"/>
              <w:bottom w:val="single" w:sz="12" w:space="0" w:color="auto"/>
              <w:right w:val="nil"/>
            </w:tcBorders>
            <w:noWrap/>
            <w:vAlign w:val="center"/>
            <w:hideMark/>
          </w:tcPr>
          <w:p w14:paraId="7FD02D21" w14:textId="77777777" w:rsidR="003E2AC3" w:rsidRPr="005B22F4" w:rsidRDefault="003E2AC3" w:rsidP="002D06AB">
            <w:pPr>
              <w:spacing w:after="0" w:line="240" w:lineRule="auto"/>
              <w:jc w:val="center"/>
              <w:rPr>
                <w:rFonts w:eastAsia="Times New Roman"/>
                <w:i/>
                <w:iCs/>
                <w:color w:val="000000"/>
                <w:sz w:val="20"/>
                <w:szCs w:val="20"/>
              </w:rPr>
            </w:pPr>
            <w:r>
              <w:t>– ¶</w:t>
            </w:r>
          </w:p>
        </w:tc>
        <w:tc>
          <w:tcPr>
            <w:tcW w:w="222" w:type="dxa"/>
            <w:tcBorders>
              <w:top w:val="nil"/>
              <w:left w:val="nil"/>
              <w:bottom w:val="single" w:sz="12" w:space="0" w:color="auto"/>
              <w:right w:val="nil"/>
            </w:tcBorders>
            <w:noWrap/>
            <w:vAlign w:val="center"/>
            <w:hideMark/>
          </w:tcPr>
          <w:p w14:paraId="706042DF" w14:textId="77777777" w:rsidR="003E2AC3" w:rsidRPr="005B22F4" w:rsidRDefault="003E2AC3" w:rsidP="002D06AB">
            <w:pPr>
              <w:spacing w:after="0" w:line="240" w:lineRule="auto"/>
              <w:jc w:val="center"/>
              <w:rPr>
                <w:rFonts w:eastAsia="Times New Roman"/>
                <w:color w:val="000000"/>
                <w:sz w:val="20"/>
                <w:szCs w:val="20"/>
              </w:rPr>
            </w:pPr>
            <w:r/>
          </w:p>
        </w:tc>
        <w:tc>
          <w:tcPr>
            <w:tcW w:w="1108" w:type="dxa"/>
            <w:tcBorders>
              <w:top w:val="nil"/>
              <w:left w:val="nil"/>
              <w:bottom w:val="single" w:sz="12" w:space="0" w:color="auto"/>
              <w:right w:val="nil"/>
            </w:tcBorders>
            <w:noWrap/>
            <w:vAlign w:val="center"/>
            <w:hideMark/>
          </w:tcPr>
          <w:p w14:paraId="37F256D4" w14:textId="77777777" w:rsidR="003E2AC3" w:rsidRPr="005B22F4" w:rsidRDefault="003E2AC3" w:rsidP="002D06AB">
            <w:pPr>
              <w:spacing w:after="0" w:line="240" w:lineRule="auto"/>
              <w:jc w:val="center"/>
              <w:rPr>
                <w:rFonts w:eastAsia="Times New Roman"/>
                <w:i/>
                <w:iCs/>
                <w:color w:val="000000"/>
                <w:sz w:val="20"/>
                <w:szCs w:val="20"/>
              </w:rPr>
            </w:pPr>
            <w:r>
              <w:t>– ¶</w:t>
            </w:r>
          </w:p>
        </w:tc>
      </w:tr>
    </w:tbl>
    <w:p w14:paraId="1A1C14EC" w14:textId="77777777" w:rsidR="003009E9" w:rsidRPr="00DD789D" w:rsidRDefault="003E2AC3" w:rsidP="00643E25">
      <w:pPr>
        <w:spacing w:before="120" w:after="120" w:line="259" w:lineRule="auto"/>
        <w:rPr>
          <w:iCs/>
          <w:sz w:val="20"/>
          <w:szCs w:val="18"/>
        </w:rPr>
      </w:pPr>
      <w:r>
        <w:rPr>
          <w:color w:val="1F4E9E"/>
        </w:rPr>
        <w:t>Note. Entries indicate p-values for significant effects. For stimulus- and delay-period time-bin effects, significance is based on the linear-trend or quadratic contrast rather than on the omnibus ANOVA (Methods). RS and response periods are unaffected (RS has only two time bins, where the omnibus and trend tests coincide exactly; the response period is analyzed on a single bin, so no trend decomposition applies there). Full ANOVA results, including effect sizes, are reported in Tables S2–S3. Time refers to the time-bin factor. RS = response signal. The response period is analyzed on its single informative bin, so its time-bin main effect and time-bin interactions (marked n/a†) are not separate tests (Methods). ‡ Significant on the omnibus test (p &lt; .001) but not as a full-window linear trend (p = .596): the effect is confined to the first half of the stimulus period and absent in the second half (Results; Table S4). § Not significant on the omnibus test (p = .136) but significant as a linear trend (p = .046); reported here for consistency with the trend criterion used throughout this table. ¶ No quadratic contrast exists for RS or Response (only two time bins).</w:t>
      </w:r>
    </w:p>
    <w:p w14:paraId="73212C5D" w14:textId="77777777" w:rsidR="00205CBC" w:rsidRDefault="00000000" __title__="1">
      <w:pPr>
        <w:pStyle w:val="Titre1"/>
      </w:pPr>
      <w:r>
        <w:rPr>
          <w:color w:val="1F4E9E"/>
        </w:rPr>
        <w:t xml:space="preserve">Appendix. The rate of partial muscle activations</w:t>
      </w:r>
    </w:p>
    <w:p w14:paraId="73212C5D" w14:textId="77777777" w:rsidR="00205CBC" w:rsidRDefault="00000000">
      <w:r>
        <w:rPr>
          <w:color w:val="1F4E9E"/>
        </w:rPr>
        <w:t xml:space="preserve">This appendix derives the instantaneous rate at which the maintained motor-preparatory signal crosses the gate upward — a partial muscle activation — and the structural properties of that rate which the Results test. It contains no numerical evaluation: every quantity computed over the sampled parameter space is reported in Results, beside the data it is compared with.</w:t>
      </w:r>
    </w:p>
    <w:p w14:paraId="73212C5D" w14:textId="77777777" w:rsidR="00205CBC" w:rsidRDefault="00000000">
      <w:r>
        <w:rPr>
          <w:color w:val="1F4E9E"/>
          <w:i/>
          <w:b/>
        </w:rPr>
        <w:t xml:space="preserve">Setup and notation</w:t>
      </w:r>
    </w:p>
    <w:p w14:paraId="73212C5D" w14:textId="77777777" w:rsidR="00205CBC" w:rsidRDefault="00000000">
      <w:r>
        <w:rPr>
          <w:color w:val="1F4E9E"/>
        </w:rPr>
        <w:t xml:space="preserve">Notation follows Theory (Materials and Methods) and Table A1; </w:t>
      </w:r>
      <m:oMath>
        <m:r>
          <w:rPr>
            <w:rFonts w:ascii="Cambria Math" w:hAnsi="Cambria Math"/>
            <w:color w:val="1F4E9E"/>
          </w:rPr>
          <m:t xml:space="preserve">φ</m:t>
        </m:r>
      </m:oMath>
      <w:r>
        <w:rPr>
          <w:color w:val="1F4E9E"/>
        </w:rPr>
        <w:t xml:space="preserve"> and </w:t>
      </w:r>
      <m:oMath>
        <m:r>
          <w:rPr>
            <w:rFonts w:ascii="Cambria Math" w:hAnsi="Cambria Math"/>
            <w:color w:val="1F4E9E"/>
          </w:rPr>
          <m:t xml:space="preserve">Φ</m:t>
        </m:r>
      </m:oMath>
      <w:r>
        <w:rPr>
          <w:color w:val="1F4E9E"/>
        </w:rPr>
        <w:t xml:space="preserve"> are the standard normal density and distribution function. Fix a trial that has entered maintenance at time </w:t>
      </w:r>
      <m:oMath>
        <m:sSub>
          <m:sSubPr>
            <m:ctrlPr/>
          </m:sSubPr>
          <m:e>
            <m:r>
              <w:rPr>
                <w:rFonts w:ascii="Cambria Math" w:hAnsi="Cambria Math"/>
                <w:color w:val="1F4E9E"/>
              </w:rPr>
              <m:t xml:space="preserve">τ</m:t>
            </m:r>
          </m:e>
          <m:sub>
            <m:r>
              <m:rPr>
                <m:nor/>
              </m:rPr>
              <w:rPr>
                <w:rFonts w:ascii="Cambria Math" w:hAnsi="Cambria Math"/>
                <w:color w:val="1F4E9E"/>
              </w:rPr>
              <m:t xml:space="preserve">0</m:t>
            </m:r>
          </m:sub>
        </m:sSub>
      </m:oMath>
      <w:r>
        <w:rPr>
          <w:color w:val="1F4E9E"/>
        </w:rPr>
        <w:t xml:space="preserve"> with selected response </w:t>
      </w:r>
      <m:oMath>
        <m:sSub>
          <m:sSubPr>
            <m:ctrlPr/>
          </m:sSubPr>
          <m:e>
            <m:r>
              <w:rPr>
                <w:rFonts w:ascii="Cambria Math" w:hAnsi="Cambria Math"/>
                <w:color w:val="1F4E9E"/>
              </w:rPr>
              <m:t xml:space="preserve">s</m:t>
            </m:r>
          </m:e>
          <m:sub>
            <m:r>
              <m:rPr>
                <m:nor/>
              </m:rPr>
              <w:rPr>
                <w:rFonts w:ascii="Cambria Math" w:hAnsi="Cambria Math"/>
                <w:color w:val="1F4E9E"/>
              </w:rPr>
              <m:t xml:space="preserve">resp</m:t>
            </m:r>
          </m:sub>
        </m:sSub>
      </m:oMath>
      <w:r>
        <w:rPr>
          <w:color w:val="1F4E9E"/>
        </w:rPr>
        <w:t xml:space="preserve"> and maintained level </w:t>
      </w:r>
      <m:oMath>
        <m:r>
          <w:rPr>
            <w:rFonts w:ascii="Cambria Math" w:hAnsi="Cambria Math"/>
            <w:color w:val="1F4E9E"/>
          </w:rPr>
          <m:t xml:space="preserve">m</m:t>
        </m:r>
      </m:oMath>
      <w:r>
        <w:rPr>
          <w:color w:val="1F4E9E"/>
        </w:rPr>
        <w:t xml:space="preserve"> (Equation (4)), and write </w:t>
      </w:r>
      <m:oMath>
        <m:r>
          <w:rPr>
            <w:rFonts w:ascii="Cambria Math" w:hAnsi="Cambria Math"/>
            <w:color w:val="1F4E9E"/>
          </w:rPr>
          <m:t xml:space="preserve">ρ</m:t>
        </m:r>
        <m:r>
          <m:rPr>
            <m:nor/>
          </m:rPr>
          <w:rPr>
            <w:rFonts w:ascii="Cambria Math" w:hAnsi="Cambria Math"/>
            <w:color w:val="1F4E9E"/>
          </w:rPr>
          <m:t xml:space="preserve">:</m:t>
        </m:r>
        <m:r>
          <m:rPr>
            <m:nor/>
          </m:rPr>
          <w:rPr>
            <w:rFonts w:ascii="Cambria Math" w:hAnsi="Cambria Math"/>
            <w:color w:val="1F4E9E"/>
          </w:rPr>
          <m:t xml:space="preserve">=</m:t>
        </m:r>
        <m:r>
          <w:rPr>
            <w:rFonts w:ascii="Cambria Math" w:hAnsi="Cambria Math"/>
            <w:color w:val="1F4E9E"/>
          </w:rPr>
          <m:t xml:space="preserve">t</m:t>
        </m:r>
        <m:r>
          <m:rPr>
            <m:nor/>
          </m:rPr>
          <w:rPr>
            <w:rFonts w:ascii="Cambria Math" w:hAnsi="Cambria Math"/>
            <w:color w:val="1F4E9E"/>
          </w:rPr>
          <m:t xml:space="preserve">-</m:t>
        </m:r>
        <m:sSub>
          <m:sSubPr>
            <m:ctrlPr/>
          </m:sSubPr>
          <m:e>
            <m:r>
              <w:rPr>
                <w:rFonts w:ascii="Cambria Math" w:hAnsi="Cambria Math"/>
                <w:color w:val="1F4E9E"/>
              </w:rPr>
              <m:t xml:space="preserve">τ</m:t>
            </m:r>
          </m:e>
          <m:sub>
            <m:r>
              <m:rPr>
                <m:nor/>
              </m:rPr>
              <w:rPr>
                <w:rFonts w:ascii="Cambria Math" w:hAnsi="Cambria Math"/>
                <w:color w:val="1F4E9E"/>
              </w:rPr>
              <m:t xml:space="preserve">0</m:t>
            </m:r>
          </m:sub>
        </m:sSub>
      </m:oMath>
      <w:r>
        <w:rPr>
          <w:color w:val="1F4E9E"/>
        </w:rPr>
        <w:t xml:space="preserve"> for elapsed maintenance time. For </w:t>
      </w:r>
      <m:oMath>
        <m:r>
          <w:rPr>
            <w:rFonts w:ascii="Cambria Math" w:hAnsi="Cambria Math"/>
            <w:color w:val="1F4E9E"/>
          </w:rPr>
          <m:t xml:space="preserve">t</m:t>
        </m:r>
        <m:r>
          <m:rPr>
            <m:nor/>
          </m:rPr>
          <w:rPr>
            <w:rFonts w:ascii="Cambria Math" w:hAnsi="Cambria Math"/>
            <w:color w:val="1F4E9E"/>
          </w:rPr>
          <m:t xml:space="preserve">≥</m:t>
        </m:r>
        <m:sSub>
          <m:sSubPr>
            <m:ctrlPr/>
          </m:sSubPr>
          <m:e>
            <m:r>
              <w:rPr>
                <w:rFonts w:ascii="Cambria Math" w:hAnsi="Cambria Math"/>
                <w:color w:val="1F4E9E"/>
              </w:rPr>
              <m:t xml:space="preserve">τ</m:t>
            </m:r>
          </m:e>
          <m:sub>
            <m:r>
              <m:rPr>
                <m:nor/>
              </m:rPr>
              <w:rPr>
                <w:rFonts w:ascii="Cambria Math" w:hAnsi="Cambria Math"/>
                <w:color w:val="1F4E9E"/>
              </w:rPr>
              <m:t xml:space="preserve">0</m:t>
            </m:r>
          </m:sub>
        </m:sSub>
      </m:oMath>
      <w:r>
        <w:rPr>
          <w:color w:val="1F4E9E"/>
        </w:rPr>
        <w:t xml:space="preserve"> write </w:t>
      </w:r>
      <m:oMath>
        <m:r>
          <w:rPr>
            <w:rFonts w:ascii="Cambria Math" w:hAnsi="Cambria Math"/>
            <w:color w:val="1F4E9E"/>
          </w:rPr>
          <m:t xml:space="preserve">y</m:t>
        </m:r>
        <m:d>
          <m:dPr>
            <m:begChr m:val="("/>
            <m:endChr m:val=")"/>
            <m:ctrlPr/>
          </m:dPr>
          <m:e>
            <m:r>
              <w:rPr>
                <w:rFonts w:ascii="Cambria Math" w:hAnsi="Cambria Math"/>
                <w:color w:val="1F4E9E"/>
              </w:rPr>
              <m:t xml:space="preserve">t</m:t>
            </m:r>
          </m:e>
        </m:d>
        <m:r>
          <m:rPr>
            <m:nor/>
          </m:rPr>
          <w:rPr>
            <w:rFonts w:ascii="Cambria Math" w:hAnsi="Cambria Math"/>
            <w:color w:val="1F4E9E"/>
          </w:rPr>
          <m:t xml:space="preserve">=</m:t>
        </m:r>
        <m:r>
          <w:rPr>
            <w:rFonts w:ascii="Cambria Math" w:hAnsi="Cambria Math"/>
            <w:color w:val="1F4E9E"/>
          </w:rPr>
          <m:t xml:space="preserve">m</m:t>
        </m:r>
        <m:r>
          <m:rPr>
            <m:nor/>
          </m:rPr>
          <w:rPr>
            <w:rFonts w:ascii="Cambria Math" w:hAnsi="Cambria Math"/>
            <w:color w:val="1F4E9E"/>
          </w:rPr>
          <m:t xml:space="preserve">+</m:t>
        </m:r>
        <m:r>
          <w:rPr>
            <w:rFonts w:ascii="Cambria Math" w:hAnsi="Cambria Math"/>
            <w:color w:val="1F4E9E"/>
          </w:rPr>
          <m:t xml:space="preserve">H</m:t>
        </m:r>
        <m:d>
          <m:dPr>
            <m:begChr m:val="("/>
            <m:endChr m:val=")"/>
            <m:ctrlPr/>
          </m:dPr>
          <m:e>
            <m:r>
              <w:rPr>
                <w:rFonts w:ascii="Cambria Math" w:hAnsi="Cambria Math"/>
                <w:color w:val="1F4E9E"/>
              </w:rPr>
              <m:t xml:space="preserve">t</m:t>
            </m:r>
          </m:e>
        </m:d>
      </m:oMath>
      <w:r>
        <w:rPr>
          <w:color w:val="1F4E9E"/>
        </w:rPr>
        <w:t xml:space="preserve">, so that </w:t>
      </w:r>
      <m:oMath>
        <m:r>
          <w:rPr>
            <w:rFonts w:ascii="Cambria Math" w:hAnsi="Cambria Math"/>
            <w:color w:val="1F4E9E"/>
          </w:rPr>
          <m:t xml:space="preserve">H</m:t>
        </m:r>
      </m:oMath>
      <w:r>
        <w:rPr>
          <w:color w:val="1F4E9E"/>
        </w:rPr>
        <w:t xml:space="preserve"> is the fluctuation of the motor-preparatory signal about its target, with </w:t>
      </w:r>
      <m:oMath>
        <m:r>
          <w:rPr>
            <w:rFonts w:ascii="Cambria Math" w:hAnsi="Cambria Math"/>
            <w:color w:val="1F4E9E"/>
          </w:rPr>
          <m:t xml:space="preserve">H</m:t>
        </m:r>
        <m:d>
          <m:dPr>
            <m:begChr m:val="("/>
            <m:endChr m:val=")"/>
            <m:ctrlPr/>
          </m:dPr>
          <m:e>
            <m:sSub>
              <m:sSubPr>
                <m:ctrlPr/>
              </m:sSubPr>
              <m:e>
                <m:r>
                  <w:rPr>
                    <w:rFonts w:ascii="Cambria Math" w:hAnsi="Cambria Math"/>
                    <w:color w:val="1F4E9E"/>
                  </w:rPr>
                  <m:t xml:space="preserve">τ</m:t>
                </m:r>
              </m:e>
              <m:sub>
                <m:r>
                  <m:rPr>
                    <m:nor/>
                  </m:rPr>
                  <w:rPr>
                    <w:rFonts w:ascii="Cambria Math" w:hAnsi="Cambria Math"/>
                    <w:color w:val="1F4E9E"/>
                  </w:rPr>
                  <m:t xml:space="preserve">0</m:t>
                </m:r>
              </m:sub>
            </m:sSub>
          </m:e>
        </m:d>
        <m:r>
          <m:rPr>
            <m:nor/>
          </m:rPr>
          <w:rPr>
            <w:rFonts w:ascii="Cambria Math" w:hAnsi="Cambria Math"/>
            <w:color w:val="1F4E9E"/>
          </w:rPr>
          <m:t xml:space="preserve">=</m:t>
        </m:r>
        <m:r>
          <m:rPr>
            <m:nor/>
          </m:rPr>
          <w:rPr>
            <w:rFonts w:ascii="Cambria Math" w:hAnsi="Cambria Math"/>
            <w:color w:val="1F4E9E"/>
          </w:rPr>
          <m:t xml:space="preserve">0</m:t>
        </m:r>
      </m:oMath>
      <w:r>
        <w:rPr>
          <w:color w:val="1F4E9E"/>
        </w:rPr>
        <w:t xml:space="preserve">. By Equations (5) and (6), </w:t>
      </w:r>
      <m:oMath>
        <m:r>
          <w:rPr>
            <w:rFonts w:ascii="Cambria Math" w:hAnsi="Cambria Math"/>
            <w:color w:val="1F4E9E"/>
          </w:rPr>
          <m:t xml:space="preserve">H</m:t>
        </m:r>
      </m:oMath>
      <w:r>
        <w:rPr>
          <w:color w:val="1F4E9E"/>
        </w:rPr>
        <w:t xml:space="preserve"> is the output of the first-order filter driven by the Ornstein–Uhlenbeck maintenance noise:</w:t>
      </w:r>
    </w:p>
    <w:p w14:paraId="73212C5D" w14:textId="77777777" w:rsidR="00205CBC" w:rsidRDefault="00000000">
      <m:oMathPara>
        <m:oMath>
          <m:eqArr>
            <m:eqArrPr>
              <m:maxDist m:val="1"/>
              <m:ctrlPr/>
            </m:eqArrPr>
            <m:e>
              <m:r>
                <m:rPr>
                  <m:nor/>
                </m:rPr>
                <w:rPr>
                  <w:rFonts w:ascii="Cambria Math" w:hAnsi="Cambria Math"/>
                  <w:color w:val="1F4E9E"/>
                </w:rPr>
                <m:t xml:space="preserve">d</m:t>
              </m:r>
              <m:r>
                <w:rPr>
                  <w:rFonts w:ascii="Cambria Math" w:hAnsi="Cambria Math"/>
                  <w:color w:val="1F4E9E"/>
                </w:rPr>
                <m:t xml:space="preserve">ε</m:t>
              </m:r>
              <m:d>
                <m:dPr>
                  <m:begChr m:val="("/>
                  <m:endChr m:val=")"/>
                  <m:ctrlPr/>
                </m:dPr>
                <m:e>
                  <m:r>
                    <w:rPr>
                      <w:rFonts w:ascii="Cambria Math" w:hAnsi="Cambria Math"/>
                      <w:color w:val="1F4E9E"/>
                    </w:rPr>
                    <m:t xml:space="preserve">t</m:t>
                  </m:r>
                </m:e>
              </m:d>
              <m:r>
                <m:rPr>
                  <m:nor/>
                </m:rPr>
                <w:rPr>
                  <w:rFonts w:ascii="Cambria Math" w:hAnsi="Cambria Math"/>
                  <w:color w:val="1F4E9E"/>
                </w:rPr>
                <m:t xml:space="preserve">=</m:t>
              </m:r>
              <m:r>
                <m:rPr>
                  <m:nor/>
                </m:rPr>
                <w:rPr>
                  <w:rFonts w:ascii="Cambria Math" w:hAnsi="Cambria Math"/>
                  <w:color w:val="1F4E9E"/>
                </w:rPr>
                <m:t xml:space="preserve">-</m:t>
              </m:r>
              <m:r>
                <w:rPr>
                  <w:rFonts w:ascii="Cambria Math" w:hAnsi="Cambria Math"/>
                  <w:color w:val="1F4E9E"/>
                </w:rPr>
                <m:t xml:space="preserve">κ</m:t>
              </m:r>
              <m:r>
                <w:rPr>
                  <w:rFonts w:ascii="Cambria Math" w:hAnsi="Cambria Math"/>
                  <w:color w:val="1F4E9E"/>
                </w:rPr>
                <m:t xml:space="preserve">ε</m:t>
              </m:r>
              <m:d>
                <m:dPr>
                  <m:begChr m:val="("/>
                  <m:endChr m:val=")"/>
                  <m:ctrlPr/>
                </m:dPr>
                <m:e>
                  <m:r>
                    <w:rPr>
                      <w:rFonts w:ascii="Cambria Math" w:hAnsi="Cambria Math"/>
                      <w:color w:val="1F4E9E"/>
                    </w:rPr>
                    <m:t xml:space="preserve">t</m:t>
                  </m:r>
                </m:e>
              </m:d>
              <m:r>
                <m:rPr>
                  <m:nor/>
                </m:rPr>
                <w:rPr>
                  <w:rFonts w:ascii="Cambria Math" w:hAnsi="Cambria Math"/>
                  <w:color w:val="1F4E9E"/>
                </w:rPr>
                <m:t xml:space="preserve"> </m:t>
              </m:r>
              <m:r>
                <m:rPr>
                  <m:nor/>
                </m:rPr>
                <w:rPr>
                  <w:rFonts w:ascii="Cambria Math" w:hAnsi="Cambria Math"/>
                  <w:color w:val="1F4E9E"/>
                </w:rPr>
                <m:t xml:space="preserve">d</m:t>
              </m:r>
              <m:r>
                <w:rPr>
                  <w:rFonts w:ascii="Cambria Math" w:hAnsi="Cambria Math"/>
                  <w:color w:val="1F4E9E"/>
                </w:rPr>
                <m:t xml:space="preserve">t</m:t>
              </m:r>
              <m:r>
                <m:rPr>
                  <m:nor/>
                </m:rPr>
                <w:rPr>
                  <w:rFonts w:ascii="Cambria Math" w:hAnsi="Cambria Math"/>
                  <w:color w:val="1F4E9E"/>
                </w:rPr>
                <m:t xml:space="preserve">+</m:t>
              </m:r>
              <m:sSub>
                <m:sSubPr>
                  <m:ctrlPr/>
                </m:sSubPr>
                <m:e>
                  <m:r>
                    <w:rPr>
                      <w:rFonts w:ascii="Cambria Math" w:hAnsi="Cambria Math"/>
                      <w:color w:val="1F4E9E"/>
                    </w:rPr>
                    <m:t xml:space="preserve">σ</m:t>
                  </m:r>
                </m:e>
                <m:sub>
                  <m:r>
                    <w:rPr>
                      <w:rFonts w:ascii="Cambria Math" w:hAnsi="Cambria Math"/>
                      <w:color w:val="1F4E9E"/>
                    </w:rPr>
                    <m:t xml:space="preserve">ε</m:t>
                  </m:r>
                </m:sub>
              </m:sSub>
              <m:r>
                <m:rPr>
                  <m:nor/>
                </m:rPr>
                <w:rPr>
                  <w:rFonts w:ascii="Cambria Math" w:hAnsi="Cambria Math"/>
                  <w:color w:val="1F4E9E"/>
                </w:rPr>
                <m:t xml:space="preserve"> </m:t>
              </m:r>
              <m:r>
                <m:rPr>
                  <m:nor/>
                </m:rPr>
                <w:rPr>
                  <w:rFonts w:ascii="Cambria Math" w:hAnsi="Cambria Math"/>
                  <w:color w:val="1F4E9E"/>
                </w:rPr>
                <m:t xml:space="preserve">d</m:t>
              </m:r>
              <m:sSub>
                <m:sSubPr>
                  <m:ctrlPr/>
                </m:sSubPr>
                <m:e>
                  <m:r>
                    <w:rPr>
                      <w:rFonts w:ascii="Cambria Math" w:hAnsi="Cambria Math"/>
                      <w:color w:val="1F4E9E"/>
                    </w:rPr>
                    <m:t xml:space="preserve">W</m:t>
                  </m:r>
                </m:e>
                <m:sub>
                  <m:r>
                    <w:rPr>
                      <w:rFonts w:ascii="Cambria Math" w:hAnsi="Cambria Math"/>
                      <w:color w:val="1F4E9E"/>
                    </w:rPr>
                    <m:t xml:space="preserve">ε</m:t>
                  </m:r>
                </m:sub>
              </m:sSub>
              <m:d>
                <m:dPr>
                  <m:begChr m:val="("/>
                  <m:endChr m:val=")"/>
                  <m:ctrlPr/>
                </m:dPr>
                <m:e>
                  <m:r>
                    <w:rPr>
                      <w:rFonts w:ascii="Cambria Math" w:hAnsi="Cambria Math"/>
                      <w:color w:val="1F4E9E"/>
                    </w:rPr>
                    <m:t xml:space="preserve">t</m:t>
                  </m:r>
                </m:e>
              </m:d>
              <m:r>
                <m:rPr>
                  <m:nor/>
                </m:rPr>
                <w:rPr>
                  <w:rFonts w:ascii="Cambria Math" w:hAnsi="Cambria Math"/>
                  <w:color w:val="1F4E9E"/>
                </w:rPr>
                <m:t xml:space="preserve">,</m:t>
              </m:r>
              <m:r>
                <m:rPr>
                  <m:nor/>
                </m:rPr>
                <w:rPr>
                  <w:rFonts w:ascii="Cambria Math" w:hAnsi="Cambria Math"/>
                  <w:color w:val="1F4E9E"/>
                </w:rPr>
                <m:t xml:space="preserve"> </m:t>
              </m:r>
              <m:r>
                <m:rPr>
                  <m:nor/>
                </m:rPr>
                <w:rPr>
                  <w:rFonts w:ascii="Cambria Math" w:hAnsi="Cambria Math"/>
                  <w:color w:val="1F4E9E"/>
                </w:rPr>
                <m:t xml:space="preserve">d</m:t>
              </m:r>
              <m:r>
                <w:rPr>
                  <w:rFonts w:ascii="Cambria Math" w:hAnsi="Cambria Math"/>
                  <w:color w:val="1F4E9E"/>
                </w:rPr>
                <m:t xml:space="preserve">H</m:t>
              </m:r>
              <m:d>
                <m:dPr>
                  <m:begChr m:val="("/>
                  <m:endChr m:val=")"/>
                  <m:ctrlPr/>
                </m:dPr>
                <m:e>
                  <m:r>
                    <w:rPr>
                      <w:rFonts w:ascii="Cambria Math" w:hAnsi="Cambria Math"/>
                      <w:color w:val="1F4E9E"/>
                    </w:rPr>
                    <m:t xml:space="preserve">t</m:t>
                  </m:r>
                </m:e>
              </m:d>
              <m:r>
                <m:rPr>
                  <m:nor/>
                </m:rPr>
                <w:rPr>
                  <w:rFonts w:ascii="Cambria Math" w:hAnsi="Cambria Math"/>
                  <w:color w:val="1F4E9E"/>
                </w:rPr>
                <m:t xml:space="preserve">=</m:t>
              </m:r>
              <m:r>
                <w:rPr>
                  <w:rFonts w:ascii="Cambria Math" w:hAnsi="Cambria Math"/>
                  <w:color w:val="1F4E9E"/>
                </w:rPr>
                <m:t xml:space="preserve">λ</m:t>
              </m:r>
              <m:d>
                <m:dPr>
                  <m:begChr m:val="("/>
                  <m:endChr m:val=")"/>
                  <m:ctrlPr/>
                </m:dPr>
                <m:e>
                  <m:r>
                    <w:rPr>
                      <w:rFonts w:ascii="Cambria Math" w:hAnsi="Cambria Math"/>
                      <w:color w:val="1F4E9E"/>
                    </w:rPr>
                    <m:t xml:space="preserve">ε</m:t>
                  </m:r>
                  <m:d>
                    <m:dPr>
                      <m:begChr m:val="("/>
                      <m:endChr m:val=")"/>
                      <m:ctrlPr/>
                    </m:dPr>
                    <m:e>
                      <m:r>
                        <w:rPr>
                          <w:rFonts w:ascii="Cambria Math" w:hAnsi="Cambria Math"/>
                          <w:color w:val="1F4E9E"/>
                        </w:rPr>
                        <m:t xml:space="preserve">t</m:t>
                      </m:r>
                    </m:e>
                  </m:d>
                  <m:r>
                    <m:rPr>
                      <m:nor/>
                    </m:rPr>
                    <w:rPr>
                      <w:rFonts w:ascii="Cambria Math" w:hAnsi="Cambria Math"/>
                      <w:color w:val="1F4E9E"/>
                    </w:rPr>
                    <m:t xml:space="preserve">-</m:t>
                  </m:r>
                  <m:r>
                    <w:rPr>
                      <w:rFonts w:ascii="Cambria Math" w:hAnsi="Cambria Math"/>
                      <w:color w:val="1F4E9E"/>
                    </w:rPr>
                    <m:t xml:space="preserve">H</m:t>
                  </m:r>
                  <m:d>
                    <m:dPr>
                      <m:begChr m:val="("/>
                      <m:endChr m:val=")"/>
                      <m:ctrlPr/>
                    </m:dPr>
                    <m:e>
                      <m:r>
                        <w:rPr>
                          <w:rFonts w:ascii="Cambria Math" w:hAnsi="Cambria Math"/>
                          <w:color w:val="1F4E9E"/>
                        </w:rPr>
                        <m:t xml:space="preserve">t</m:t>
                      </m:r>
                    </m:e>
                  </m:d>
                </m:e>
              </m:d>
              <m:r>
                <m:rPr>
                  <m:nor/>
                </m:rPr>
                <w:rPr>
                  <w:rFonts w:ascii="Cambria Math" w:hAnsi="Cambria Math"/>
                  <w:color w:val="1F4E9E"/>
                </w:rPr>
                <m:t xml:space="preserve"> </m:t>
              </m:r>
              <m:r>
                <m:rPr>
                  <m:nor/>
                </m:rPr>
                <w:rPr>
                  <w:rFonts w:ascii="Cambria Math" w:hAnsi="Cambria Math"/>
                  <w:color w:val="1F4E9E"/>
                </w:rPr>
                <m:t xml:space="preserve">d</m:t>
              </m:r>
              <m:r>
                <w:rPr>
                  <w:rFonts w:ascii="Cambria Math" w:hAnsi="Cambria Math"/>
                  <w:color w:val="1F4E9E"/>
                </w:rPr>
                <m:t xml:space="preserve">t</m:t>
              </m:r>
              <m:r>
                <m:rPr>
                  <m:nor/>
                </m:rPr>
                <w:rPr>
                  <w:rFonts w:ascii="Cambria Math" w:hAnsi="Cambria Math"/>
                  <w:color w:val="1F4E9E"/>
                </w:rPr>
                <m:t xml:space="preserve">,</m:t>
              </m:r>
              <m:r>
                <m:rPr>
                  <m:nor/>
                </m:rPr>
                <w:rPr>
                  <w:rFonts w:ascii="Cambria Math" w:hAnsi="Cambria Math"/>
                  <w:color w:val="1F4E9E"/>
                </w:rPr>
                <m:t xml:space="preserve"> </m:t>
              </m:r>
              <m:r>
                <w:rPr>
                  <w:rFonts w:ascii="Cambria Math" w:hAnsi="Cambria Math"/>
                  <w:color w:val="1F4E9E"/>
                </w:rPr>
                <m:t xml:space="preserve">ε</m:t>
              </m:r>
              <m:d>
                <m:dPr>
                  <m:begChr m:val="("/>
                  <m:endChr m:val=")"/>
                  <m:ctrlPr/>
                </m:dPr>
                <m:e>
                  <m:sSub>
                    <m:sSubPr>
                      <m:ctrlPr/>
                    </m:sSubPr>
                    <m:e>
                      <m:r>
                        <w:rPr>
                          <w:rFonts w:ascii="Cambria Math" w:hAnsi="Cambria Math"/>
                          <w:color w:val="1F4E9E"/>
                        </w:rPr>
                        <m:t xml:space="preserve">τ</m:t>
                      </m:r>
                    </m:e>
                    <m:sub>
                      <m:r>
                        <m:rPr>
                          <m:nor/>
                        </m:rPr>
                        <w:rPr>
                          <w:rFonts w:ascii="Cambria Math" w:hAnsi="Cambria Math"/>
                          <w:color w:val="1F4E9E"/>
                        </w:rPr>
                        <m:t xml:space="preserve">0</m:t>
                      </m:r>
                    </m:sub>
                  </m:sSub>
                </m:e>
              </m:d>
              <m:r>
                <m:rPr>
                  <m:nor/>
                </m:rPr>
                <w:rPr>
                  <w:rFonts w:ascii="Cambria Math" w:hAnsi="Cambria Math"/>
                  <w:color w:val="1F4E9E"/>
                </w:rPr>
                <m:t xml:space="preserve">=</m:t>
              </m:r>
              <m:r>
                <w:rPr>
                  <w:rFonts w:ascii="Cambria Math" w:hAnsi="Cambria Math"/>
                  <w:color w:val="1F4E9E"/>
                </w:rPr>
                <m:t xml:space="preserve">H</m:t>
              </m:r>
              <m:d>
                <m:dPr>
                  <m:begChr m:val="("/>
                  <m:endChr m:val=")"/>
                  <m:ctrlPr/>
                </m:dPr>
                <m:e>
                  <m:sSub>
                    <m:sSubPr>
                      <m:ctrlPr/>
                    </m:sSubPr>
                    <m:e>
                      <m:r>
                        <w:rPr>
                          <w:rFonts w:ascii="Cambria Math" w:hAnsi="Cambria Math"/>
                          <w:color w:val="1F4E9E"/>
                        </w:rPr>
                        <m:t xml:space="preserve">τ</m:t>
                      </m:r>
                    </m:e>
                    <m:sub>
                      <m:r>
                        <m:rPr>
                          <m:nor/>
                        </m:rPr>
                        <w:rPr>
                          <w:rFonts w:ascii="Cambria Math" w:hAnsi="Cambria Math"/>
                          <w:color w:val="1F4E9E"/>
                        </w:rPr>
                        <m:t xml:space="preserve">0</m:t>
                      </m:r>
                    </m:sub>
                  </m:sSub>
                </m:e>
              </m:d>
              <m:r>
                <m:rPr>
                  <m:nor/>
                </m:rPr>
                <w:rPr>
                  <w:rFonts w:ascii="Cambria Math" w:hAnsi="Cambria Math"/>
                  <w:color w:val="1F4E9E"/>
                </w:rPr>
                <m:t xml:space="preserve">=</m:t>
              </m:r>
              <m:r>
                <m:rPr>
                  <m:nor/>
                </m:rPr>
                <w:rPr>
                  <w:rFonts w:ascii="Cambria Math" w:hAnsi="Cambria Math"/>
                  <w:color w:val="1F4E9E"/>
                </w:rPr>
                <m:t xml:space="preserve">0</m:t>
              </m:r>
              <m:r>
                <w:rPr>
                  <w:rFonts w:ascii="Cambria Math" w:hAnsi="Cambria Math"/>
                  <w:color w:val="1F4E9E"/>
                </w:rPr>
                <m:t xml:space="preserve">#</m:t>
              </m:r>
              <m:d>
                <m:dPr>
                  <m:begChr m:val="("/>
                  <m:endChr m:val=")"/>
                  <m:ctrlPr/>
                </m:dPr>
                <m:e>
                  <m:r>
                    <m:rPr>
                      <m:nor/>
                    </m:rPr>
                    <w:rPr>
                      <w:rFonts w:ascii="Cambria Math" w:hAnsi="Cambria Math"/>
                      <w:color w:val="1F4E9E"/>
                    </w:rPr>
                    <m:t xml:space="preserve">1</m:t>
                  </m:r>
                  <m:r>
                    <m:rPr>
                      <m:nor/>
                    </m:rPr>
                    <w:rPr>
                      <w:rFonts w:ascii="Cambria Math" w:hAnsi="Cambria Math"/>
                      <w:color w:val="1F4E9E"/>
                    </w:rPr>
                    <m:t xml:space="preserve">1</m:t>
                  </m:r>
                </m:e>
              </m:d>
            </m:e>
          </m:eqArr>
        </m:oMath>
      </m:oMathPara>
    </w:p>
    <w:p w14:paraId="73212C5D" w14:textId="77777777" w:rsidR="00205CBC" w:rsidRDefault="00000000">
      <w:r>
        <w:rPr>
          <w:color w:val="1F4E9E"/>
        </w:rPr>
        <w:t xml:space="preserve">with </w:t>
      </w:r>
      <m:oMath>
        <m:sSub>
          <m:sSubPr>
            <m:ctrlPr/>
          </m:sSubPr>
          <m:e>
            <m:r>
              <w:rPr>
                <w:rFonts w:ascii="Cambria Math" w:hAnsi="Cambria Math"/>
                <w:color w:val="1F4E9E"/>
              </w:rPr>
              <m:t xml:space="preserve">σ</m:t>
            </m:r>
          </m:e>
          <m:sub>
            <m:r>
              <w:rPr>
                <w:rFonts w:ascii="Cambria Math" w:hAnsi="Cambria Math"/>
                <w:color w:val="1F4E9E"/>
              </w:rPr>
              <m:t xml:space="preserve">ε</m:t>
            </m:r>
          </m:sub>
        </m:sSub>
        <m:r>
          <m:rPr>
            <m:nor/>
          </m:rPr>
          <w:rPr>
            <w:rFonts w:ascii="Cambria Math" w:hAnsi="Cambria Math"/>
            <w:color w:val="1F4E9E"/>
          </w:rPr>
          <m:t xml:space="preserve">=</m:t>
        </m:r>
        <m:sSub>
          <m:sSubPr>
            <m:ctrlPr/>
          </m:sSubPr>
          <m:e>
            <m:r>
              <m:rPr>
                <m:nor/>
              </m:rPr>
              <w:rPr>
                <w:rFonts w:ascii="Cambria Math" w:hAnsi="Cambria Math"/>
                <w:color w:val="1F4E9E"/>
              </w:rPr>
              <m:t xml:space="preserve">SD</m:t>
            </m:r>
          </m:e>
          <m:sub>
            <m:r>
              <w:rPr>
                <w:rFonts w:ascii="Cambria Math" w:hAnsi="Cambria Math"/>
                <w:color w:val="1F4E9E"/>
              </w:rPr>
              <m:t xml:space="preserve">ε</m:t>
            </m:r>
          </m:sub>
        </m:sSub>
        <m:rad>
          <m:radPr>
            <m:degHide m:val="1"/>
            <m:ctrlPr/>
          </m:radPr>
          <m:deg/>
          <m:e>
            <m:r>
              <m:rPr>
                <m:nor/>
              </m:rPr>
              <w:rPr>
                <w:rFonts w:ascii="Cambria Math" w:hAnsi="Cambria Math"/>
                <w:color w:val="1F4E9E"/>
              </w:rPr>
              <m:t xml:space="preserve">2</m:t>
            </m:r>
            <m:r>
              <w:rPr>
                <w:rFonts w:ascii="Cambria Math" w:hAnsi="Cambria Math"/>
                <w:color w:val="1F4E9E"/>
              </w:rPr>
              <m:t xml:space="preserve">κ</m:t>
            </m:r>
          </m:e>
        </m:rad>
      </m:oMath>
      <w:r>
        <w:rPr>
          <w:color w:val="1F4E9E"/>
        </w:rPr>
        <w:t xml:space="preserve">, so that the stationary standard deviation of </w:t>
      </w:r>
      <m:oMath>
        <m:r>
          <w:rPr>
            <w:rFonts w:ascii="Cambria Math" w:hAnsi="Cambria Math"/>
            <w:color w:val="1F4E9E"/>
          </w:rPr>
          <m:t xml:space="preserve">ε</m:t>
        </m:r>
      </m:oMath>
      <w:r>
        <w:rPr>
          <w:color w:val="1F4E9E"/>
        </w:rPr>
        <w:t xml:space="preserve"> is </w:t>
      </w:r>
      <m:oMath>
        <m:sSub>
          <m:sSubPr>
            <m:ctrlPr/>
          </m:sSubPr>
          <m:e>
            <m:r>
              <m:rPr>
                <m:nor/>
              </m:rPr>
              <w:rPr>
                <w:rFonts w:ascii="Cambria Math" w:hAnsi="Cambria Math"/>
                <w:color w:val="1F4E9E"/>
              </w:rPr>
              <m:t xml:space="preserve">SD</m:t>
            </m:r>
          </m:e>
          <m:sub>
            <m:r>
              <w:rPr>
                <w:rFonts w:ascii="Cambria Math" w:hAnsi="Cambria Math"/>
                <w:color w:val="1F4E9E"/>
              </w:rPr>
              <m:t xml:space="preserve">ε</m:t>
            </m:r>
          </m:sub>
        </m:sSub>
      </m:oMath>
      <w:r>
        <w:rPr>
          <w:color w:val="1F4E9E"/>
        </w:rPr>
        <w:t xml:space="preserve"> whatever the value of </w:t>
      </w:r>
      <m:oMath>
        <m:r>
          <w:rPr>
            <w:rFonts w:ascii="Cambria Math" w:hAnsi="Cambria Math"/>
            <w:color w:val="1F4E9E"/>
          </w:rPr>
          <m:t xml:space="preserve">κ</m:t>
        </m:r>
      </m:oMath>
      <w:r>
        <w:rPr>
          <w:color w:val="1F4E9E"/>
        </w:rPr>
        <w:t xml:space="preserve">, and the two are sampled independently in Table A1. Because </w:t>
      </w:r>
      <m:oMath>
        <m:r>
          <w:rPr>
            <w:rFonts w:ascii="Cambria Math" w:hAnsi="Cambria Math"/>
            <w:color w:val="1F4E9E"/>
          </w:rPr>
          <m:t xml:space="preserve">ε</m:t>
        </m:r>
      </m:oMath>
      <w:r>
        <w:rPr>
          <w:color w:val="1F4E9E"/>
        </w:rPr>
        <w:t xml:space="preserve"> is symmetric and independent of the sign of the response, </w:t>
      </w:r>
      <m:oMath>
        <m:sSub>
          <m:sSubPr>
            <m:ctrlPr/>
          </m:sSubPr>
          <m:e>
            <m:r>
              <w:rPr>
                <w:rFonts w:ascii="Cambria Math" w:hAnsi="Cambria Math"/>
                <w:color w:val="1F4E9E"/>
              </w:rPr>
              <m:t xml:space="preserve">s</m:t>
            </m:r>
          </m:e>
          <m:sub>
            <m:r>
              <m:rPr>
                <m:nor/>
              </m:rPr>
              <w:rPr>
                <w:rFonts w:ascii="Cambria Math" w:hAnsi="Cambria Math"/>
                <w:color w:val="1F4E9E"/>
              </w:rPr>
              <m:t xml:space="preserve">resp</m:t>
            </m:r>
          </m:sub>
        </m:sSub>
        <m:r>
          <w:rPr>
            <w:rFonts w:ascii="Cambria Math" w:hAnsi="Cambria Math"/>
            <w:color w:val="1F4E9E"/>
          </w:rPr>
          <m:t xml:space="preserve">H</m:t>
        </m:r>
      </m:oMath>
      <w:r>
        <w:rPr>
          <w:color w:val="1F4E9E"/>
        </w:rPr>
        <w:t xml:space="preserve"> has the same law as </w:t>
      </w:r>
      <m:oMath>
        <m:r>
          <w:rPr>
            <w:rFonts w:ascii="Cambria Math" w:hAnsi="Cambria Math"/>
            <w:color w:val="1F4E9E"/>
          </w:rPr>
          <m:t xml:space="preserve">H</m:t>
        </m:r>
      </m:oMath>
      <w:r>
        <w:rPr>
          <w:color w:val="1F4E9E"/>
        </w:rPr>
        <w:t xml:space="preserve">. Writing </w:t>
      </w:r>
      <m:oMath>
        <m:r>
          <w:rPr>
            <w:rFonts w:ascii="Cambria Math" w:hAnsi="Cambria Math"/>
            <w:color w:val="1F4E9E"/>
          </w:rPr>
          <m:t xml:space="preserve">δ</m:t>
        </m:r>
        <m:r>
          <m:rPr>
            <m:nor/>
          </m:rPr>
          <w:rPr>
            <w:rFonts w:ascii="Cambria Math" w:hAnsi="Cambria Math"/>
            <w:color w:val="1F4E9E"/>
          </w:rPr>
          <m:t xml:space="preserve">:</m:t>
        </m:r>
        <m:r>
          <m:rPr>
            <m:nor/>
          </m:rPr>
          <w:rPr>
            <w:rFonts w:ascii="Cambria Math" w:hAnsi="Cambria Math"/>
            <w:color w:val="1F4E9E"/>
          </w:rPr>
          <m:t xml:space="preserve">=</m:t>
        </m:r>
        <m:sSub>
          <m:sSubPr>
            <m:ctrlPr/>
          </m:sSubPr>
          <m:e>
            <m:r>
              <w:rPr>
                <w:rFonts w:ascii="Cambria Math" w:hAnsi="Cambria Math"/>
                <w:color w:val="1F4E9E"/>
              </w:rPr>
              <m:t xml:space="preserve">t</m:t>
            </m:r>
          </m:e>
          <m:sub>
            <m:r>
              <m:rPr>
                <m:nor/>
              </m:rPr>
              <w:rPr>
                <w:rFonts w:ascii="Cambria Math" w:hAnsi="Cambria Math"/>
                <w:color w:val="1F4E9E"/>
              </w:rPr>
              <m:t xml:space="preserve">RS</m:t>
            </m:r>
          </m:sub>
        </m:sSub>
        <m:r>
          <m:rPr>
            <m:nor/>
          </m:rPr>
          <w:rPr>
            <w:rFonts w:ascii="Cambria Math" w:hAnsi="Cambria Math"/>
            <w:color w:val="1F4E9E"/>
          </w:rPr>
          <m:t xml:space="preserve">-</m:t>
        </m:r>
        <m:sSub>
          <m:sSubPr>
            <m:ctrlPr/>
          </m:sSubPr>
          <m:e>
            <m:r>
              <w:rPr>
                <w:rFonts w:ascii="Cambria Math" w:hAnsi="Cambria Math"/>
                <w:color w:val="1F4E9E"/>
              </w:rPr>
              <m:t xml:space="preserve">t</m:t>
            </m:r>
          </m:e>
          <m:sub>
            <m:r>
              <m:rPr>
                <m:nor/>
              </m:rPr>
              <w:rPr>
                <w:rFonts w:ascii="Cambria Math" w:hAnsi="Cambria Math"/>
                <w:color w:val="1F4E9E"/>
              </w:rPr>
              <m:t xml:space="preserve">offset</m:t>
            </m:r>
          </m:sub>
        </m:sSub>
      </m:oMath>
      <w:r>
        <w:rPr>
          <w:color w:val="1F4E9E"/>
        </w:rPr>
        <w:t xml:space="preserve"> for the length of the preparation window and </w:t>
      </w:r>
      <m:oMath>
        <m:r>
          <w:rPr>
            <w:rFonts w:ascii="Cambria Math" w:hAnsi="Cambria Math"/>
            <w:color w:val="1F4E9E"/>
          </w:rPr>
          <m:t xml:space="preserve">d</m:t>
        </m:r>
        <m:d>
          <m:dPr>
            <m:begChr m:val="("/>
            <m:endChr m:val=")"/>
            <m:ctrlPr/>
          </m:dPr>
          <m:e>
            <m:r>
              <w:rPr>
                <w:rFonts w:ascii="Cambria Math" w:hAnsi="Cambria Math"/>
                <w:color w:val="1F4E9E"/>
              </w:rPr>
              <m:t xml:space="preserve">t</m:t>
            </m:r>
          </m:e>
        </m:d>
      </m:oMath>
      <w:r>
        <w:rPr>
          <w:color w:val="1F4E9E"/>
        </w:rPr>
        <w:t xml:space="preserve"> for the distance from the maintained level to the gate,</w:t>
      </w:r>
    </w:p>
    <w:p w14:paraId="73212C5D" w14:textId="77777777" w:rsidR="00205CBC" w:rsidRDefault="00000000">
      <m:oMathPara>
        <m:oMath>
          <m:eqArr>
            <m:eqArrPr>
              <m:maxDist m:val="1"/>
              <m:ctrlPr/>
            </m:eqArrPr>
            <m:e>
              <m:r>
                <w:rPr>
                  <w:rFonts w:ascii="Cambria Math" w:hAnsi="Cambria Math"/>
                  <w:color w:val="1F4E9E"/>
                </w:rPr>
                <m:t xml:space="preserve">d</m:t>
              </m:r>
              <m:d>
                <m:dPr>
                  <m:begChr m:val="("/>
                  <m:endChr m:val=")"/>
                  <m:ctrlPr/>
                </m:dPr>
                <m:e>
                  <m:r>
                    <w:rPr>
                      <w:rFonts w:ascii="Cambria Math" w:hAnsi="Cambria Math"/>
                      <w:color w:val="1F4E9E"/>
                    </w:rPr>
                    <m:t xml:space="preserve">t</m:t>
                  </m:r>
                </m:e>
              </m:d>
              <m:r>
                <m:rPr>
                  <m:nor/>
                </m:rPr>
                <w:rPr>
                  <w:rFonts w:ascii="Cambria Math" w:hAnsi="Cambria Math"/>
                  <w:color w:val="1F4E9E"/>
                </w:rPr>
                <m:t xml:space="preserve">=</m:t>
              </m:r>
              <m:r>
                <w:rPr>
                  <w:rFonts w:ascii="Cambria Math" w:hAnsi="Cambria Math"/>
                  <w:color w:val="1F4E9E"/>
                </w:rPr>
                <m:t xml:space="preserve">g</m:t>
              </m:r>
              <m:r>
                <m:rPr>
                  <m:nor/>
                </m:rPr>
                <w:rPr>
                  <w:rFonts w:ascii="Cambria Math" w:hAnsi="Cambria Math"/>
                  <w:color w:val="1F4E9E"/>
                </w:rPr>
                <m:t xml:space="preserve">-</m:t>
              </m:r>
              <m:d>
                <m:dPr>
                  <m:begChr m:val="|"/>
                  <m:endChr m:val="|"/>
                  <m:ctrlPr/>
                </m:dPr>
                <m:e>
                  <m:r>
                    <w:rPr>
                      <w:rFonts w:ascii="Cambria Math" w:hAnsi="Cambria Math"/>
                      <w:color w:val="1F4E9E"/>
                    </w:rPr>
                    <m:t xml:space="preserve">m</m:t>
                  </m:r>
                </m:e>
              </m:d>
              <m:r>
                <m:rPr>
                  <m:nor/>
                </m:rPr>
                <w:rPr>
                  <w:rFonts w:ascii="Cambria Math" w:hAnsi="Cambria Math"/>
                  <w:color w:val="1F4E9E"/>
                </w:rPr>
                <m:t xml:space="preserve">-</m:t>
              </m:r>
              <m:f>
                <m:fPr>
                  <m:ctrlPr/>
                </m:fPr>
                <m:num>
                  <m:r>
                    <w:rPr>
                      <w:rFonts w:ascii="Cambria Math" w:hAnsi="Cambria Math"/>
                      <w:color w:val="1F4E9E"/>
                    </w:rPr>
                    <m:t xml:space="preserve">β</m:t>
                  </m:r>
                </m:num>
                <m:den>
                  <m:r>
                    <w:rPr>
                      <w:rFonts w:ascii="Cambria Math" w:hAnsi="Cambria Math"/>
                      <w:color w:val="1F4E9E"/>
                    </w:rPr>
                    <m:t xml:space="preserve">δ</m:t>
                  </m:r>
                </m:den>
              </m:f>
              <m:sSup>
                <m:sSupPr>
                  <m:ctrlPr/>
                </m:sSupPr>
                <m:e>
                  <m:d>
                    <m:dPr>
                      <m:begChr m:val="("/>
                      <m:endChr m:val=")"/>
                      <m:ctrlPr/>
                    </m:dPr>
                    <m:e>
                      <m:r>
                        <w:rPr>
                          <w:rFonts w:ascii="Cambria Math" w:hAnsi="Cambria Math"/>
                          <w:color w:val="1F4E9E"/>
                        </w:rPr>
                        <m:t xml:space="preserve">t</m:t>
                      </m:r>
                      <m:r>
                        <m:rPr>
                          <m:nor/>
                        </m:rPr>
                        <w:rPr>
                          <w:rFonts w:ascii="Cambria Math" w:hAnsi="Cambria Math"/>
                          <w:color w:val="1F4E9E"/>
                        </w:rPr>
                        <m:t xml:space="preserve">-</m:t>
                      </m:r>
                      <m:sSub>
                        <m:sSubPr>
                          <m:ctrlPr/>
                        </m:sSubPr>
                        <m:e>
                          <m:r>
                            <w:rPr>
                              <w:rFonts w:ascii="Cambria Math" w:hAnsi="Cambria Math"/>
                              <w:color w:val="1F4E9E"/>
                            </w:rPr>
                            <m:t xml:space="preserve">t</m:t>
                          </m:r>
                        </m:e>
                        <m:sub>
                          <m:r>
                            <m:rPr>
                              <m:nor/>
                            </m:rPr>
                            <w:rPr>
                              <w:rFonts w:ascii="Cambria Math" w:hAnsi="Cambria Math"/>
                              <w:color w:val="1F4E9E"/>
                            </w:rPr>
                            <m:t xml:space="preserve">offset</m:t>
                          </m:r>
                        </m:sub>
                      </m:sSub>
                    </m:e>
                  </m:d>
                </m:e>
                <m:sup>
                  <m:r>
                    <m:rPr>
                      <m:nor/>
                    </m:rPr>
                    <w:rPr>
                      <w:rFonts w:ascii="Cambria Math" w:hAnsi="Cambria Math"/>
                      <w:color w:val="1F4E9E"/>
                    </w:rPr>
                    <m:t xml:space="preserve">+</m:t>
                  </m:r>
                </m:sup>
              </m:sSup>
              <m:r>
                <w:rPr>
                  <w:rFonts w:ascii="Cambria Math" w:hAnsi="Cambria Math"/>
                  <w:color w:val="1F4E9E"/>
                </w:rPr>
                <m:t xml:space="preserve">#</m:t>
              </m:r>
              <m:d>
                <m:dPr>
                  <m:begChr m:val="("/>
                  <m:endChr m:val=")"/>
                  <m:ctrlPr/>
                </m:dPr>
                <m:e>
                  <m:r>
                    <m:rPr>
                      <m:nor/>
                    </m:rPr>
                    <w:rPr>
                      <w:rFonts w:ascii="Cambria Math" w:hAnsi="Cambria Math"/>
                      <w:color w:val="1F4E9E"/>
                    </w:rPr>
                    <m:t xml:space="preserve">1</m:t>
                  </m:r>
                  <m:r>
                    <m:rPr>
                      <m:nor/>
                    </m:rPr>
                    <w:rPr>
                      <w:rFonts w:ascii="Cambria Math" w:hAnsi="Cambria Math"/>
                      <w:color w:val="1F4E9E"/>
                    </w:rPr>
                    <m:t xml:space="preserve">2</m:t>
                  </m:r>
                </m:e>
              </m:d>
            </m:e>
          </m:eqArr>
        </m:oMath>
      </m:oMathPara>
    </w:p>
    <w:p w14:paraId="73212C5D" w14:textId="77777777" w:rsidR="00205CBC" w:rsidRDefault="00000000">
      <w:r>
        <w:rPr>
          <w:color w:val="1F4E9E"/>
        </w:rPr>
        <w:t xml:space="preserve">(the second term present only under temporal preparation, so that </w:t>
      </w:r>
      <m:oMath>
        <m:r>
          <w:rPr>
            <w:rFonts w:ascii="Cambria Math" w:hAnsi="Cambria Math"/>
            <w:color w:val="1F4E9E"/>
          </w:rPr>
          <m:t xml:space="preserve">β</m:t>
        </m:r>
        <m:r>
          <m:rPr>
            <m:nor/>
          </m:rPr>
          <w:rPr>
            <w:rFonts w:ascii="Cambria Math" w:hAnsi="Cambria Math"/>
            <w:color w:val="1F4E9E"/>
          </w:rPr>
          <m:t xml:space="preserve">=</m:t>
        </m:r>
        <m:r>
          <m:rPr>
            <m:nor/>
          </m:rPr>
          <w:rPr>
            <w:rFonts w:ascii="Cambria Math" w:hAnsi="Cambria Math"/>
            <w:color w:val="1F4E9E"/>
          </w:rPr>
          <m:t xml:space="preserve">0</m:t>
        </m:r>
      </m:oMath>
      <w:r>
        <w:rPr>
          <w:color w:val="1F4E9E"/>
        </w:rPr>
        <w:t xml:space="preserve"> under Model 1), a partial activation on the selected channel begins exactly when </w:t>
      </w:r>
      <m:oMath>
        <m:sSub>
          <m:sSubPr>
            <m:ctrlPr/>
          </m:sSubPr>
          <m:e>
            <m:r>
              <w:rPr>
                <w:rFonts w:ascii="Cambria Math" w:hAnsi="Cambria Math"/>
                <w:color w:val="1F4E9E"/>
              </w:rPr>
              <m:t xml:space="preserve">s</m:t>
            </m:r>
          </m:e>
          <m:sub>
            <m:r>
              <m:rPr>
                <m:nor/>
              </m:rPr>
              <w:rPr>
                <w:rFonts w:ascii="Cambria Math" w:hAnsi="Cambria Math"/>
                <w:color w:val="1F4E9E"/>
              </w:rPr>
              <m:t xml:space="preserve">resp</m:t>
            </m:r>
          </m:sub>
        </m:sSub>
        <m:r>
          <w:rPr>
            <w:rFonts w:ascii="Cambria Math" w:hAnsi="Cambria Math"/>
            <w:color w:val="1F4E9E"/>
          </w:rPr>
          <m:t xml:space="preserve">H</m:t>
        </m:r>
      </m:oMath>
      <w:r>
        <w:rPr>
          <w:color w:val="1F4E9E"/>
        </w:rPr>
        <w:t xml:space="preserve"> crosses </w:t>
      </w:r>
      <m:oMath>
        <m:r>
          <w:rPr>
            <w:rFonts w:ascii="Cambria Math" w:hAnsi="Cambria Math"/>
            <w:color w:val="1F4E9E"/>
          </w:rPr>
          <m:t xml:space="preserve">d</m:t>
        </m:r>
        <m:d>
          <m:dPr>
            <m:begChr m:val="("/>
            <m:endChr m:val=")"/>
            <m:ctrlPr/>
          </m:dPr>
          <m:e>
            <m:r>
              <w:rPr>
                <w:rFonts w:ascii="Cambria Math" w:hAnsi="Cambria Math"/>
                <w:color w:val="1F4E9E"/>
              </w:rPr>
              <m:t xml:space="preserve">t</m:t>
            </m:r>
          </m:e>
        </m:d>
      </m:oMath>
      <w:r>
        <w:rPr>
          <w:color w:val="1F4E9E"/>
        </w:rPr>
        <w:t xml:space="preserve"> upward. The ramp therefore approaches the gate at the constant speed </w:t>
      </w:r>
      <m:oMath>
        <m:r>
          <w:rPr>
            <w:rFonts w:ascii="Cambria Math" w:hAnsi="Cambria Math"/>
            <w:color w:val="1F4E9E"/>
          </w:rPr>
          <m:t xml:space="preserve">β</m:t>
        </m:r>
        <m:r>
          <m:rPr>
            <m:nor/>
          </m:rPr>
          <w:rPr>
            <w:rFonts w:ascii="Cambria Math" w:hAnsi="Cambria Math"/>
            <w:color w:val="1F4E9E"/>
          </w:rPr>
          <m:t xml:space="preserve">/</m:t>
        </m:r>
        <m:r>
          <w:rPr>
            <w:rFonts w:ascii="Cambria Math" w:hAnsi="Cambria Math"/>
            <w:color w:val="1F4E9E"/>
          </w:rPr>
          <m:t xml:space="preserve">δ</m:t>
        </m:r>
      </m:oMath>
      <w:r>
        <w:rPr>
          <w:color w:val="1F4E9E"/>
        </w:rPr>
        <w:t xml:space="preserve">. The non-selected channel activates when </w:t>
      </w:r>
      <m:oMath>
        <m:sSub>
          <m:sSubPr>
            <m:ctrlPr/>
          </m:sSubPr>
          <m:e>
            <m:r>
              <w:rPr>
                <w:rFonts w:ascii="Cambria Math" w:hAnsi="Cambria Math"/>
                <w:color w:val="1F4E9E"/>
              </w:rPr>
              <m:t xml:space="preserve">s</m:t>
            </m:r>
          </m:e>
          <m:sub>
            <m:r>
              <m:rPr>
                <m:nor/>
              </m:rPr>
              <w:rPr>
                <w:rFonts w:ascii="Cambria Math" w:hAnsi="Cambria Math"/>
                <w:color w:val="1F4E9E"/>
              </w:rPr>
              <m:t xml:space="preserve">resp</m:t>
            </m:r>
          </m:sub>
        </m:sSub>
        <m:r>
          <w:rPr>
            <w:rFonts w:ascii="Cambria Math" w:hAnsi="Cambria Math"/>
            <w:color w:val="1F4E9E"/>
          </w:rPr>
          <m:t xml:space="preserve">H</m:t>
        </m:r>
      </m:oMath>
      <w:r>
        <w:rPr>
          <w:color w:val="1F4E9E"/>
        </w:rPr>
        <w:t xml:space="preserve"> falls below the corresponding distance on the far side, which is several fluctuation standard deviations further away over the whole admissible space; the model predicts that channel to be silent, as it is observed to be, and it is not considered further.</w:t>
      </w:r>
    </w:p>
    <w:p w14:paraId="444637F4" w14:textId="77777777" w:rsidR="0099074B" w:rsidRPr="0099074B" w:rsidRDefault="0099074B" w:rsidP="0099074B">
      <w:pPr>
        <w:spacing w:before="100" w:beforeAutospacing="1" w:after="100" w:afterAutospacing="1" w:line="240" w:lineRule="auto"/>
        <w:rPr>
          <w:rFonts w:eastAsia="Times New Roman"/>
          <w:color w:val="1F4E9E"/>
          <w:lang w:eastAsia="fr-FR"/>
        </w:rPr>
      </w:pPr>
      <w:r w:rsidRPr="0099074B">
        <w:rPr>
          <w:rFonts w:eastAsia="Times New Roman"/>
          <w:b/>
          <w:bCs/>
          <w:color w:val="1F4E9E"/>
          <w:lang w:eastAsia="fr-FR"/>
        </w:rPr>
        <w:t xml:space="preserve">Table A1. </w:t>
      </w:r>
      <w:r w:rsidRPr="0099074B">
        <w:rPr>
          <w:rFonts w:eastAsia="Times New Roman"/>
          <w:bCs/>
          <w:color w:val="FF0000"/>
          <w:lang w:eastAsia="fr-FR"/>
        </w:rPr>
        <w:t>Variables and parameters of the extended evidence-accumulation model for delayed reports.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3"/>
        <w:gridCol w:w="4394"/>
        <w:gridCol w:w="3685"/>
      </w:tblGrid>
      <w:tr w:rsidR="0099074B" w:rsidRPr="0099074B" w14:paraId="3B224C97" w14:textId="77777777" w:rsidTr="009D11F7">
        <w:tc>
          <w:tcPr>
            <w:tcW w:w="993" w:type="dxa"/>
            <w:tcBorders>
              <w:top w:val="single" w:sz="4" w:space="0" w:color="auto"/>
              <w:left w:val="nil"/>
              <w:bottom w:val="single" w:sz="4" w:space="0" w:color="auto"/>
              <w:right w:val="nil"/>
            </w:tcBorders>
            <w:vAlign w:val="center"/>
            <w:hideMark/>
          </w:tcPr>
          <w:p w14:paraId="54DD6A80" w14:textId="77777777" w:rsidR="0099074B" w:rsidRPr="0099074B" w:rsidRDefault="0099074B" w:rsidP="0099074B">
            <w:pPr>
              <w:spacing w:line="259" w:lineRule="auto"/>
              <w:rPr>
                <w:b/>
                <w:bCs/>
                <w:color w:val="1F4E9E"/>
                <w:sz w:val="22"/>
                <w:szCs w:val="22"/>
                <w:lang w:val="fr-FR"/>
              </w:rPr>
            </w:pPr>
            <w:r w:rsidRPr="0099074B">
              <w:rPr>
                <w:bCs/>
                <w:color w:val="FF0000"/>
                <w:sz w:val="22"/>
                <w:szCs w:val="22"/>
                <w:lang w:val="fr-FR"/>
              </w:rPr>
              <w:t>Symbol</w:t>
            </w:r>
          </w:p>
        </w:tc>
        <w:tc>
          <w:tcPr>
            <w:tcW w:w="4394" w:type="dxa"/>
            <w:tcBorders>
              <w:top w:val="single" w:sz="4" w:space="0" w:color="auto"/>
              <w:left w:val="nil"/>
              <w:bottom w:val="single" w:sz="4" w:space="0" w:color="auto"/>
              <w:right w:val="nil"/>
            </w:tcBorders>
            <w:vAlign w:val="center"/>
            <w:hideMark/>
          </w:tcPr>
          <w:p w14:paraId="4D4B88B1" w14:textId="77777777" w:rsidR="0099074B" w:rsidRPr="0099074B" w:rsidRDefault="0099074B" w:rsidP="0099074B">
            <w:pPr>
              <w:spacing w:line="259" w:lineRule="auto"/>
              <w:jc w:val="center"/>
              <w:rPr>
                <w:b/>
                <w:bCs/>
                <w:color w:val="1F4E9E"/>
                <w:sz w:val="22"/>
                <w:szCs w:val="22"/>
                <w:lang w:val="fr-FR"/>
              </w:rPr>
            </w:pPr>
            <w:r w:rsidRPr="0099074B">
              <w:rPr>
                <w:bCs/>
                <w:color w:val="FF0000"/>
                <w:sz w:val="22"/>
                <w:szCs w:val="22"/>
                <w:lang w:val="fr-FR"/>
              </w:rPr>
              <w:t>Description</w:t>
            </w:r>
          </w:p>
        </w:tc>
        <w:tc>
          <w:tcPr>
            <w:tcW w:w="3685" w:type="dxa"/>
            <w:tcBorders>
              <w:top w:val="single" w:sz="4" w:space="0" w:color="auto"/>
              <w:left w:val="nil"/>
              <w:bottom w:val="single" w:sz="4" w:space="0" w:color="auto"/>
              <w:right w:val="nil"/>
            </w:tcBorders>
            <w:vAlign w:val="center"/>
            <w:hideMark/>
          </w:tcPr>
          <w:p w14:paraId="65C7C01F" w14:textId="77777777" w:rsidR="0099074B" w:rsidRPr="0099074B" w:rsidRDefault="0099074B" w:rsidP="0099074B">
            <w:pPr>
              <w:spacing w:line="259" w:lineRule="auto"/>
              <w:jc w:val="center"/>
              <w:rPr>
                <w:b/>
                <w:bCs/>
                <w:color w:val="1F4E9E"/>
                <w:sz w:val="22"/>
                <w:szCs w:val="22"/>
              </w:rPr>
            </w:pPr>
            <w:r w:rsidRPr="0099074B">
              <w:rPr>
                <w:bCs/>
                <w:color w:val="FF0000"/>
                <w:sz w:val="22"/>
                <w:szCs w:val="22"/>
              </w:rPr>
              <w:t>Value or range used in simulations (if applicable)</w:t>
            </w:r>
          </w:p>
        </w:tc>
      </w:tr>
      <w:tr w:rsidR="0099074B" w:rsidRPr="0099074B" w14:paraId="3804B758" w14:textId="77777777" w:rsidTr="009D11F7">
        <w:tc>
          <w:tcPr>
            <w:tcW w:w="993" w:type="dxa"/>
            <w:tcBorders>
              <w:top w:val="single" w:sz="4" w:space="0" w:color="auto"/>
              <w:left w:val="nil"/>
              <w:bottom w:val="nil"/>
              <w:right w:val="nil"/>
            </w:tcBorders>
            <w:vAlign w:val="center"/>
            <w:hideMark/>
          </w:tcPr>
          <w:p w14:paraId="2DE102D7"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t</w:t>
            </w:r>
          </w:p>
        </w:tc>
        <w:tc>
          <w:tcPr>
            <w:tcW w:w="4394" w:type="dxa"/>
            <w:tcBorders>
              <w:top w:val="single" w:sz="4" w:space="0" w:color="auto"/>
              <w:left w:val="nil"/>
              <w:bottom w:val="nil"/>
              <w:right w:val="nil"/>
            </w:tcBorders>
            <w:vAlign w:val="center"/>
            <w:hideMark/>
          </w:tcPr>
          <w:p w14:paraId="2C36BE9C" w14:textId="77777777" w:rsidR="0099074B" w:rsidRPr="0099074B" w:rsidRDefault="0099074B" w:rsidP="0099074B">
            <w:pPr>
              <w:spacing w:line="259" w:lineRule="auto"/>
              <w:jc w:val="center"/>
              <w:rPr>
                <w:color w:val="1F4E9E"/>
                <w:sz w:val="22"/>
                <w:szCs w:val="22"/>
              </w:rPr>
            </w:pPr>
            <w:r w:rsidRPr="0099074B">
              <w:rPr>
                <w:color w:val="FF0000"/>
                <w:sz w:val="22"/>
                <w:szCs w:val="22"/>
              </w:rPr>
              <w:t>Time measured from motion-stimulus onset</w:t>
            </w:r>
          </w:p>
        </w:tc>
        <w:tc>
          <w:tcPr>
            <w:tcW w:w="3685" w:type="dxa"/>
            <w:tcBorders>
              <w:top w:val="single" w:sz="4" w:space="0" w:color="auto"/>
              <w:left w:val="nil"/>
              <w:bottom w:val="nil"/>
              <w:right w:val="nil"/>
            </w:tcBorders>
            <w:vAlign w:val="center"/>
            <w:hideMark/>
          </w:tcPr>
          <w:p w14:paraId="4B3B2B9B"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w:t>
            </w:r>
          </w:p>
        </w:tc>
      </w:tr>
      <w:tr w:rsidR="0099074B" w:rsidRPr="0099074B" w14:paraId="3B2DF763" w14:textId="77777777" w:rsidTr="009D11F7">
        <w:tc>
          <w:tcPr>
            <w:tcW w:w="993" w:type="dxa"/>
            <w:tcBorders>
              <w:top w:val="nil"/>
              <w:left w:val="nil"/>
              <w:bottom w:val="nil"/>
              <w:right w:val="nil"/>
            </w:tcBorders>
            <w:vAlign w:val="center"/>
            <w:hideMark/>
          </w:tcPr>
          <w:p w14:paraId="27FA833C"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x(t)</w:t>
            </w:r>
          </w:p>
        </w:tc>
        <w:tc>
          <w:tcPr>
            <w:tcW w:w="4394" w:type="dxa"/>
            <w:tcBorders>
              <w:top w:val="nil"/>
              <w:left w:val="nil"/>
              <w:bottom w:val="nil"/>
              <w:right w:val="nil"/>
            </w:tcBorders>
            <w:vAlign w:val="center"/>
            <w:hideMark/>
          </w:tcPr>
          <w:p w14:paraId="50896D96" w14:textId="77777777" w:rsidR="0099074B" w:rsidRPr="0099074B" w:rsidRDefault="0099074B" w:rsidP="0099074B">
            <w:pPr>
              <w:spacing w:line="259" w:lineRule="auto"/>
              <w:jc w:val="center"/>
              <w:rPr>
                <w:color w:val="1F4E9E"/>
                <w:sz w:val="22"/>
                <w:szCs w:val="22"/>
                <w:lang w:val="fr-FR"/>
              </w:rPr>
            </w:pPr>
            <w:proofErr w:type="spellStart"/>
            <w:r w:rsidRPr="0099074B">
              <w:rPr>
                <w:color w:val="FF0000"/>
                <w:sz w:val="22"/>
                <w:szCs w:val="22"/>
                <w:lang w:val="fr-FR"/>
              </w:rPr>
              <w:t>Accumulated</w:t>
            </w:r>
            <w:proofErr w:type="spellEnd"/>
            <w:r w:rsidRPr="0099074B">
              <w:rPr>
                <w:color w:val="FF0000"/>
                <w:sz w:val="22"/>
                <w:szCs w:val="22"/>
                <w:lang w:val="fr-FR"/>
              </w:rPr>
              <w:t xml:space="preserve"> motion </w:t>
            </w:r>
            <w:proofErr w:type="spellStart"/>
            <w:r w:rsidRPr="0099074B">
              <w:rPr>
                <w:color w:val="FF0000"/>
                <w:sz w:val="22"/>
                <w:szCs w:val="22"/>
                <w:lang w:val="fr-FR"/>
              </w:rPr>
              <w:t>evidence</w:t>
            </w:r>
            <w:proofErr w:type="spellEnd"/>
          </w:p>
        </w:tc>
        <w:tc>
          <w:tcPr>
            <w:tcW w:w="3685" w:type="dxa"/>
            <w:tcBorders>
              <w:top w:val="nil"/>
              <w:left w:val="nil"/>
              <w:bottom w:val="nil"/>
              <w:right w:val="nil"/>
            </w:tcBorders>
            <w:vAlign w:val="center"/>
            <w:hideMark/>
          </w:tcPr>
          <w:p w14:paraId="433DF6B3" w14:textId="77777777" w:rsidR="0099074B" w:rsidRPr="0099074B" w:rsidRDefault="0099074B" w:rsidP="0099074B">
            <w:pPr>
              <w:spacing w:line="259" w:lineRule="auto"/>
              <w:jc w:val="right"/>
              <w:rPr>
                <w:color w:val="1F4E9E"/>
                <w:sz w:val="22"/>
                <w:szCs w:val="22"/>
                <w:lang w:val="fr-FR"/>
              </w:rPr>
            </w:pPr>
            <w:proofErr w:type="spellStart"/>
            <w:r w:rsidRPr="0099074B">
              <w:rPr>
                <w:color w:val="FF0000"/>
                <w:sz w:val="22"/>
                <w:szCs w:val="22"/>
                <w:lang w:val="fr-FR"/>
              </w:rPr>
              <w:t>See</w:t>
            </w:r>
            <w:proofErr w:type="spellEnd"/>
            <w:r w:rsidRPr="0099074B">
              <w:rPr>
                <w:color w:val="FF0000"/>
                <w:sz w:val="22"/>
                <w:szCs w:val="22"/>
                <w:lang w:val="fr-FR"/>
              </w:rPr>
              <w:t xml:space="preserve"> Eq. (1)</w:t>
            </w:r>
          </w:p>
        </w:tc>
      </w:tr>
      <w:tr w:rsidR="0099074B" w:rsidRPr="0099074B" w14:paraId="56B2A3DF" w14:textId="77777777" w:rsidTr="009D11F7">
        <w:tc>
          <w:tcPr>
            <w:tcW w:w="993" w:type="dxa"/>
            <w:tcBorders>
              <w:top w:val="nil"/>
              <w:left w:val="nil"/>
              <w:bottom w:val="nil"/>
              <w:right w:val="nil"/>
            </w:tcBorders>
            <w:vAlign w:val="center"/>
            <w:hideMark/>
          </w:tcPr>
          <w:p w14:paraId="6D7859F1"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L</w:t>
            </w:r>
            <w:r w:rsidRPr="0099074B">
              <w:rPr>
                <w:color w:val="FF0000"/>
                <w:sz w:val="22"/>
                <w:szCs w:val="22"/>
                <w:lang w:val="fr-FR"/>
              </w:rPr>
              <w:t>ₘₒₜᵢₒₙ</w:t>
            </w:r>
          </w:p>
        </w:tc>
        <w:tc>
          <w:tcPr>
            <w:tcW w:w="4394" w:type="dxa"/>
            <w:tcBorders>
              <w:top w:val="nil"/>
              <w:left w:val="nil"/>
              <w:bottom w:val="nil"/>
              <w:right w:val="nil"/>
            </w:tcBorders>
            <w:vAlign w:val="center"/>
            <w:hideMark/>
          </w:tcPr>
          <w:p w14:paraId="3D1F6F9B"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Motion-</w:t>
            </w:r>
            <w:proofErr w:type="spellStart"/>
            <w:r w:rsidRPr="0099074B">
              <w:rPr>
                <w:color w:val="FF0000"/>
                <w:sz w:val="22"/>
                <w:szCs w:val="22"/>
                <w:lang w:val="fr-FR"/>
              </w:rPr>
              <w:t>evidence</w:t>
            </w:r>
            <w:proofErr w:type="spellEnd"/>
            <w:r w:rsidRPr="0099074B">
              <w:rPr>
                <w:color w:val="FF0000"/>
                <w:sz w:val="22"/>
                <w:szCs w:val="22"/>
                <w:lang w:val="fr-FR"/>
              </w:rPr>
              <w:t xml:space="preserve"> </w:t>
            </w:r>
            <w:proofErr w:type="spellStart"/>
            <w:r w:rsidRPr="0099074B">
              <w:rPr>
                <w:color w:val="FF0000"/>
                <w:sz w:val="22"/>
                <w:szCs w:val="22"/>
                <w:lang w:val="fr-FR"/>
              </w:rPr>
              <w:t>encoding</w:t>
            </w:r>
            <w:proofErr w:type="spellEnd"/>
            <w:r w:rsidRPr="0099074B">
              <w:rPr>
                <w:color w:val="FF0000"/>
                <w:sz w:val="22"/>
                <w:szCs w:val="22"/>
                <w:lang w:val="fr-FR"/>
              </w:rPr>
              <w:t xml:space="preserve"> </w:t>
            </w:r>
            <w:proofErr w:type="spellStart"/>
            <w:r w:rsidRPr="0099074B">
              <w:rPr>
                <w:color w:val="FF0000"/>
                <w:sz w:val="22"/>
                <w:szCs w:val="22"/>
                <w:lang w:val="fr-FR"/>
              </w:rPr>
              <w:t>latency</w:t>
            </w:r>
            <w:proofErr w:type="spellEnd"/>
          </w:p>
        </w:tc>
        <w:tc>
          <w:tcPr>
            <w:tcW w:w="3685" w:type="dxa"/>
            <w:tcBorders>
              <w:top w:val="nil"/>
              <w:left w:val="nil"/>
              <w:bottom w:val="nil"/>
              <w:right w:val="nil"/>
            </w:tcBorders>
            <w:vAlign w:val="center"/>
            <w:hideMark/>
          </w:tcPr>
          <w:p w14:paraId="7A096D4A"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0.200 s</w:t>
            </w:r>
          </w:p>
        </w:tc>
      </w:tr>
      <w:tr w:rsidR="0099074B" w:rsidRPr="0099074B" w14:paraId="3265C997" w14:textId="77777777" w:rsidTr="009D11F7">
        <w:tc>
          <w:tcPr>
            <w:tcW w:w="993" w:type="dxa"/>
            <w:tcBorders>
              <w:top w:val="nil"/>
              <w:left w:val="nil"/>
              <w:bottom w:val="nil"/>
              <w:right w:val="nil"/>
            </w:tcBorders>
            <w:vAlign w:val="center"/>
            <w:hideMark/>
          </w:tcPr>
          <w:p w14:paraId="1E4582BF"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s</w:t>
            </w:r>
          </w:p>
        </w:tc>
        <w:tc>
          <w:tcPr>
            <w:tcW w:w="4394" w:type="dxa"/>
            <w:tcBorders>
              <w:top w:val="nil"/>
              <w:left w:val="nil"/>
              <w:bottom w:val="nil"/>
              <w:right w:val="nil"/>
            </w:tcBorders>
            <w:vAlign w:val="center"/>
            <w:hideMark/>
          </w:tcPr>
          <w:p w14:paraId="6BB59FF8"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Motion direction</w:t>
            </w:r>
          </w:p>
        </w:tc>
        <w:tc>
          <w:tcPr>
            <w:tcW w:w="3685" w:type="dxa"/>
            <w:tcBorders>
              <w:top w:val="nil"/>
              <w:left w:val="nil"/>
              <w:bottom w:val="nil"/>
              <w:right w:val="nil"/>
            </w:tcBorders>
            <w:vAlign w:val="center"/>
            <w:hideMark/>
          </w:tcPr>
          <w:p w14:paraId="31C6CAFB"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−1 or +1</w:t>
            </w:r>
          </w:p>
        </w:tc>
      </w:tr>
      <w:tr w:rsidR="0099074B" w:rsidRPr="0099074B" w14:paraId="1E1E9896" w14:textId="77777777" w:rsidTr="009D11F7">
        <w:tc>
          <w:tcPr>
            <w:tcW w:w="993" w:type="dxa"/>
            <w:tcBorders>
              <w:top w:val="nil"/>
              <w:left w:val="nil"/>
              <w:bottom w:val="nil"/>
              <w:right w:val="nil"/>
            </w:tcBorders>
            <w:vAlign w:val="center"/>
            <w:hideMark/>
          </w:tcPr>
          <w:p w14:paraId="05F3677F"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c</w:t>
            </w:r>
          </w:p>
        </w:tc>
        <w:tc>
          <w:tcPr>
            <w:tcW w:w="4394" w:type="dxa"/>
            <w:tcBorders>
              <w:top w:val="nil"/>
              <w:left w:val="nil"/>
              <w:bottom w:val="nil"/>
              <w:right w:val="nil"/>
            </w:tcBorders>
            <w:vAlign w:val="center"/>
            <w:hideMark/>
          </w:tcPr>
          <w:p w14:paraId="65D62B1B"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 xml:space="preserve">Motion </w:t>
            </w:r>
            <w:proofErr w:type="spellStart"/>
            <w:r w:rsidRPr="0099074B">
              <w:rPr>
                <w:color w:val="FF0000"/>
                <w:sz w:val="22"/>
                <w:szCs w:val="22"/>
                <w:lang w:val="fr-FR"/>
              </w:rPr>
              <w:t>coherence</w:t>
            </w:r>
            <w:proofErr w:type="spellEnd"/>
          </w:p>
        </w:tc>
        <w:tc>
          <w:tcPr>
            <w:tcW w:w="3685" w:type="dxa"/>
            <w:tcBorders>
              <w:top w:val="nil"/>
              <w:left w:val="nil"/>
              <w:bottom w:val="nil"/>
              <w:right w:val="nil"/>
            </w:tcBorders>
            <w:vAlign w:val="center"/>
            <w:hideMark/>
          </w:tcPr>
          <w:p w14:paraId="64409EF2"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 0.12, or 0.50</w:t>
            </w:r>
          </w:p>
        </w:tc>
      </w:tr>
      <w:tr w:rsidR="0099074B" w:rsidRPr="0099074B" w14:paraId="218A66D9" w14:textId="77777777" w:rsidTr="009D11F7">
        <w:tc>
          <w:tcPr>
            <w:tcW w:w="993" w:type="dxa"/>
            <w:tcBorders>
              <w:top w:val="nil"/>
              <w:left w:val="nil"/>
              <w:bottom w:val="nil"/>
              <w:right w:val="nil"/>
            </w:tcBorders>
            <w:vAlign w:val="center"/>
            <w:hideMark/>
          </w:tcPr>
          <w:p w14:paraId="16D070D6"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k</w:t>
            </w:r>
          </w:p>
        </w:tc>
        <w:tc>
          <w:tcPr>
            <w:tcW w:w="4394" w:type="dxa"/>
            <w:tcBorders>
              <w:top w:val="nil"/>
              <w:left w:val="nil"/>
              <w:bottom w:val="nil"/>
              <w:right w:val="nil"/>
            </w:tcBorders>
            <w:vAlign w:val="center"/>
            <w:hideMark/>
          </w:tcPr>
          <w:p w14:paraId="55857A03" w14:textId="77777777" w:rsidR="0099074B" w:rsidRPr="0099074B" w:rsidRDefault="0099074B" w:rsidP="0099074B">
            <w:pPr>
              <w:spacing w:line="259" w:lineRule="auto"/>
              <w:jc w:val="center"/>
              <w:rPr>
                <w:color w:val="1F4E9E"/>
                <w:sz w:val="22"/>
                <w:szCs w:val="22"/>
              </w:rPr>
            </w:pPr>
            <w:r w:rsidRPr="0099074B">
              <w:rPr>
                <w:color w:val="FF0000"/>
                <w:sz w:val="22"/>
                <w:szCs w:val="22"/>
              </w:rPr>
              <w:t>Scaling of motion coherence into the mean rate of motion-evidence accumulation</w:t>
            </w:r>
          </w:p>
        </w:tc>
        <w:tc>
          <w:tcPr>
            <w:tcW w:w="3685" w:type="dxa"/>
            <w:tcBorders>
              <w:top w:val="nil"/>
              <w:left w:val="nil"/>
              <w:bottom w:val="nil"/>
              <w:right w:val="nil"/>
            </w:tcBorders>
            <w:vAlign w:val="center"/>
            <w:hideMark/>
          </w:tcPr>
          <w:p w14:paraId="7CA6AEBC" w14:textId="77777777" w:rsidR="0099074B" w:rsidRPr="0099074B" w:rsidRDefault="0099074B" w:rsidP="0099074B">
            <w:pPr>
              <w:spacing w:line="259" w:lineRule="auto"/>
              <w:jc w:val="right"/>
              <w:rPr>
                <w:color w:val="1F4E9E"/>
                <w:sz w:val="22"/>
                <w:szCs w:val="22"/>
              </w:rPr>
            </w:pPr>
            <w:r w:rsidRPr="0099074B">
              <w:rPr>
                <w:color w:val="1F4E9E"/>
                <w:sz w:val="22"/>
                <w:szCs w:val="22"/>
              </w:rPr>
              <w:t>0.5–2.0 (log-uniform); Dendauw et al. (2024) estimate 1.183</w:t>
            </w:r>
            <w:proofErr w:type="spellStart"/>
            <w:proofErr w:type="spellEnd"/>
          </w:p>
        </w:tc>
      </w:tr>
      <w:tr w:rsidR="0099074B" w:rsidRPr="0099074B" w14:paraId="43AD54CD" w14:textId="77777777" w:rsidTr="009D11F7">
        <w:tc>
          <w:tcPr>
            <w:tcW w:w="993" w:type="dxa"/>
            <w:tcBorders>
              <w:top w:val="nil"/>
              <w:left w:val="nil"/>
              <w:bottom w:val="nil"/>
              <w:right w:val="nil"/>
            </w:tcBorders>
            <w:vAlign w:val="center"/>
            <w:hideMark/>
          </w:tcPr>
          <w:p w14:paraId="559852BF"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σ</w:t>
            </w:r>
            <w:r w:rsidRPr="0099074B">
              <w:rPr>
                <w:color w:val="FF0000"/>
                <w:sz w:val="22"/>
                <w:szCs w:val="22"/>
                <w:lang w:val="fr-FR"/>
              </w:rPr>
              <w:t>ₓ</w:t>
            </w:r>
          </w:p>
        </w:tc>
        <w:tc>
          <w:tcPr>
            <w:tcW w:w="4394" w:type="dxa"/>
            <w:tcBorders>
              <w:top w:val="nil"/>
              <w:left w:val="nil"/>
              <w:bottom w:val="nil"/>
              <w:right w:val="nil"/>
            </w:tcBorders>
            <w:vAlign w:val="center"/>
            <w:hideMark/>
          </w:tcPr>
          <w:p w14:paraId="4FAB40E7"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Diffusion coefficient of motion-</w:t>
            </w:r>
            <w:proofErr w:type="spellStart"/>
            <w:r w:rsidRPr="0099074B">
              <w:rPr>
                <w:color w:val="FF0000"/>
                <w:sz w:val="22"/>
                <w:szCs w:val="22"/>
                <w:lang w:val="fr-FR"/>
              </w:rPr>
              <w:t>evidence</w:t>
            </w:r>
            <w:proofErr w:type="spellEnd"/>
            <w:r w:rsidRPr="0099074B">
              <w:rPr>
                <w:color w:val="FF0000"/>
                <w:sz w:val="22"/>
                <w:szCs w:val="22"/>
                <w:lang w:val="fr-FR"/>
              </w:rPr>
              <w:t xml:space="preserve"> accumulation</w:t>
            </w:r>
          </w:p>
        </w:tc>
        <w:tc>
          <w:tcPr>
            <w:tcW w:w="3685" w:type="dxa"/>
            <w:tcBorders>
              <w:top w:val="nil"/>
              <w:left w:val="nil"/>
              <w:bottom w:val="nil"/>
              <w:right w:val="nil"/>
            </w:tcBorders>
            <w:vAlign w:val="center"/>
            <w:hideMark/>
          </w:tcPr>
          <w:p w14:paraId="77E5BDC0"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0.100</w:t>
            </w:r>
          </w:p>
        </w:tc>
      </w:tr>
      <w:tr w:rsidR="0099074B" w:rsidRPr="0099074B" w14:paraId="57CA741F" w14:textId="77777777" w:rsidTr="009D11F7">
        <w:tc>
          <w:tcPr>
            <w:tcW w:w="993" w:type="dxa"/>
            <w:tcBorders>
              <w:top w:val="nil"/>
              <w:left w:val="nil"/>
              <w:bottom w:val="nil"/>
              <w:right w:val="nil"/>
            </w:tcBorders>
            <w:vAlign w:val="center"/>
            <w:hideMark/>
          </w:tcPr>
          <w:p w14:paraId="6B9B2572"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y(t)</w:t>
            </w:r>
          </w:p>
        </w:tc>
        <w:tc>
          <w:tcPr>
            <w:tcW w:w="4394" w:type="dxa"/>
            <w:tcBorders>
              <w:top w:val="nil"/>
              <w:left w:val="nil"/>
              <w:bottom w:val="nil"/>
              <w:right w:val="nil"/>
            </w:tcBorders>
            <w:vAlign w:val="center"/>
            <w:hideMark/>
          </w:tcPr>
          <w:p w14:paraId="39F8729C" w14:textId="77777777" w:rsidR="0099074B" w:rsidRPr="0099074B" w:rsidRDefault="0099074B" w:rsidP="0099074B">
            <w:pPr>
              <w:spacing w:line="259" w:lineRule="auto"/>
              <w:jc w:val="center"/>
              <w:rPr>
                <w:color w:val="1F4E9E"/>
                <w:sz w:val="22"/>
                <w:szCs w:val="22"/>
                <w:lang w:val="fr-FR"/>
              </w:rPr>
            </w:pPr>
            <w:proofErr w:type="spellStart"/>
            <w:r w:rsidRPr="0099074B">
              <w:rPr>
                <w:color w:val="FF0000"/>
                <w:sz w:val="22"/>
                <w:szCs w:val="22"/>
                <w:lang w:val="fr-FR"/>
              </w:rPr>
              <w:t>Filtered</w:t>
            </w:r>
            <w:proofErr w:type="spellEnd"/>
            <w:r w:rsidRPr="0099074B">
              <w:rPr>
                <w:color w:val="FF0000"/>
                <w:sz w:val="22"/>
                <w:szCs w:val="22"/>
                <w:lang w:val="fr-FR"/>
              </w:rPr>
              <w:t xml:space="preserve"> </w:t>
            </w:r>
            <w:proofErr w:type="spellStart"/>
            <w:r w:rsidRPr="0099074B">
              <w:rPr>
                <w:color w:val="FF0000"/>
                <w:sz w:val="22"/>
                <w:szCs w:val="22"/>
                <w:lang w:val="fr-FR"/>
              </w:rPr>
              <w:t>motor-preparatory</w:t>
            </w:r>
            <w:proofErr w:type="spellEnd"/>
            <w:r w:rsidRPr="0099074B">
              <w:rPr>
                <w:color w:val="FF0000"/>
                <w:sz w:val="22"/>
                <w:szCs w:val="22"/>
                <w:lang w:val="fr-FR"/>
              </w:rPr>
              <w:t xml:space="preserve"> state</w:t>
            </w:r>
          </w:p>
        </w:tc>
        <w:tc>
          <w:tcPr>
            <w:tcW w:w="3685" w:type="dxa"/>
            <w:tcBorders>
              <w:top w:val="nil"/>
              <w:left w:val="nil"/>
              <w:bottom w:val="nil"/>
              <w:right w:val="nil"/>
            </w:tcBorders>
            <w:vAlign w:val="center"/>
            <w:hideMark/>
          </w:tcPr>
          <w:p w14:paraId="0B51AF9B" w14:textId="77777777" w:rsidR="0099074B" w:rsidRPr="0099074B" w:rsidRDefault="00FF40B9" w:rsidP="0099074B">
            <w:pPr>
              <w:spacing w:line="259" w:lineRule="auto"/>
              <w:jc w:val="right"/>
              <w:rPr>
                <w:color w:val="1F4E9E"/>
                <w:sz w:val="22"/>
                <w:szCs w:val="22"/>
                <w:lang w:val="fr-FR"/>
              </w:rPr>
            </w:pPr>
            <w:proofErr w:type="spellStart"/>
            <w:r>
              <w:rPr>
                <w:color w:val="FF0000"/>
                <w:sz w:val="22"/>
                <w:szCs w:val="22"/>
                <w:lang w:val="fr-FR"/>
              </w:rPr>
              <w:t>See</w:t>
            </w:r>
            <w:proofErr w:type="spellEnd"/>
            <w:r>
              <w:rPr>
                <w:color w:val="FF0000"/>
                <w:sz w:val="22"/>
                <w:szCs w:val="22"/>
                <w:lang w:val="fr-FR"/>
              </w:rPr>
              <w:t xml:space="preserve"> </w:t>
            </w:r>
            <w:proofErr w:type="spellStart"/>
            <w:r>
              <w:rPr>
                <w:color w:val="FF0000"/>
                <w:sz w:val="22"/>
                <w:szCs w:val="22"/>
                <w:lang w:val="fr-FR"/>
              </w:rPr>
              <w:t>Eqs</w:t>
            </w:r>
            <w:proofErr w:type="spellEnd"/>
            <w:r>
              <w:rPr>
                <w:color w:val="FF0000"/>
                <w:sz w:val="22"/>
                <w:szCs w:val="22"/>
                <w:lang w:val="fr-FR"/>
              </w:rPr>
              <w:t>. (2), (6), and (9</w:t>
            </w:r>
            <w:r w:rsidR="0099074B" w:rsidRPr="0099074B">
              <w:rPr>
                <w:color w:val="FF0000"/>
                <w:sz w:val="22"/>
                <w:szCs w:val="22"/>
                <w:lang w:val="fr-FR"/>
              </w:rPr>
              <w:t>)</w:t>
            </w:r>
          </w:p>
        </w:tc>
      </w:tr>
      <w:tr w:rsidR="0099074B" w:rsidRPr="0099074B" w14:paraId="3BEA2483" w14:textId="77777777" w:rsidTr="009D11F7">
        <w:tc>
          <w:tcPr>
            <w:tcW w:w="993" w:type="dxa"/>
            <w:tcBorders>
              <w:top w:val="nil"/>
              <w:left w:val="nil"/>
              <w:bottom w:val="nil"/>
              <w:right w:val="nil"/>
            </w:tcBorders>
            <w:vAlign w:val="center"/>
            <w:hideMark/>
          </w:tcPr>
          <w:p w14:paraId="0CD5A68D"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λ</w:t>
            </w:r>
          </w:p>
        </w:tc>
        <w:tc>
          <w:tcPr>
            <w:tcW w:w="4394" w:type="dxa"/>
            <w:tcBorders>
              <w:top w:val="nil"/>
              <w:left w:val="nil"/>
              <w:bottom w:val="nil"/>
              <w:right w:val="nil"/>
            </w:tcBorders>
            <w:vAlign w:val="center"/>
            <w:hideMark/>
          </w:tcPr>
          <w:p w14:paraId="7B63282A" w14:textId="77777777" w:rsidR="0099074B" w:rsidRPr="0099074B" w:rsidRDefault="0099074B" w:rsidP="0099074B">
            <w:pPr>
              <w:spacing w:line="259" w:lineRule="auto"/>
              <w:jc w:val="center"/>
              <w:rPr>
                <w:color w:val="1F4E9E"/>
                <w:sz w:val="22"/>
                <w:szCs w:val="22"/>
              </w:rPr>
            </w:pPr>
            <w:r w:rsidRPr="0099074B">
              <w:rPr>
                <w:color w:val="FF0000"/>
                <w:sz w:val="22"/>
                <w:szCs w:val="22"/>
              </w:rPr>
              <w:t>Gain of the low-pass filter relating decision-related input to motor preparation</w:t>
            </w:r>
          </w:p>
        </w:tc>
        <w:tc>
          <w:tcPr>
            <w:tcW w:w="3685" w:type="dxa"/>
            <w:tcBorders>
              <w:top w:val="nil"/>
              <w:left w:val="nil"/>
              <w:bottom w:val="nil"/>
              <w:right w:val="nil"/>
            </w:tcBorders>
            <w:vAlign w:val="center"/>
            <w:hideMark/>
          </w:tcPr>
          <w:p w14:paraId="2608D543" w14:textId="77777777" w:rsidR="0099074B" w:rsidRPr="0099074B" w:rsidRDefault="0099074B" w:rsidP="0099074B">
            <w:pPr>
              <w:spacing w:line="259" w:lineRule="auto"/>
              <w:jc w:val="right"/>
              <w:rPr>
                <w:color w:val="1F4E9E"/>
                <w:sz w:val="22"/>
                <w:szCs w:val="22"/>
              </w:rPr>
            </w:pPr>
            <w:r w:rsidRPr="0099074B">
              <w:rPr>
                <w:color w:val="1F4E9E"/>
                <w:sz w:val="22"/>
                <w:szCs w:val="22"/>
              </w:rPr>
              <w:t>10–50 s⁻¹ (log-uniform); Dendauw et al. (2024) estimate 21.471</w:t>
            </w:r>
            <w:proofErr w:type="spellStart"/>
            <w:proofErr w:type="spellEnd"/>
          </w:p>
        </w:tc>
      </w:tr>
      <w:tr w:rsidR="0099074B" w:rsidRPr="0099074B" w14:paraId="0F3D7E60" w14:textId="77777777" w:rsidTr="009D11F7">
        <w:tc>
          <w:tcPr>
            <w:tcW w:w="993" w:type="dxa"/>
            <w:tcBorders>
              <w:top w:val="nil"/>
              <w:left w:val="nil"/>
              <w:bottom w:val="nil"/>
              <w:right w:val="nil"/>
            </w:tcBorders>
            <w:vAlign w:val="center"/>
            <w:hideMark/>
          </w:tcPr>
          <w:p w14:paraId="20877FC5" w14:textId="77777777" w:rsidR="0099074B" w:rsidRPr="0099074B" w:rsidRDefault="0099074B" w:rsidP="0099074B">
            <w:pPr>
              <w:spacing w:line="259" w:lineRule="auto"/>
              <w:rPr>
                <w:color w:val="1F4E9E"/>
                <w:sz w:val="22"/>
                <w:szCs w:val="22"/>
                <w:lang w:val="fr-FR"/>
              </w:rPr>
            </w:pPr>
            <w:proofErr w:type="spellStart"/>
            <w:r w:rsidRPr="0099074B">
              <w:rPr>
                <w:iCs/>
                <w:color w:val="FF0000"/>
                <w:sz w:val="22"/>
                <w:szCs w:val="22"/>
                <w:lang w:val="fr-FR"/>
              </w:rPr>
              <w:t>z</w:t>
            </w:r>
            <w:r w:rsidRPr="0099074B">
              <w:rPr>
                <w:i/>
                <w:color w:val="FF0000"/>
                <w:sz w:val="22"/>
                <w:szCs w:val="22"/>
                <w:vertAlign w:val="subscript"/>
                <w:lang w:val="fr-FR"/>
              </w:rPr>
              <w:t>L</w:t>
            </w:r>
            <w:proofErr w:type="spellEnd"/>
            <w:r w:rsidRPr="0099074B">
              <w:rPr>
                <w:color w:val="FF0000"/>
                <w:sz w:val="22"/>
                <w:szCs w:val="22"/>
                <w:lang w:val="fr-FR"/>
              </w:rPr>
              <w:t>(</w:t>
            </w:r>
            <w:r w:rsidRPr="0099074B">
              <w:rPr>
                <w:i/>
                <w:iCs/>
                <w:color w:val="FF0000"/>
                <w:sz w:val="22"/>
                <w:szCs w:val="22"/>
                <w:lang w:val="fr-FR"/>
              </w:rPr>
              <w:t>t</w:t>
            </w:r>
            <w:r w:rsidRPr="0099074B">
              <w:rPr>
                <w:color w:val="FF0000"/>
                <w:sz w:val="22"/>
                <w:szCs w:val="22"/>
                <w:lang w:val="fr-FR"/>
              </w:rPr>
              <w:t xml:space="preserve">), </w:t>
            </w:r>
            <w:proofErr w:type="spellStart"/>
            <w:r w:rsidRPr="0099074B">
              <w:rPr>
                <w:iCs/>
                <w:color w:val="FF0000"/>
                <w:sz w:val="22"/>
                <w:szCs w:val="22"/>
                <w:lang w:val="fr-FR"/>
              </w:rPr>
              <w:t>z</w:t>
            </w:r>
            <w:r w:rsidRPr="0099074B">
              <w:rPr>
                <w:i/>
                <w:color w:val="FF0000"/>
                <w:sz w:val="22"/>
                <w:szCs w:val="22"/>
                <w:vertAlign w:val="subscript"/>
                <w:lang w:val="fr-FR"/>
              </w:rPr>
              <w:t>R</w:t>
            </w:r>
            <w:proofErr w:type="spellEnd"/>
            <w:r w:rsidRPr="0099074B">
              <w:rPr>
                <w:color w:val="FF0000"/>
                <w:sz w:val="22"/>
                <w:szCs w:val="22"/>
                <w:lang w:val="fr-FR"/>
              </w:rPr>
              <w:t>(</w:t>
            </w:r>
            <w:r w:rsidRPr="0099074B">
              <w:rPr>
                <w:i/>
                <w:iCs/>
                <w:color w:val="FF0000"/>
                <w:sz w:val="22"/>
                <w:szCs w:val="22"/>
                <w:lang w:val="fr-FR"/>
              </w:rPr>
              <w:t>t</w:t>
            </w:r>
            <w:r w:rsidRPr="0099074B">
              <w:rPr>
                <w:color w:val="FF0000"/>
                <w:sz w:val="22"/>
                <w:szCs w:val="22"/>
                <w:lang w:val="fr-FR"/>
              </w:rPr>
              <w:t>)</w:t>
            </w:r>
          </w:p>
        </w:tc>
        <w:tc>
          <w:tcPr>
            <w:tcW w:w="4394" w:type="dxa"/>
            <w:tcBorders>
              <w:top w:val="nil"/>
              <w:left w:val="nil"/>
              <w:bottom w:val="nil"/>
              <w:right w:val="nil"/>
            </w:tcBorders>
            <w:vAlign w:val="center"/>
            <w:hideMark/>
          </w:tcPr>
          <w:p w14:paraId="093D7BAA" w14:textId="77777777" w:rsidR="0099074B" w:rsidRPr="0099074B" w:rsidRDefault="0099074B" w:rsidP="0099074B">
            <w:pPr>
              <w:spacing w:line="259" w:lineRule="auto"/>
              <w:jc w:val="center"/>
              <w:rPr>
                <w:color w:val="1F4E9E"/>
                <w:sz w:val="22"/>
                <w:szCs w:val="22"/>
              </w:rPr>
            </w:pPr>
            <w:r w:rsidRPr="0099074B">
              <w:rPr>
                <w:color w:val="FF0000"/>
                <w:sz w:val="22"/>
                <w:szCs w:val="22"/>
              </w:rPr>
              <w:t>Neural drives to the left and right response agonists</w:t>
            </w:r>
          </w:p>
        </w:tc>
        <w:tc>
          <w:tcPr>
            <w:tcW w:w="3685" w:type="dxa"/>
            <w:tcBorders>
              <w:top w:val="nil"/>
              <w:left w:val="nil"/>
              <w:bottom w:val="nil"/>
              <w:right w:val="nil"/>
            </w:tcBorders>
            <w:vAlign w:val="center"/>
            <w:hideMark/>
          </w:tcPr>
          <w:p w14:paraId="16BDED18" w14:textId="77777777" w:rsidR="0099074B" w:rsidRPr="0099074B" w:rsidRDefault="0099074B" w:rsidP="0099074B">
            <w:pPr>
              <w:spacing w:line="259" w:lineRule="auto"/>
              <w:jc w:val="right"/>
              <w:rPr>
                <w:color w:val="1F4E9E"/>
                <w:sz w:val="22"/>
                <w:szCs w:val="22"/>
                <w:lang w:val="fr-FR"/>
              </w:rPr>
            </w:pPr>
            <w:proofErr w:type="spellStart"/>
            <w:r w:rsidRPr="0099074B">
              <w:rPr>
                <w:color w:val="FF0000"/>
                <w:sz w:val="22"/>
                <w:szCs w:val="22"/>
                <w:lang w:val="fr-FR"/>
              </w:rPr>
              <w:t>See</w:t>
            </w:r>
            <w:proofErr w:type="spellEnd"/>
            <w:r w:rsidRPr="0099074B">
              <w:rPr>
                <w:color w:val="FF0000"/>
                <w:sz w:val="22"/>
                <w:szCs w:val="22"/>
                <w:lang w:val="fr-FR"/>
              </w:rPr>
              <w:t xml:space="preserve"> Eq. (3)</w:t>
            </w:r>
          </w:p>
        </w:tc>
      </w:tr>
      <w:tr w:rsidR="0099074B" w:rsidRPr="0099074B" w14:paraId="6785B680" w14:textId="77777777" w:rsidTr="009D11F7">
        <w:tc>
          <w:tcPr>
            <w:tcW w:w="993" w:type="dxa"/>
            <w:tcBorders>
              <w:top w:val="nil"/>
              <w:left w:val="nil"/>
              <w:bottom w:val="nil"/>
              <w:right w:val="nil"/>
            </w:tcBorders>
            <w:vAlign w:val="center"/>
            <w:hideMark/>
          </w:tcPr>
          <w:p w14:paraId="4525D562"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g</w:t>
            </w:r>
          </w:p>
        </w:tc>
        <w:tc>
          <w:tcPr>
            <w:tcW w:w="4394" w:type="dxa"/>
            <w:tcBorders>
              <w:top w:val="nil"/>
              <w:left w:val="nil"/>
              <w:bottom w:val="nil"/>
              <w:right w:val="nil"/>
            </w:tcBorders>
            <w:vAlign w:val="center"/>
            <w:hideMark/>
          </w:tcPr>
          <w:p w14:paraId="5777E665" w14:textId="77777777" w:rsidR="0099074B" w:rsidRPr="0099074B" w:rsidRDefault="0099074B" w:rsidP="0099074B">
            <w:pPr>
              <w:spacing w:line="259" w:lineRule="auto"/>
              <w:jc w:val="center"/>
              <w:rPr>
                <w:color w:val="1F4E9E"/>
                <w:sz w:val="22"/>
                <w:szCs w:val="22"/>
                <w:lang w:val="fr-FR"/>
              </w:rPr>
            </w:pPr>
            <w:proofErr w:type="spellStart"/>
            <w:r w:rsidRPr="0099074B">
              <w:rPr>
                <w:color w:val="FF0000"/>
                <w:sz w:val="22"/>
                <w:szCs w:val="22"/>
                <w:lang w:val="fr-FR"/>
              </w:rPr>
              <w:t>Level</w:t>
            </w:r>
            <w:proofErr w:type="spellEnd"/>
            <w:r w:rsidRPr="0099074B">
              <w:rPr>
                <w:color w:val="FF0000"/>
                <w:sz w:val="22"/>
                <w:szCs w:val="22"/>
                <w:lang w:val="fr-FR"/>
              </w:rPr>
              <w:t xml:space="preserve"> of </w:t>
            </w:r>
            <w:proofErr w:type="spellStart"/>
            <w:r w:rsidRPr="0099074B">
              <w:rPr>
                <w:color w:val="FF0000"/>
                <w:sz w:val="22"/>
                <w:szCs w:val="22"/>
                <w:lang w:val="fr-FR"/>
              </w:rPr>
              <w:t>gating</w:t>
            </w:r>
            <w:proofErr w:type="spellEnd"/>
            <w:r w:rsidRPr="0099074B">
              <w:rPr>
                <w:color w:val="FF0000"/>
                <w:sz w:val="22"/>
                <w:szCs w:val="22"/>
                <w:lang w:val="fr-FR"/>
              </w:rPr>
              <w:t xml:space="preserve"> inhibition</w:t>
            </w:r>
          </w:p>
        </w:tc>
        <w:tc>
          <w:tcPr>
            <w:tcW w:w="3685" w:type="dxa"/>
            <w:tcBorders>
              <w:top w:val="nil"/>
              <w:left w:val="nil"/>
              <w:bottom w:val="nil"/>
              <w:right w:val="nil"/>
            </w:tcBorders>
            <w:vAlign w:val="center"/>
            <w:hideMark/>
          </w:tcPr>
          <w:p w14:paraId="2DCE89B5"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0.050–0.200</w:t>
            </w:r>
          </w:p>
        </w:tc>
      </w:tr>
      <w:tr w:rsidR="0099074B" w:rsidRPr="0099074B" w14:paraId="075934F2" w14:textId="77777777" w:rsidTr="009D11F7">
        <w:tc>
          <w:tcPr>
            <w:tcW w:w="993" w:type="dxa"/>
            <w:tcBorders>
              <w:top w:val="nil"/>
              <w:left w:val="nil"/>
              <w:bottom w:val="nil"/>
              <w:right w:val="nil"/>
            </w:tcBorders>
            <w:vAlign w:val="center"/>
            <w:hideMark/>
          </w:tcPr>
          <w:p w14:paraId="0FB72CDC"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r</w:t>
            </w:r>
          </w:p>
        </w:tc>
        <w:tc>
          <w:tcPr>
            <w:tcW w:w="4394" w:type="dxa"/>
            <w:tcBorders>
              <w:top w:val="nil"/>
              <w:left w:val="nil"/>
              <w:bottom w:val="nil"/>
              <w:right w:val="nil"/>
            </w:tcBorders>
            <w:vAlign w:val="center"/>
            <w:hideMark/>
          </w:tcPr>
          <w:p w14:paraId="0140BE08" w14:textId="77777777" w:rsidR="0099074B" w:rsidRPr="0099074B" w:rsidRDefault="0099074B" w:rsidP="0099074B">
            <w:pPr>
              <w:spacing w:line="259" w:lineRule="auto"/>
              <w:jc w:val="center"/>
              <w:rPr>
                <w:color w:val="1F4E9E"/>
                <w:sz w:val="22"/>
                <w:szCs w:val="22"/>
              </w:rPr>
            </w:pPr>
            <w:r w:rsidRPr="0099074B">
              <w:rPr>
                <w:color w:val="FF0000"/>
                <w:sz w:val="22"/>
                <w:szCs w:val="22"/>
              </w:rPr>
              <w:t>Response criterion applied to the neural drive</w:t>
            </w:r>
          </w:p>
        </w:tc>
        <w:tc>
          <w:tcPr>
            <w:tcW w:w="3685" w:type="dxa"/>
            <w:tcBorders>
              <w:top w:val="nil"/>
              <w:left w:val="nil"/>
              <w:bottom w:val="nil"/>
              <w:right w:val="nil"/>
            </w:tcBorders>
            <w:vAlign w:val="center"/>
            <w:hideMark/>
          </w:tcPr>
          <w:p w14:paraId="2BC6DEAC" w14:textId="77777777" w:rsidR="0099074B" w:rsidRPr="0099074B" w:rsidRDefault="0099074B" w:rsidP="0099074B">
            <w:pPr>
              <w:spacing w:line="259" w:lineRule="auto"/>
              <w:jc w:val="right"/>
              <w:rPr>
                <w:color w:val="1F4E9E"/>
                <w:sz w:val="22"/>
                <w:szCs w:val="22"/>
              </w:rPr>
            </w:pPr>
            <w:r w:rsidRPr="0099074B">
              <w:rPr>
                <w:color w:val="1F4E9E"/>
                <w:sz w:val="22"/>
                <w:szCs w:val="22"/>
              </w:rPr>
              <w:t>0.010–0.200 (log-uniform)</w:t>
            </w:r>
          </w:p>
        </w:tc>
      </w:tr>
      <w:tr w:rsidR="0099074B" w:rsidRPr="0099074B" w14:paraId="7FE106F9" w14:textId="77777777" w:rsidTr="009D11F7">
        <w:tc>
          <w:tcPr>
            <w:tcW w:w="993" w:type="dxa"/>
            <w:tcBorders>
              <w:top w:val="nil"/>
              <w:left w:val="nil"/>
              <w:bottom w:val="nil"/>
              <w:right w:val="nil"/>
            </w:tcBorders>
            <w:vAlign w:val="center"/>
            <w:hideMark/>
          </w:tcPr>
          <w:p w14:paraId="0450D955"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L</w:t>
            </w:r>
            <w:r w:rsidRPr="0099074B">
              <w:rPr>
                <w:color w:val="FF0000"/>
                <w:sz w:val="22"/>
                <w:szCs w:val="22"/>
                <w:lang w:val="fr-FR"/>
              </w:rPr>
              <w:t>ₘₒₜₒᵣ</w:t>
            </w:r>
          </w:p>
        </w:tc>
        <w:tc>
          <w:tcPr>
            <w:tcW w:w="4394" w:type="dxa"/>
            <w:tcBorders>
              <w:top w:val="nil"/>
              <w:left w:val="nil"/>
              <w:bottom w:val="nil"/>
              <w:right w:val="nil"/>
            </w:tcBorders>
            <w:vAlign w:val="center"/>
            <w:hideMark/>
          </w:tcPr>
          <w:p w14:paraId="2CAE508F" w14:textId="77777777" w:rsidR="0099074B" w:rsidRPr="0099074B" w:rsidRDefault="0099074B" w:rsidP="0099074B">
            <w:pPr>
              <w:spacing w:line="259" w:lineRule="auto"/>
              <w:jc w:val="center"/>
              <w:rPr>
                <w:color w:val="1F4E9E"/>
                <w:sz w:val="22"/>
                <w:szCs w:val="22"/>
              </w:rPr>
            </w:pPr>
            <w:r w:rsidRPr="0099074B">
              <w:rPr>
                <w:color w:val="FF0000"/>
                <w:sz w:val="22"/>
                <w:szCs w:val="22"/>
              </w:rPr>
              <w:t>Residual motor latency between response triggering and the overt response</w:t>
            </w:r>
          </w:p>
        </w:tc>
        <w:tc>
          <w:tcPr>
            <w:tcW w:w="3685" w:type="dxa"/>
            <w:tcBorders>
              <w:top w:val="nil"/>
              <w:left w:val="nil"/>
              <w:bottom w:val="nil"/>
              <w:right w:val="nil"/>
            </w:tcBorders>
            <w:vAlign w:val="center"/>
            <w:hideMark/>
          </w:tcPr>
          <w:p w14:paraId="36554266" w14:textId="77777777" w:rsidR="0099074B" w:rsidRPr="0099074B" w:rsidRDefault="0099074B" w:rsidP="0099074B">
            <w:pPr>
              <w:spacing w:line="259" w:lineRule="auto"/>
              <w:jc w:val="right"/>
              <w:rPr>
                <w:color w:val="1F4E9E"/>
                <w:sz w:val="22"/>
                <w:szCs w:val="22"/>
              </w:rPr>
            </w:pPr>
            <w:r w:rsidRPr="0099074B">
              <w:rPr>
                <w:color w:val="1F4E9E"/>
                <w:sz w:val="22"/>
                <w:szCs w:val="22"/>
              </w:rPr>
              <w:t>0.093 s (fixed; Dendauw et al. 2024)</w:t>
            </w:r>
          </w:p>
        </w:tc>
      </w:tr>
      <w:tr w:rsidR="0099074B" w:rsidRPr="0099074B" w14:paraId="4FBFFD45" w14:textId="77777777" w:rsidTr="009D11F7">
        <w:tc>
          <w:tcPr>
            <w:tcW w:w="993" w:type="dxa"/>
            <w:tcBorders>
              <w:top w:val="nil"/>
              <w:left w:val="nil"/>
              <w:bottom w:val="nil"/>
              <w:right w:val="nil"/>
            </w:tcBorders>
            <w:vAlign w:val="center"/>
            <w:hideMark/>
          </w:tcPr>
          <w:p w14:paraId="76D584BA"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D</w:t>
            </w:r>
          </w:p>
        </w:tc>
        <w:tc>
          <w:tcPr>
            <w:tcW w:w="4394" w:type="dxa"/>
            <w:tcBorders>
              <w:top w:val="nil"/>
              <w:left w:val="nil"/>
              <w:bottom w:val="nil"/>
              <w:right w:val="nil"/>
            </w:tcBorders>
            <w:vAlign w:val="center"/>
            <w:hideMark/>
          </w:tcPr>
          <w:p w14:paraId="7851C096"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Motion duration</w:t>
            </w:r>
          </w:p>
        </w:tc>
        <w:tc>
          <w:tcPr>
            <w:tcW w:w="3685" w:type="dxa"/>
            <w:tcBorders>
              <w:top w:val="nil"/>
              <w:left w:val="nil"/>
              <w:bottom w:val="nil"/>
              <w:right w:val="nil"/>
            </w:tcBorders>
            <w:vAlign w:val="center"/>
            <w:hideMark/>
          </w:tcPr>
          <w:p w14:paraId="735645C8"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0.300 or 2.000 s</w:t>
            </w:r>
          </w:p>
        </w:tc>
      </w:tr>
      <w:tr w:rsidR="0099074B" w:rsidRPr="0099074B" w14:paraId="7352D984" w14:textId="77777777" w:rsidTr="009D11F7">
        <w:tc>
          <w:tcPr>
            <w:tcW w:w="993" w:type="dxa"/>
            <w:tcBorders>
              <w:top w:val="nil"/>
              <w:left w:val="nil"/>
              <w:bottom w:val="nil"/>
              <w:right w:val="nil"/>
            </w:tcBorders>
            <w:vAlign w:val="center"/>
            <w:hideMark/>
          </w:tcPr>
          <w:p w14:paraId="13642466"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θ</w:t>
            </w:r>
          </w:p>
        </w:tc>
        <w:tc>
          <w:tcPr>
            <w:tcW w:w="4394" w:type="dxa"/>
            <w:tcBorders>
              <w:top w:val="nil"/>
              <w:left w:val="nil"/>
              <w:bottom w:val="nil"/>
              <w:right w:val="nil"/>
            </w:tcBorders>
            <w:vAlign w:val="center"/>
            <w:hideMark/>
          </w:tcPr>
          <w:p w14:paraId="03D518DA" w14:textId="77777777" w:rsidR="0099074B" w:rsidRPr="0099074B" w:rsidRDefault="0099074B" w:rsidP="0099074B">
            <w:pPr>
              <w:spacing w:line="259" w:lineRule="auto"/>
              <w:jc w:val="center"/>
              <w:rPr>
                <w:color w:val="1F4E9E"/>
                <w:sz w:val="22"/>
                <w:szCs w:val="22"/>
              </w:rPr>
            </w:pPr>
            <w:r w:rsidRPr="0099074B">
              <w:rPr>
                <w:color w:val="FF0000"/>
                <w:sz w:val="22"/>
                <w:szCs w:val="22"/>
              </w:rPr>
              <w:t>Internal motor-preparation threshold triggering maintenance</w:t>
            </w:r>
          </w:p>
        </w:tc>
        <w:tc>
          <w:tcPr>
            <w:tcW w:w="3685" w:type="dxa"/>
            <w:tcBorders>
              <w:top w:val="nil"/>
              <w:left w:val="nil"/>
              <w:bottom w:val="nil"/>
              <w:right w:val="nil"/>
            </w:tcBorders>
            <w:vAlign w:val="center"/>
            <w:hideMark/>
          </w:tcPr>
          <w:p w14:paraId="212714BA" w14:textId="77777777" w:rsidR="0099074B" w:rsidRPr="0099074B" w:rsidRDefault="0099074B" w:rsidP="0099074B">
            <w:pPr>
              <w:spacing w:line="259" w:lineRule="auto"/>
              <w:jc w:val="right"/>
              <w:rPr>
                <w:color w:val="1F4E9E"/>
                <w:sz w:val="22"/>
                <w:szCs w:val="22"/>
                <w:lang w:val="fr-FR"/>
              </w:rPr>
            </w:pPr>
            <w:r w:rsidRPr="0099074B">
              <w:rPr>
                <w:i/>
                <w:iCs/>
                <w:color w:val="FF0000"/>
                <w:sz w:val="22"/>
                <w:szCs w:val="22"/>
                <w:lang w:val="fr-FR"/>
              </w:rPr>
              <w:t>θ/g</w:t>
            </w:r>
            <w:r w:rsidRPr="0099074B">
              <w:rPr>
                <w:color w:val="FF0000"/>
                <w:sz w:val="22"/>
                <w:szCs w:val="22"/>
                <w:lang w:val="fr-FR"/>
              </w:rPr>
              <w:t xml:space="preserve"> </w:t>
            </w:r>
            <w:proofErr w:type="spellStart"/>
            <w:r w:rsidRPr="0099074B">
              <w:rPr>
                <w:color w:val="FF0000"/>
                <w:sz w:val="22"/>
                <w:szCs w:val="22"/>
                <w:lang w:val="fr-FR"/>
              </w:rPr>
              <w:t>sampled</w:t>
            </w:r>
            <w:proofErr w:type="spellEnd"/>
            <w:r w:rsidRPr="0099074B">
              <w:rPr>
                <w:color w:val="FF0000"/>
                <w:sz w:val="22"/>
                <w:szCs w:val="22"/>
                <w:lang w:val="fr-FR"/>
              </w:rPr>
              <w:t xml:space="preserve"> </w:t>
            </w:r>
            <w:proofErr w:type="spellStart"/>
            <w:r w:rsidRPr="0099074B">
              <w:rPr>
                <w:color w:val="FF0000"/>
                <w:sz w:val="22"/>
                <w:szCs w:val="22"/>
                <w:lang w:val="fr-FR"/>
              </w:rPr>
              <w:t>from</w:t>
            </w:r>
            <w:proofErr w:type="spellEnd"/>
            <w:r w:rsidRPr="0099074B">
              <w:rPr>
                <w:color w:val="FF0000"/>
                <w:sz w:val="22"/>
                <w:szCs w:val="22"/>
                <w:lang w:val="fr-FR"/>
              </w:rPr>
              <w:t xml:space="preserve"> 0.25–0.90</w:t>
            </w:r>
          </w:p>
        </w:tc>
      </w:tr>
      <w:tr w:rsidR="0099074B" w:rsidRPr="0099074B" w14:paraId="6BFDE08F" w14:textId="77777777" w:rsidTr="009D11F7">
        <w:tc>
          <w:tcPr>
            <w:tcW w:w="993" w:type="dxa"/>
            <w:tcBorders>
              <w:top w:val="nil"/>
              <w:left w:val="nil"/>
              <w:bottom w:val="nil"/>
              <w:right w:val="nil"/>
            </w:tcBorders>
            <w:vAlign w:val="center"/>
            <w:hideMark/>
          </w:tcPr>
          <w:p w14:paraId="4C6F94C3"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τ</w:t>
            </w:r>
          </w:p>
        </w:tc>
        <w:tc>
          <w:tcPr>
            <w:tcW w:w="4394" w:type="dxa"/>
            <w:tcBorders>
              <w:top w:val="nil"/>
              <w:left w:val="nil"/>
              <w:bottom w:val="nil"/>
              <w:right w:val="nil"/>
            </w:tcBorders>
            <w:vAlign w:val="center"/>
            <w:hideMark/>
          </w:tcPr>
          <w:p w14:paraId="6FAAE7C3"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Maintenance-</w:t>
            </w:r>
            <w:proofErr w:type="spellStart"/>
            <w:r w:rsidRPr="0099074B">
              <w:rPr>
                <w:color w:val="FF0000"/>
                <w:sz w:val="22"/>
                <w:szCs w:val="22"/>
                <w:lang w:val="fr-FR"/>
              </w:rPr>
              <w:t>onset</w:t>
            </w:r>
            <w:proofErr w:type="spellEnd"/>
            <w:r w:rsidRPr="0099074B">
              <w:rPr>
                <w:color w:val="FF0000"/>
                <w:sz w:val="22"/>
                <w:szCs w:val="22"/>
                <w:lang w:val="fr-FR"/>
              </w:rPr>
              <w:t xml:space="preserve"> time</w:t>
            </w:r>
          </w:p>
        </w:tc>
        <w:tc>
          <w:tcPr>
            <w:tcW w:w="3685" w:type="dxa"/>
            <w:tcBorders>
              <w:top w:val="nil"/>
              <w:left w:val="nil"/>
              <w:bottom w:val="nil"/>
              <w:right w:val="nil"/>
            </w:tcBorders>
            <w:vAlign w:val="center"/>
            <w:hideMark/>
          </w:tcPr>
          <w:p w14:paraId="0A8A0566"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Trial-</w:t>
            </w:r>
            <w:proofErr w:type="spellStart"/>
            <w:r w:rsidRPr="0099074B">
              <w:rPr>
                <w:color w:val="FF0000"/>
                <w:sz w:val="22"/>
                <w:szCs w:val="22"/>
                <w:lang w:val="fr-FR"/>
              </w:rPr>
              <w:t>dependent</w:t>
            </w:r>
            <w:proofErr w:type="spellEnd"/>
          </w:p>
        </w:tc>
      </w:tr>
      <w:tr w:rsidR="0099074B" w:rsidRPr="0099074B" w14:paraId="30D08275" w14:textId="77777777" w:rsidTr="009D11F7">
        <w:tc>
          <w:tcPr>
            <w:tcW w:w="993" w:type="dxa"/>
            <w:tcBorders>
              <w:top w:val="nil"/>
              <w:left w:val="nil"/>
              <w:bottom w:val="nil"/>
              <w:right w:val="nil"/>
            </w:tcBorders>
            <w:vAlign w:val="center"/>
            <w:hideMark/>
          </w:tcPr>
          <w:p w14:paraId="059CCB3C"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m</w:t>
            </w:r>
          </w:p>
        </w:tc>
        <w:tc>
          <w:tcPr>
            <w:tcW w:w="4394" w:type="dxa"/>
            <w:tcBorders>
              <w:top w:val="nil"/>
              <w:left w:val="nil"/>
              <w:bottom w:val="nil"/>
              <w:right w:val="nil"/>
            </w:tcBorders>
            <w:vAlign w:val="center"/>
            <w:hideMark/>
          </w:tcPr>
          <w:p w14:paraId="6B2D64E2"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 xml:space="preserve">Maintenance </w:t>
            </w:r>
            <w:proofErr w:type="spellStart"/>
            <w:r w:rsidRPr="0099074B">
              <w:rPr>
                <w:color w:val="FF0000"/>
                <w:sz w:val="22"/>
                <w:szCs w:val="22"/>
                <w:lang w:val="fr-FR"/>
              </w:rPr>
              <w:t>target</w:t>
            </w:r>
            <w:proofErr w:type="spellEnd"/>
          </w:p>
        </w:tc>
        <w:tc>
          <w:tcPr>
            <w:tcW w:w="3685" w:type="dxa"/>
            <w:tcBorders>
              <w:top w:val="nil"/>
              <w:left w:val="nil"/>
              <w:bottom w:val="nil"/>
              <w:right w:val="nil"/>
            </w:tcBorders>
            <w:vAlign w:val="center"/>
            <w:hideMark/>
          </w:tcPr>
          <w:p w14:paraId="478412C2" w14:textId="77777777" w:rsidR="0099074B" w:rsidRPr="0099074B" w:rsidRDefault="0099074B" w:rsidP="0099074B">
            <w:pPr>
              <w:spacing w:line="259" w:lineRule="auto"/>
              <w:jc w:val="right"/>
              <w:rPr>
                <w:color w:val="1F4E9E"/>
                <w:sz w:val="22"/>
                <w:szCs w:val="22"/>
                <w:lang w:val="fr-FR"/>
              </w:rPr>
            </w:pPr>
            <w:proofErr w:type="spellStart"/>
            <w:r w:rsidRPr="0099074B">
              <w:rPr>
                <w:color w:val="FF0000"/>
                <w:sz w:val="22"/>
                <w:szCs w:val="22"/>
                <w:lang w:val="fr-FR"/>
              </w:rPr>
              <w:t>See</w:t>
            </w:r>
            <w:proofErr w:type="spellEnd"/>
            <w:r w:rsidRPr="0099074B">
              <w:rPr>
                <w:color w:val="FF0000"/>
                <w:sz w:val="22"/>
                <w:szCs w:val="22"/>
                <w:lang w:val="fr-FR"/>
              </w:rPr>
              <w:t xml:space="preserve"> Eq. (4)</w:t>
            </w:r>
          </w:p>
        </w:tc>
      </w:tr>
      <w:tr w:rsidR="0099074B" w:rsidRPr="0099074B" w14:paraId="1687C79B" w14:textId="77777777" w:rsidTr="009D11F7">
        <w:tc>
          <w:tcPr>
            <w:tcW w:w="993" w:type="dxa"/>
            <w:tcBorders>
              <w:top w:val="nil"/>
              <w:left w:val="nil"/>
              <w:bottom w:val="nil"/>
              <w:right w:val="nil"/>
            </w:tcBorders>
            <w:vAlign w:val="center"/>
            <w:hideMark/>
          </w:tcPr>
          <w:p w14:paraId="4A297E26"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s</w:t>
            </w:r>
            <w:r w:rsidRPr="0099074B">
              <w:rPr>
                <w:color w:val="FF0000"/>
                <w:sz w:val="22"/>
                <w:szCs w:val="22"/>
                <w:lang w:val="fr-FR"/>
              </w:rPr>
              <w:t>ᵣₑₛₚ</w:t>
            </w:r>
          </w:p>
        </w:tc>
        <w:tc>
          <w:tcPr>
            <w:tcW w:w="4394" w:type="dxa"/>
            <w:tcBorders>
              <w:top w:val="nil"/>
              <w:left w:val="nil"/>
              <w:bottom w:val="nil"/>
              <w:right w:val="nil"/>
            </w:tcBorders>
            <w:vAlign w:val="center"/>
            <w:hideMark/>
          </w:tcPr>
          <w:p w14:paraId="34D941C3" w14:textId="77777777" w:rsidR="0099074B" w:rsidRPr="0099074B" w:rsidRDefault="0099074B" w:rsidP="0099074B">
            <w:pPr>
              <w:spacing w:line="259" w:lineRule="auto"/>
              <w:jc w:val="center"/>
              <w:rPr>
                <w:color w:val="1F4E9E"/>
                <w:sz w:val="22"/>
                <w:szCs w:val="22"/>
                <w:lang w:val="fr-FR"/>
              </w:rPr>
            </w:pPr>
            <w:proofErr w:type="spellStart"/>
            <w:r w:rsidRPr="0099074B">
              <w:rPr>
                <w:color w:val="FF0000"/>
                <w:sz w:val="22"/>
                <w:szCs w:val="22"/>
                <w:lang w:val="fr-FR"/>
              </w:rPr>
              <w:t>Selected</w:t>
            </w:r>
            <w:proofErr w:type="spellEnd"/>
            <w:r w:rsidRPr="0099074B">
              <w:rPr>
                <w:color w:val="FF0000"/>
                <w:sz w:val="22"/>
                <w:szCs w:val="22"/>
                <w:lang w:val="fr-FR"/>
              </w:rPr>
              <w:t xml:space="preserve"> </w:t>
            </w:r>
            <w:proofErr w:type="spellStart"/>
            <w:r w:rsidRPr="0099074B">
              <w:rPr>
                <w:color w:val="FF0000"/>
                <w:sz w:val="22"/>
                <w:szCs w:val="22"/>
                <w:lang w:val="fr-FR"/>
              </w:rPr>
              <w:t>response</w:t>
            </w:r>
            <w:proofErr w:type="spellEnd"/>
            <w:r w:rsidRPr="0099074B">
              <w:rPr>
                <w:color w:val="FF0000"/>
                <w:sz w:val="22"/>
                <w:szCs w:val="22"/>
                <w:lang w:val="fr-FR"/>
              </w:rPr>
              <w:t xml:space="preserve"> direction</w:t>
            </w:r>
          </w:p>
        </w:tc>
        <w:tc>
          <w:tcPr>
            <w:tcW w:w="3685" w:type="dxa"/>
            <w:tcBorders>
              <w:top w:val="nil"/>
              <w:left w:val="nil"/>
              <w:bottom w:val="nil"/>
              <w:right w:val="nil"/>
            </w:tcBorders>
            <w:vAlign w:val="center"/>
            <w:hideMark/>
          </w:tcPr>
          <w:p w14:paraId="0DBC9409"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 xml:space="preserve">−1: </w:t>
            </w:r>
            <w:proofErr w:type="spellStart"/>
            <w:r w:rsidRPr="0099074B">
              <w:rPr>
                <w:color w:val="FF0000"/>
                <w:sz w:val="22"/>
                <w:szCs w:val="22"/>
                <w:lang w:val="fr-FR"/>
              </w:rPr>
              <w:t>left</w:t>
            </w:r>
            <w:proofErr w:type="spellEnd"/>
            <w:r w:rsidRPr="0099074B">
              <w:rPr>
                <w:color w:val="FF0000"/>
                <w:sz w:val="22"/>
                <w:szCs w:val="22"/>
                <w:lang w:val="fr-FR"/>
              </w:rPr>
              <w:t>; +1: right</w:t>
            </w:r>
          </w:p>
        </w:tc>
      </w:tr>
      <w:tr w:rsidR="0099074B" w:rsidRPr="0099074B" w14:paraId="60EED07C" w14:textId="77777777" w:rsidTr="009D11F7">
        <w:tc>
          <w:tcPr>
            <w:tcW w:w="993" w:type="dxa"/>
            <w:tcBorders>
              <w:top w:val="nil"/>
              <w:left w:val="nil"/>
              <w:bottom w:val="nil"/>
              <w:right w:val="nil"/>
            </w:tcBorders>
            <w:vAlign w:val="center"/>
            <w:hideMark/>
          </w:tcPr>
          <w:p w14:paraId="720150D5"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ε(t)</w:t>
            </w:r>
          </w:p>
        </w:tc>
        <w:tc>
          <w:tcPr>
            <w:tcW w:w="4394" w:type="dxa"/>
            <w:tcBorders>
              <w:top w:val="nil"/>
              <w:left w:val="nil"/>
              <w:bottom w:val="nil"/>
              <w:right w:val="nil"/>
            </w:tcBorders>
            <w:vAlign w:val="center"/>
            <w:hideMark/>
          </w:tcPr>
          <w:p w14:paraId="3786FF2E" w14:textId="77777777" w:rsidR="0099074B" w:rsidRPr="0099074B" w:rsidRDefault="0099074B" w:rsidP="0099074B">
            <w:pPr>
              <w:spacing w:line="259" w:lineRule="auto"/>
              <w:jc w:val="center"/>
              <w:rPr>
                <w:color w:val="1F4E9E"/>
                <w:sz w:val="22"/>
                <w:szCs w:val="22"/>
              </w:rPr>
            </w:pPr>
            <w:r w:rsidRPr="0099074B">
              <w:rPr>
                <w:color w:val="FF0000"/>
                <w:sz w:val="22"/>
                <w:szCs w:val="22"/>
              </w:rPr>
              <w:t>Stochastic fluctuations around the maintenance target</w:t>
            </w:r>
          </w:p>
        </w:tc>
        <w:tc>
          <w:tcPr>
            <w:tcW w:w="3685" w:type="dxa"/>
            <w:tcBorders>
              <w:top w:val="nil"/>
              <w:left w:val="nil"/>
              <w:bottom w:val="nil"/>
              <w:right w:val="nil"/>
            </w:tcBorders>
            <w:vAlign w:val="center"/>
            <w:hideMark/>
          </w:tcPr>
          <w:p w14:paraId="50F84EAB" w14:textId="77777777" w:rsidR="0099074B" w:rsidRPr="0099074B" w:rsidRDefault="0099074B" w:rsidP="0099074B">
            <w:pPr>
              <w:spacing w:line="259" w:lineRule="auto"/>
              <w:jc w:val="right"/>
              <w:rPr>
                <w:color w:val="1F4E9E"/>
                <w:sz w:val="22"/>
                <w:szCs w:val="22"/>
                <w:lang w:val="fr-FR"/>
              </w:rPr>
            </w:pPr>
            <w:proofErr w:type="spellStart"/>
            <w:r w:rsidRPr="0099074B">
              <w:rPr>
                <w:color w:val="FF0000"/>
                <w:sz w:val="22"/>
                <w:szCs w:val="22"/>
                <w:lang w:val="fr-FR"/>
              </w:rPr>
              <w:t>See</w:t>
            </w:r>
            <w:proofErr w:type="spellEnd"/>
            <w:r w:rsidRPr="0099074B">
              <w:rPr>
                <w:color w:val="FF0000"/>
                <w:sz w:val="22"/>
                <w:szCs w:val="22"/>
                <w:lang w:val="fr-FR"/>
              </w:rPr>
              <w:t xml:space="preserve"> Eq. (5)</w:t>
            </w:r>
          </w:p>
        </w:tc>
      </w:tr>
      <w:tr w:rsidR="0099074B" w:rsidRPr="0099074B" w14:paraId="111DF41F" w14:textId="77777777" w:rsidTr="009D11F7">
        <w:tc>
          <w:tcPr>
            <w:tcW w:w="993" w:type="dxa"/>
            <w:tcBorders>
              <w:top w:val="nil"/>
              <w:left w:val="nil"/>
              <w:bottom w:val="nil"/>
              <w:right w:val="nil"/>
            </w:tcBorders>
            <w:vAlign w:val="center"/>
            <w:hideMark/>
          </w:tcPr>
          <w:p w14:paraId="44C10122"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t>κ</w:t>
            </w:r>
          </w:p>
        </w:tc>
        <w:tc>
          <w:tcPr>
            <w:tcW w:w="4394" w:type="dxa"/>
            <w:tcBorders>
              <w:top w:val="nil"/>
              <w:left w:val="nil"/>
              <w:bottom w:val="nil"/>
              <w:right w:val="nil"/>
            </w:tcBorders>
            <w:vAlign w:val="center"/>
            <w:hideMark/>
          </w:tcPr>
          <w:p w14:paraId="3B555842" w14:textId="77777777" w:rsidR="0099074B" w:rsidRPr="0099074B" w:rsidRDefault="0099074B" w:rsidP="0099074B">
            <w:pPr>
              <w:spacing w:line="259" w:lineRule="auto"/>
              <w:jc w:val="center"/>
              <w:rPr>
                <w:color w:val="1F4E9E"/>
                <w:sz w:val="22"/>
                <w:szCs w:val="22"/>
              </w:rPr>
            </w:pPr>
            <w:r w:rsidRPr="0099074B">
              <w:rPr>
                <w:color w:val="FF0000"/>
                <w:sz w:val="22"/>
                <w:szCs w:val="22"/>
              </w:rPr>
              <w:t>Mean-reversion rate of maintenance fluctuations</w:t>
            </w:r>
          </w:p>
        </w:tc>
        <w:tc>
          <w:tcPr>
            <w:tcW w:w="3685" w:type="dxa"/>
            <w:tcBorders>
              <w:top w:val="nil"/>
              <w:left w:val="nil"/>
              <w:bottom w:val="nil"/>
              <w:right w:val="nil"/>
            </w:tcBorders>
            <w:vAlign w:val="center"/>
            <w:hideMark/>
          </w:tcPr>
          <w:p w14:paraId="5427ACD3"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0.20–30.0 s⁻¹ (log-uniform)</w:t>
            </w:r>
          </w:p>
        </w:tc>
      </w:tr>
      <w:tr w:rsidR="0099074B" w:rsidRPr="0099074B" w14:paraId="24C366B9" w14:textId="77777777" w:rsidTr="009D11F7">
        <w:tc>
          <w:tcPr>
            <w:tcW w:w="993" w:type="dxa"/>
            <w:tcBorders>
              <w:top w:val="nil"/>
              <w:left w:val="nil"/>
              <w:bottom w:val="nil"/>
              <w:right w:val="nil"/>
            </w:tcBorders>
            <w:vAlign w:val="center"/>
          </w:tcPr>
          <w:p w14:paraId="452AF818" w14:textId="77777777" w:rsidR="0099074B" w:rsidRPr="0099074B" w:rsidRDefault="0099074B" w:rsidP="0099074B">
            <w:pPr>
              <w:spacing w:line="259" w:lineRule="auto"/>
              <w:rPr>
                <w:color w:val="1F4E9E"/>
                <w:sz w:val="22"/>
                <w:szCs w:val="22"/>
                <w:lang w:val="fr-FR"/>
              </w:rPr>
            </w:pPr>
            <w:proofErr w:type="spellStart"/>
            <w:r w:rsidRPr="0099074B">
              <w:rPr>
                <w:i/>
                <w:iCs/>
                <w:color w:val="FF0000"/>
                <w:sz w:val="22"/>
                <w:szCs w:val="22"/>
                <w:lang w:val="fr-FR"/>
              </w:rPr>
              <w:lastRenderedPageBreak/>
              <w:t>σ</w:t>
            </w:r>
            <w:r w:rsidRPr="0099074B">
              <w:rPr>
                <w:color w:val="FF0000"/>
                <w:sz w:val="22"/>
                <w:szCs w:val="22"/>
                <w:vertAlign w:val="subscript"/>
                <w:lang w:val="fr-FR"/>
              </w:rPr>
              <w:t>ε</w:t>
            </w:r>
            <w:proofErr w:type="spellEnd"/>
          </w:p>
        </w:tc>
        <w:tc>
          <w:tcPr>
            <w:tcW w:w="4394" w:type="dxa"/>
            <w:tcBorders>
              <w:top w:val="nil"/>
              <w:left w:val="nil"/>
              <w:bottom w:val="nil"/>
              <w:right w:val="nil"/>
            </w:tcBorders>
            <w:vAlign w:val="center"/>
          </w:tcPr>
          <w:p w14:paraId="1C7C785A"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Diffusion coefficient of maintenance fluctuations</w:t>
            </w:r>
          </w:p>
        </w:tc>
        <w:tc>
          <w:tcPr>
            <w:tcW w:w="3685" w:type="dxa"/>
            <w:tcBorders>
              <w:top w:val="nil"/>
              <w:left w:val="nil"/>
              <w:bottom w:val="nil"/>
              <w:right w:val="nil"/>
            </w:tcBorders>
            <w:vAlign w:val="center"/>
          </w:tcPr>
          <w:p w14:paraId="6E21E10B" w14:textId="77777777" w:rsidR="0099074B" w:rsidRPr="0099074B" w:rsidRDefault="0099074B" w:rsidP="0099074B">
            <w:pPr>
              <w:spacing w:line="259" w:lineRule="auto"/>
              <w:jc w:val="right"/>
              <w:rPr>
                <w:color w:val="1F4E9E"/>
                <w:sz w:val="22"/>
                <w:szCs w:val="22"/>
              </w:rPr>
            </w:pPr>
            <w:r w:rsidRPr="0099074B">
              <w:rPr>
                <w:color w:val="1F4E9E"/>
                <w:sz w:val="22"/>
                <w:szCs w:val="22"/>
              </w:rPr>
              <w:t xml:space="preserve">= </w:t>
            </w:r>
            <m:oMath>
              <m:sSub>
                <m:sSubPr>
                  <m:ctrlPr>
                    <w:rPr>
                      <w:rFonts w:ascii="Cambria Math" w:hAnsi="Cambria Math"/>
                      <w:i/>
                      <w:color w:val="1F4E9E"/>
                      <w:sz w:val="22"/>
                      <w:szCs w:val="22"/>
                      <w:vertAlign w:val="subscript"/>
                      <w:lang w:val="fr-FR"/>
                    </w:rPr>
                  </m:ctrlPr>
                </m:sSubPr>
                <m:e>
                  <m:r>
                    <w:rPr>
                      <w:rFonts w:ascii="Cambria Math" w:hAnsi="Cambria Math"/>
                      <w:color w:val="1F4E9E"/>
                      <w:sz w:val="22"/>
                      <w:szCs w:val="22"/>
                      <w:vertAlign w:val="subscript"/>
                      <w:lang w:val="fr-FR"/>
                    </w:rPr>
                    <m:t>SD</m:t>
                  </m:r>
                </m:e>
                <m:sub>
                  <m:r>
                    <m:rPr>
                      <m:sty m:val="p"/>
                    </m:rPr>
                    <w:rPr>
                      <w:rFonts w:ascii="Cambria Math" w:hAnsi="Cambria Math"/>
                      <w:color w:val="1F4E9E"/>
                      <w:sz w:val="22"/>
                      <w:szCs w:val="22"/>
                      <w:vertAlign w:val="subscript"/>
                      <w:lang w:val="fr-FR"/>
                    </w:rPr>
                    <m:t>ε</m:t>
                  </m:r>
                </m:sub>
              </m:sSub>
              <m:rad>
                <m:radPr>
                  <m:degHide m:val="1"/>
                  <m:ctrlPr>
                    <w:rPr>
                      <w:rFonts w:ascii="Cambria Math" w:hAnsi="Cambria Math"/>
                      <w:i/>
                      <w:color w:val="1F4E9E"/>
                      <w:sz w:val="22"/>
                      <w:szCs w:val="22"/>
                      <w:vertAlign w:val="subscript"/>
                      <w:lang w:val="fr-FR"/>
                    </w:rPr>
                  </m:ctrlPr>
                </m:radPr>
                <m:deg/>
                <m:e>
                  <m:r>
                    <w:rPr>
                      <w:rFonts w:ascii="Cambria Math" w:hAnsi="Cambria Math"/>
                      <w:color w:val="1F4E9E"/>
                      <w:sz w:val="22"/>
                      <w:szCs w:val="22"/>
                      <w:vertAlign w:val="subscript"/>
                    </w:rPr>
                    <m:t>2</m:t>
                  </m:r>
                  <m:r>
                    <w:rPr>
                      <w:rFonts w:ascii="Cambria Math" w:hAnsi="Cambria Math"/>
                      <w:color w:val="1F4E9E"/>
                    </w:rPr>
                    <m:t>κ</m:t>
                  </m:r>
                </m:e>
              </m:rad>
            </m:oMath>
            <w:r w:rsidRPr="0099074B">
              <w:rPr>
                <w:color w:val="1F4E9E"/>
                <w:sz w:val="22"/>
                <w:szCs w:val="22"/>
              </w:rPr>
              <w:t xml:space="preserve">, with </w:t>
            </w:r>
            <m:oMath>
              <m:sSub>
                <m:sSubPr>
                  <m:ctrlPr>
                    <w:rPr>
                      <w:rFonts w:ascii="Cambria Math" w:hAnsi="Cambria Math"/>
                      <w:i/>
                      <w:color w:val="1F4E9E"/>
                      <w:sz w:val="22"/>
                      <w:szCs w:val="22"/>
                      <w:vertAlign w:val="subscript"/>
                      <w:lang w:val="fr-FR"/>
                    </w:rPr>
                  </m:ctrlPr>
                </m:sSubPr>
                <m:e>
                  <m:r>
                    <w:rPr>
                      <w:rFonts w:ascii="Cambria Math" w:hAnsi="Cambria Math"/>
                      <w:color w:val="1F4E9E"/>
                      <w:sz w:val="22"/>
                      <w:szCs w:val="22"/>
                      <w:vertAlign w:val="subscript"/>
                      <w:lang w:val="fr-FR"/>
                    </w:rPr>
                    <m:t>SD</m:t>
                  </m:r>
                </m:e>
                <m:sub>
                  <m:r>
                    <m:rPr>
                      <m:sty m:val="p"/>
                    </m:rPr>
                    <w:rPr>
                      <w:rFonts w:ascii="Cambria Math" w:hAnsi="Cambria Math"/>
                      <w:color w:val="1F4E9E"/>
                      <w:sz w:val="22"/>
                      <w:szCs w:val="22"/>
                      <w:vertAlign w:val="subscript"/>
                      <w:lang w:val="fr-FR"/>
                    </w:rPr>
                    <m:t>ε</m:t>
                  </m:r>
                </m:sub>
              </m:sSub>
            </m:oMath>
            <w:r w:rsidRPr="0099074B">
              <w:rPr>
                <w:color w:val="1F4E9E"/>
                <w:sz w:val="22"/>
                <w:szCs w:val="22"/>
              </w:rPr>
              <w:t xml:space="preserve"> 0.003–0.060 (log-uniform)</w:t>
            </w:r>
          </w:p>
        </w:tc>
      </w:tr>
      <w:tr w:rsidR="0099074B" w:rsidRPr="0099074B" w14:paraId="40295AAD" w14:textId="77777777" w:rsidTr="009D11F7">
        <w:tc>
          <w:tcPr>
            <w:tcW w:w="993" w:type="dxa"/>
            <w:tcBorders>
              <w:top w:val="nil"/>
              <w:left w:val="nil"/>
              <w:bottom w:val="nil"/>
              <w:right w:val="nil"/>
            </w:tcBorders>
            <w:vAlign w:val="center"/>
            <w:hideMark/>
          </w:tcPr>
          <w:p w14:paraId="7748871E" w14:textId="77777777" w:rsidR="0099074B" w:rsidRPr="0099074B" w:rsidRDefault="0099074B" w:rsidP="0099074B">
            <w:pPr>
              <w:spacing w:line="259" w:lineRule="auto"/>
              <w:rPr>
                <w:color w:val="1F4E9E"/>
                <w:sz w:val="22"/>
                <w:szCs w:val="22"/>
                <w:lang w:val="fr-FR"/>
              </w:rPr>
            </w:pPr>
            <w:proofErr w:type="spellStart"/>
            <w:r w:rsidRPr="0099074B">
              <w:rPr>
                <w:i/>
                <w:iCs/>
                <w:color w:val="FF0000"/>
                <w:sz w:val="22"/>
                <w:szCs w:val="22"/>
                <w:lang w:val="fr-FR"/>
              </w:rPr>
              <w:t>t</w:t>
            </w:r>
            <w:r w:rsidRPr="0099074B">
              <w:rPr>
                <w:color w:val="FF0000"/>
                <w:sz w:val="22"/>
                <w:szCs w:val="22"/>
                <w:vertAlign w:val="subscript"/>
                <w:lang w:val="fr-FR"/>
              </w:rPr>
              <w:t>offset</w:t>
            </w:r>
            <w:proofErr w:type="spellEnd"/>
          </w:p>
        </w:tc>
        <w:tc>
          <w:tcPr>
            <w:tcW w:w="4394" w:type="dxa"/>
            <w:tcBorders>
              <w:top w:val="nil"/>
              <w:left w:val="nil"/>
              <w:bottom w:val="nil"/>
              <w:right w:val="nil"/>
            </w:tcBorders>
            <w:vAlign w:val="center"/>
            <w:hideMark/>
          </w:tcPr>
          <w:p w14:paraId="347487C7" w14:textId="77777777" w:rsidR="0099074B" w:rsidRPr="0099074B" w:rsidRDefault="0099074B" w:rsidP="0099074B">
            <w:pPr>
              <w:spacing w:line="259" w:lineRule="auto"/>
              <w:jc w:val="center"/>
              <w:rPr>
                <w:color w:val="1F4E9E"/>
                <w:sz w:val="22"/>
                <w:szCs w:val="22"/>
              </w:rPr>
            </w:pPr>
            <w:r w:rsidRPr="0099074B">
              <w:rPr>
                <w:color w:val="FF0000"/>
                <w:sz w:val="22"/>
                <w:szCs w:val="22"/>
              </w:rPr>
              <w:t>Time at which stimulus offset becomes internally available as a temporal reference</w:t>
            </w:r>
          </w:p>
        </w:tc>
        <w:tc>
          <w:tcPr>
            <w:tcW w:w="3685" w:type="dxa"/>
            <w:tcBorders>
              <w:top w:val="nil"/>
              <w:left w:val="nil"/>
              <w:bottom w:val="nil"/>
              <w:right w:val="nil"/>
            </w:tcBorders>
            <w:vAlign w:val="center"/>
            <w:hideMark/>
          </w:tcPr>
          <w:p w14:paraId="7589BD20" w14:textId="77777777" w:rsidR="0099074B" w:rsidRPr="0099074B" w:rsidRDefault="0099074B" w:rsidP="0099074B">
            <w:pPr>
              <w:spacing w:line="259" w:lineRule="auto"/>
              <w:jc w:val="right"/>
              <w:rPr>
                <w:color w:val="1F4E9E"/>
                <w:sz w:val="22"/>
                <w:szCs w:val="22"/>
                <w:lang w:val="fr-FR"/>
              </w:rPr>
            </w:pPr>
            <w:r w:rsidRPr="0099074B">
              <w:rPr>
                <w:i/>
                <w:iCs/>
                <w:color w:val="FF0000"/>
                <w:sz w:val="22"/>
                <w:szCs w:val="22"/>
                <w:lang w:val="fr-FR"/>
              </w:rPr>
              <w:t xml:space="preserve">D </w:t>
            </w:r>
            <w:r w:rsidRPr="0099074B">
              <w:rPr>
                <w:color w:val="FF0000"/>
                <w:sz w:val="22"/>
                <w:szCs w:val="22"/>
                <w:lang w:val="fr-FR"/>
              </w:rPr>
              <w:t xml:space="preserve">+ </w:t>
            </w:r>
            <w:proofErr w:type="spellStart"/>
            <w:r w:rsidRPr="0099074B">
              <w:rPr>
                <w:i/>
                <w:color w:val="FF0000"/>
                <w:sz w:val="22"/>
                <w:szCs w:val="22"/>
                <w:lang w:val="fr-FR"/>
              </w:rPr>
              <w:t>L</w:t>
            </w:r>
            <w:r w:rsidR="00FF40B9">
              <w:rPr>
                <w:color w:val="FF0000"/>
                <w:sz w:val="22"/>
                <w:szCs w:val="22"/>
                <w:vertAlign w:val="subscript"/>
                <w:lang w:val="fr-FR"/>
              </w:rPr>
              <w:t>motion</w:t>
            </w:r>
            <w:proofErr w:type="spellEnd"/>
          </w:p>
        </w:tc>
      </w:tr>
      <w:tr w:rsidR="0099074B" w:rsidRPr="0099074B" w14:paraId="0B686000" w14:textId="77777777" w:rsidTr="009D11F7">
        <w:tc>
          <w:tcPr>
            <w:tcW w:w="993" w:type="dxa"/>
            <w:tcBorders>
              <w:top w:val="nil"/>
              <w:left w:val="nil"/>
              <w:bottom w:val="nil"/>
              <w:right w:val="nil"/>
            </w:tcBorders>
            <w:vAlign w:val="center"/>
            <w:hideMark/>
          </w:tcPr>
          <w:p w14:paraId="0D8887D3"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L</w:t>
            </w:r>
            <w:r w:rsidRPr="0099074B">
              <w:rPr>
                <w:color w:val="FF0000"/>
                <w:sz w:val="22"/>
                <w:szCs w:val="22"/>
                <w:vertAlign w:val="subscript"/>
                <w:lang w:val="fr-FR"/>
              </w:rPr>
              <w:t>RS</w:t>
            </w:r>
          </w:p>
        </w:tc>
        <w:tc>
          <w:tcPr>
            <w:tcW w:w="4394" w:type="dxa"/>
            <w:tcBorders>
              <w:top w:val="nil"/>
              <w:left w:val="nil"/>
              <w:bottom w:val="nil"/>
              <w:right w:val="nil"/>
            </w:tcBorders>
            <w:vAlign w:val="center"/>
            <w:hideMark/>
          </w:tcPr>
          <w:p w14:paraId="49CF6F7C"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RS-</w:t>
            </w:r>
            <w:proofErr w:type="spellStart"/>
            <w:r w:rsidRPr="0099074B">
              <w:rPr>
                <w:color w:val="FF0000"/>
                <w:sz w:val="22"/>
                <w:szCs w:val="22"/>
                <w:lang w:val="fr-FR"/>
              </w:rPr>
              <w:t>evidence</w:t>
            </w:r>
            <w:proofErr w:type="spellEnd"/>
            <w:r w:rsidRPr="0099074B">
              <w:rPr>
                <w:color w:val="FF0000"/>
                <w:sz w:val="22"/>
                <w:szCs w:val="22"/>
                <w:lang w:val="fr-FR"/>
              </w:rPr>
              <w:t xml:space="preserve"> </w:t>
            </w:r>
            <w:proofErr w:type="spellStart"/>
            <w:r w:rsidRPr="0099074B">
              <w:rPr>
                <w:color w:val="FF0000"/>
                <w:sz w:val="22"/>
                <w:szCs w:val="22"/>
                <w:lang w:val="fr-FR"/>
              </w:rPr>
              <w:t>encoding</w:t>
            </w:r>
            <w:proofErr w:type="spellEnd"/>
            <w:r w:rsidRPr="0099074B">
              <w:rPr>
                <w:color w:val="FF0000"/>
                <w:sz w:val="22"/>
                <w:szCs w:val="22"/>
                <w:lang w:val="fr-FR"/>
              </w:rPr>
              <w:t xml:space="preserve"> </w:t>
            </w:r>
            <w:proofErr w:type="spellStart"/>
            <w:r w:rsidRPr="0099074B">
              <w:rPr>
                <w:color w:val="FF0000"/>
                <w:sz w:val="22"/>
                <w:szCs w:val="22"/>
                <w:lang w:val="fr-FR"/>
              </w:rPr>
              <w:t>latency</w:t>
            </w:r>
            <w:proofErr w:type="spellEnd"/>
          </w:p>
        </w:tc>
        <w:tc>
          <w:tcPr>
            <w:tcW w:w="3685" w:type="dxa"/>
            <w:tcBorders>
              <w:top w:val="nil"/>
              <w:left w:val="nil"/>
              <w:bottom w:val="nil"/>
              <w:right w:val="nil"/>
            </w:tcBorders>
            <w:vAlign w:val="center"/>
            <w:hideMark/>
          </w:tcPr>
          <w:p w14:paraId="35F4CCFA"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0.200 s</w:t>
            </w:r>
          </w:p>
        </w:tc>
      </w:tr>
      <w:tr w:rsidR="0099074B" w:rsidRPr="0099074B" w14:paraId="55BED662" w14:textId="77777777" w:rsidTr="009D11F7">
        <w:tc>
          <w:tcPr>
            <w:tcW w:w="993" w:type="dxa"/>
            <w:tcBorders>
              <w:top w:val="nil"/>
              <w:left w:val="nil"/>
              <w:bottom w:val="nil"/>
              <w:right w:val="nil"/>
            </w:tcBorders>
            <w:vAlign w:val="center"/>
            <w:hideMark/>
          </w:tcPr>
          <w:p w14:paraId="3E3796EC" w14:textId="77777777" w:rsidR="0099074B" w:rsidRPr="0099074B" w:rsidRDefault="0099074B" w:rsidP="0099074B">
            <w:pPr>
              <w:spacing w:line="259" w:lineRule="auto"/>
              <w:rPr>
                <w:color w:val="1F4E9E"/>
                <w:sz w:val="22"/>
                <w:szCs w:val="22"/>
                <w:lang w:val="fr-FR"/>
              </w:rPr>
            </w:pPr>
            <w:proofErr w:type="spellStart"/>
            <w:r w:rsidRPr="0099074B">
              <w:rPr>
                <w:i/>
                <w:iCs/>
                <w:color w:val="FF0000"/>
                <w:sz w:val="22"/>
                <w:szCs w:val="22"/>
                <w:lang w:val="fr-FR"/>
              </w:rPr>
              <w:t>t</w:t>
            </w:r>
            <w:r w:rsidRPr="0099074B">
              <w:rPr>
                <w:color w:val="FF0000"/>
                <w:sz w:val="22"/>
                <w:szCs w:val="22"/>
                <w:vertAlign w:val="subscript"/>
                <w:lang w:val="fr-FR"/>
              </w:rPr>
              <w:t>RS</w:t>
            </w:r>
            <w:proofErr w:type="spellEnd"/>
          </w:p>
        </w:tc>
        <w:tc>
          <w:tcPr>
            <w:tcW w:w="4394" w:type="dxa"/>
            <w:tcBorders>
              <w:top w:val="nil"/>
              <w:left w:val="nil"/>
              <w:bottom w:val="nil"/>
              <w:right w:val="nil"/>
            </w:tcBorders>
            <w:vAlign w:val="center"/>
            <w:hideMark/>
          </w:tcPr>
          <w:p w14:paraId="75A5BB0A" w14:textId="77777777" w:rsidR="0099074B" w:rsidRPr="0099074B" w:rsidRDefault="0099074B" w:rsidP="0099074B">
            <w:pPr>
              <w:spacing w:line="259" w:lineRule="auto"/>
              <w:jc w:val="center"/>
              <w:rPr>
                <w:color w:val="1F4E9E"/>
                <w:sz w:val="22"/>
                <w:szCs w:val="22"/>
              </w:rPr>
            </w:pPr>
            <w:r w:rsidRPr="0099074B">
              <w:rPr>
                <w:color w:val="FF0000"/>
                <w:sz w:val="22"/>
                <w:szCs w:val="22"/>
              </w:rPr>
              <w:t>Time at which RS evidence becomes available to the accumulation process</w:t>
            </w:r>
          </w:p>
        </w:tc>
        <w:tc>
          <w:tcPr>
            <w:tcW w:w="3685" w:type="dxa"/>
            <w:tcBorders>
              <w:top w:val="nil"/>
              <w:left w:val="nil"/>
              <w:bottom w:val="nil"/>
              <w:right w:val="nil"/>
            </w:tcBorders>
            <w:vAlign w:val="center"/>
            <w:hideMark/>
          </w:tcPr>
          <w:p w14:paraId="720570A1" w14:textId="77777777" w:rsidR="0099074B" w:rsidRPr="0099074B" w:rsidRDefault="0099074B" w:rsidP="0099074B">
            <w:pPr>
              <w:spacing w:line="259" w:lineRule="auto"/>
              <w:jc w:val="right"/>
              <w:rPr>
                <w:color w:val="1F4E9E"/>
                <w:sz w:val="22"/>
                <w:szCs w:val="22"/>
                <w:lang w:val="fr-FR"/>
              </w:rPr>
            </w:pPr>
            <w:r w:rsidRPr="0099074B">
              <w:rPr>
                <w:i/>
                <w:iCs/>
                <w:color w:val="FF0000"/>
                <w:sz w:val="22"/>
                <w:szCs w:val="22"/>
                <w:lang w:val="fr-FR"/>
              </w:rPr>
              <w:t>D</w:t>
            </w:r>
            <w:r w:rsidRPr="0099074B">
              <w:rPr>
                <w:color w:val="FF0000"/>
                <w:sz w:val="22"/>
                <w:szCs w:val="22"/>
                <w:lang w:val="fr-FR"/>
              </w:rPr>
              <w:t xml:space="preserve"> + 3 + </w:t>
            </w:r>
            <w:r w:rsidRPr="0099074B">
              <w:rPr>
                <w:i/>
                <w:iCs/>
                <w:color w:val="FF0000"/>
                <w:sz w:val="22"/>
                <w:szCs w:val="22"/>
                <w:lang w:val="fr-FR"/>
              </w:rPr>
              <w:t>L</w:t>
            </w:r>
            <w:r w:rsidRPr="0099074B">
              <w:rPr>
                <w:color w:val="FF0000"/>
                <w:sz w:val="22"/>
                <w:szCs w:val="22"/>
                <w:vertAlign w:val="subscript"/>
                <w:lang w:val="fr-FR"/>
              </w:rPr>
              <w:t>RS</w:t>
            </w:r>
          </w:p>
        </w:tc>
      </w:tr>
      <w:tr w:rsidR="0099074B" w:rsidRPr="0099074B" w14:paraId="68C02685" w14:textId="77777777" w:rsidTr="009D11F7">
        <w:tc>
          <w:tcPr>
            <w:tcW w:w="993" w:type="dxa"/>
            <w:tcBorders>
              <w:top w:val="nil"/>
              <w:left w:val="nil"/>
              <w:bottom w:val="nil"/>
              <w:right w:val="nil"/>
            </w:tcBorders>
            <w:vAlign w:val="center"/>
            <w:hideMark/>
          </w:tcPr>
          <w:p w14:paraId="15335E39"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β</w:t>
            </w:r>
          </w:p>
        </w:tc>
        <w:tc>
          <w:tcPr>
            <w:tcW w:w="4394" w:type="dxa"/>
            <w:tcBorders>
              <w:top w:val="nil"/>
              <w:left w:val="nil"/>
              <w:bottom w:val="nil"/>
              <w:right w:val="nil"/>
            </w:tcBorders>
            <w:vAlign w:val="center"/>
            <w:hideMark/>
          </w:tcPr>
          <w:p w14:paraId="6EB26468" w14:textId="77777777" w:rsidR="0099074B" w:rsidRPr="0099074B" w:rsidRDefault="0099074B" w:rsidP="0099074B">
            <w:pPr>
              <w:spacing w:line="259" w:lineRule="auto"/>
              <w:jc w:val="center"/>
              <w:rPr>
                <w:color w:val="1F4E9E"/>
                <w:sz w:val="22"/>
                <w:szCs w:val="22"/>
              </w:rPr>
            </w:pPr>
            <w:r w:rsidRPr="0099074B">
              <w:rPr>
                <w:color w:val="FF0000"/>
                <w:sz w:val="22"/>
                <w:szCs w:val="22"/>
              </w:rPr>
              <w:t>Maximum additive contribution of temporal preparation to the motor-preparatory signal reaching the downstream gate</w:t>
            </w:r>
          </w:p>
        </w:tc>
        <w:tc>
          <w:tcPr>
            <w:tcW w:w="3685" w:type="dxa"/>
            <w:tcBorders>
              <w:top w:val="nil"/>
              <w:left w:val="nil"/>
              <w:bottom w:val="nil"/>
              <w:right w:val="nil"/>
            </w:tcBorders>
            <w:vAlign w:val="center"/>
            <w:hideMark/>
          </w:tcPr>
          <w:p w14:paraId="4CC2D05C"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Model 1: 0; Model 2: 0.0015–0.100 (log-uniform)</w:t>
            </w:r>
          </w:p>
        </w:tc>
      </w:tr>
      <w:tr w:rsidR="0099074B" w:rsidRPr="0099074B" w14:paraId="64EF18AA" w14:textId="77777777" w:rsidTr="009D11F7">
        <w:tc>
          <w:tcPr>
            <w:tcW w:w="993" w:type="dxa"/>
            <w:tcBorders>
              <w:top w:val="nil"/>
              <w:left w:val="nil"/>
              <w:bottom w:val="nil"/>
              <w:right w:val="nil"/>
            </w:tcBorders>
            <w:vAlign w:val="center"/>
            <w:hideMark/>
          </w:tcPr>
          <w:p w14:paraId="2E92B900"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q(t)</w:t>
            </w:r>
          </w:p>
        </w:tc>
        <w:tc>
          <w:tcPr>
            <w:tcW w:w="4394" w:type="dxa"/>
            <w:tcBorders>
              <w:top w:val="nil"/>
              <w:left w:val="nil"/>
              <w:bottom w:val="nil"/>
              <w:right w:val="nil"/>
            </w:tcBorders>
            <w:vAlign w:val="center"/>
            <w:hideMark/>
          </w:tcPr>
          <w:p w14:paraId="4DCFF211" w14:textId="77777777" w:rsidR="0099074B" w:rsidRPr="0099074B" w:rsidRDefault="0099074B" w:rsidP="0099074B">
            <w:pPr>
              <w:spacing w:line="259" w:lineRule="auto"/>
              <w:jc w:val="center"/>
              <w:rPr>
                <w:color w:val="1F4E9E"/>
                <w:sz w:val="22"/>
                <w:szCs w:val="22"/>
              </w:rPr>
            </w:pPr>
            <w:r w:rsidRPr="0099074B">
              <w:rPr>
                <w:color w:val="FF0000"/>
                <w:sz w:val="22"/>
                <w:szCs w:val="22"/>
              </w:rPr>
              <w:t>Accumulated evidence that the RS is present</w:t>
            </w:r>
          </w:p>
        </w:tc>
        <w:tc>
          <w:tcPr>
            <w:tcW w:w="3685" w:type="dxa"/>
            <w:tcBorders>
              <w:top w:val="nil"/>
              <w:left w:val="nil"/>
              <w:bottom w:val="nil"/>
              <w:right w:val="nil"/>
            </w:tcBorders>
            <w:vAlign w:val="center"/>
            <w:hideMark/>
          </w:tcPr>
          <w:p w14:paraId="3D865170" w14:textId="77777777" w:rsidR="0099074B" w:rsidRPr="0099074B" w:rsidRDefault="00FF40B9" w:rsidP="0099074B">
            <w:pPr>
              <w:spacing w:line="259" w:lineRule="auto"/>
              <w:jc w:val="right"/>
              <w:rPr>
                <w:color w:val="1F4E9E"/>
                <w:sz w:val="22"/>
                <w:szCs w:val="22"/>
                <w:lang w:val="fr-FR"/>
              </w:rPr>
            </w:pPr>
            <w:proofErr w:type="spellStart"/>
            <w:r>
              <w:rPr>
                <w:color w:val="FF0000"/>
                <w:sz w:val="22"/>
                <w:szCs w:val="22"/>
                <w:lang w:val="fr-FR"/>
              </w:rPr>
              <w:t>See</w:t>
            </w:r>
            <w:proofErr w:type="spellEnd"/>
            <w:r>
              <w:rPr>
                <w:color w:val="FF0000"/>
                <w:sz w:val="22"/>
                <w:szCs w:val="22"/>
                <w:lang w:val="fr-FR"/>
              </w:rPr>
              <w:t xml:space="preserve"> Eq. (8</w:t>
            </w:r>
            <w:r w:rsidR="0099074B" w:rsidRPr="0099074B">
              <w:rPr>
                <w:color w:val="FF0000"/>
                <w:sz w:val="22"/>
                <w:szCs w:val="22"/>
                <w:lang w:val="fr-FR"/>
              </w:rPr>
              <w:t>)</w:t>
            </w:r>
          </w:p>
        </w:tc>
      </w:tr>
      <w:tr w:rsidR="0099074B" w:rsidRPr="0099074B" w14:paraId="3BC5EFEE" w14:textId="77777777" w:rsidTr="009D11F7">
        <w:tc>
          <w:tcPr>
            <w:tcW w:w="993" w:type="dxa"/>
            <w:tcBorders>
              <w:top w:val="nil"/>
              <w:left w:val="nil"/>
              <w:bottom w:val="nil"/>
              <w:right w:val="nil"/>
            </w:tcBorders>
            <w:vAlign w:val="center"/>
            <w:hideMark/>
          </w:tcPr>
          <w:p w14:paraId="43922FF0" w14:textId="77777777" w:rsidR="0099074B" w:rsidRPr="0099074B" w:rsidRDefault="0099074B" w:rsidP="0099074B">
            <w:pPr>
              <w:spacing w:line="259" w:lineRule="auto"/>
              <w:rPr>
                <w:color w:val="1F4E9E"/>
                <w:sz w:val="22"/>
                <w:szCs w:val="22"/>
                <w:lang w:val="fr-FR"/>
              </w:rPr>
            </w:pPr>
            <w:proofErr w:type="spellStart"/>
            <w:r w:rsidRPr="0099074B">
              <w:rPr>
                <w:i/>
                <w:iCs/>
                <w:color w:val="FF0000"/>
                <w:sz w:val="22"/>
                <w:szCs w:val="22"/>
                <w:lang w:val="fr-FR"/>
              </w:rPr>
              <w:t>μ</w:t>
            </w:r>
            <w:r w:rsidRPr="0099074B">
              <w:rPr>
                <w:color w:val="FF0000"/>
                <w:sz w:val="22"/>
                <w:szCs w:val="22"/>
                <w:vertAlign w:val="subscript"/>
                <w:lang w:val="fr-FR"/>
              </w:rPr>
              <w:t>RS</w:t>
            </w:r>
            <w:proofErr w:type="spellEnd"/>
          </w:p>
        </w:tc>
        <w:tc>
          <w:tcPr>
            <w:tcW w:w="4394" w:type="dxa"/>
            <w:tcBorders>
              <w:top w:val="nil"/>
              <w:left w:val="nil"/>
              <w:bottom w:val="nil"/>
              <w:right w:val="nil"/>
            </w:tcBorders>
            <w:vAlign w:val="center"/>
            <w:hideMark/>
          </w:tcPr>
          <w:p w14:paraId="5A45DF88" w14:textId="77777777" w:rsidR="0099074B" w:rsidRPr="0099074B" w:rsidRDefault="0099074B" w:rsidP="0099074B">
            <w:pPr>
              <w:spacing w:line="259" w:lineRule="auto"/>
              <w:jc w:val="center"/>
              <w:rPr>
                <w:color w:val="1F4E9E"/>
                <w:sz w:val="22"/>
                <w:szCs w:val="22"/>
              </w:rPr>
            </w:pPr>
            <w:r w:rsidRPr="0099074B">
              <w:rPr>
                <w:color w:val="FF0000"/>
                <w:sz w:val="22"/>
                <w:szCs w:val="22"/>
              </w:rPr>
              <w:t>Mean rate of RS-evidence accumulation</w:t>
            </w:r>
          </w:p>
        </w:tc>
        <w:tc>
          <w:tcPr>
            <w:tcW w:w="3685" w:type="dxa"/>
            <w:tcBorders>
              <w:top w:val="nil"/>
              <w:left w:val="nil"/>
              <w:bottom w:val="nil"/>
              <w:right w:val="nil"/>
            </w:tcBorders>
            <w:vAlign w:val="center"/>
            <w:hideMark/>
          </w:tcPr>
          <w:p w14:paraId="459D39F9"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0.30–1.50</w:t>
            </w:r>
          </w:p>
        </w:tc>
      </w:tr>
      <w:tr w:rsidR="0099074B" w:rsidRPr="0099074B" w14:paraId="78B1F3A9" w14:textId="77777777" w:rsidTr="009D11F7">
        <w:tc>
          <w:tcPr>
            <w:tcW w:w="993" w:type="dxa"/>
            <w:tcBorders>
              <w:top w:val="nil"/>
              <w:left w:val="nil"/>
              <w:bottom w:val="single" w:sz="4" w:space="0" w:color="auto"/>
              <w:right w:val="nil"/>
            </w:tcBorders>
            <w:vAlign w:val="center"/>
            <w:hideMark/>
          </w:tcPr>
          <w:p w14:paraId="33925B92" w14:textId="77777777" w:rsidR="0099074B" w:rsidRPr="0099074B" w:rsidRDefault="0099074B" w:rsidP="0099074B">
            <w:pPr>
              <w:spacing w:line="259" w:lineRule="auto"/>
              <w:rPr>
                <w:color w:val="1F4E9E"/>
                <w:sz w:val="22"/>
                <w:szCs w:val="22"/>
                <w:lang w:val="fr-FR"/>
              </w:rPr>
            </w:pPr>
            <w:proofErr w:type="spellStart"/>
            <w:r w:rsidRPr="0099074B">
              <w:rPr>
                <w:i/>
                <w:iCs/>
                <w:color w:val="FF0000"/>
                <w:sz w:val="22"/>
                <w:szCs w:val="22"/>
                <w:lang w:val="fr-FR"/>
              </w:rPr>
              <w:t>σ</w:t>
            </w:r>
            <w:r w:rsidRPr="0099074B">
              <w:rPr>
                <w:i/>
                <w:color w:val="FF0000"/>
                <w:sz w:val="22"/>
                <w:szCs w:val="22"/>
                <w:vertAlign w:val="subscript"/>
                <w:lang w:val="fr-FR"/>
              </w:rPr>
              <w:t>q</w:t>
            </w:r>
            <w:proofErr w:type="spellEnd"/>
          </w:p>
        </w:tc>
        <w:tc>
          <w:tcPr>
            <w:tcW w:w="4394" w:type="dxa"/>
            <w:tcBorders>
              <w:top w:val="nil"/>
              <w:left w:val="nil"/>
              <w:bottom w:val="single" w:sz="4" w:space="0" w:color="auto"/>
              <w:right w:val="nil"/>
            </w:tcBorders>
            <w:vAlign w:val="center"/>
            <w:hideMark/>
          </w:tcPr>
          <w:p w14:paraId="10CFCF47"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Diffusion coefficient of RS-</w:t>
            </w:r>
            <w:proofErr w:type="spellStart"/>
            <w:r w:rsidRPr="0099074B">
              <w:rPr>
                <w:color w:val="FF0000"/>
                <w:sz w:val="22"/>
                <w:szCs w:val="22"/>
                <w:lang w:val="fr-FR"/>
              </w:rPr>
              <w:t>evidence</w:t>
            </w:r>
            <w:proofErr w:type="spellEnd"/>
            <w:r w:rsidRPr="0099074B">
              <w:rPr>
                <w:color w:val="FF0000"/>
                <w:sz w:val="22"/>
                <w:szCs w:val="22"/>
                <w:lang w:val="fr-FR"/>
              </w:rPr>
              <w:t xml:space="preserve"> accumulation</w:t>
            </w:r>
          </w:p>
        </w:tc>
        <w:tc>
          <w:tcPr>
            <w:tcW w:w="3685" w:type="dxa"/>
            <w:tcBorders>
              <w:top w:val="nil"/>
              <w:left w:val="nil"/>
              <w:bottom w:val="single" w:sz="4" w:space="0" w:color="auto"/>
              <w:right w:val="nil"/>
            </w:tcBorders>
            <w:vAlign w:val="center"/>
            <w:hideMark/>
          </w:tcPr>
          <w:p w14:paraId="0F4F851A"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0.03–0.30 (log-uniform)</w:t>
            </w:r>
          </w:p>
        </w:tc>
      </w:tr>
    </w:tbl>
    <w:p w14:paraId="5DDD8398" w14:textId="77777777" w:rsidR="0099074B" w:rsidRPr="00FF40B9" w:rsidRDefault="0099074B" w:rsidP="0099074B">
      <w:pPr>
        <w:spacing w:line="259" w:lineRule="auto"/>
        <w:rPr>
          <w:color w:val="1F4E9E"/>
          <w:sz w:val="22"/>
          <w:szCs w:val="22"/>
        </w:rPr>
      </w:pPr>
      <w:r>
        <w:rPr>
          <w:color w:val="1F4E9E"/>
        </w:rPr>
        <w:t xml:space="preserve">Note. </w:t>
      </w:r>
      <w:r>
        <w:rPr>
          <w:color w:val="1F4E9E"/>
        </w:rPr>
        <w:t xml:space="preserve">The values and ranges in this table come from the design of the experiment, from published estimates, or from the structure of the model itself; </w:t>
      </w:r>
      <w:r>
        <w:rPr>
          <w:color w:val="1F4E9E"/>
        </w:rPr>
        <w:t>none is derived from these data, since a range drawn around a value estimated from the data cannot test whether a prediction survives away from that value.</w:t>
      </w:r>
      <w:r>
        <w:rPr>
          <w:color w:val="1F4E9E"/>
        </w:rPr>
      </w:r>
      <w:r>
        <w:rPr>
          <w:color w:val="1F4E9E"/>
        </w:rPr>
        <w:t xml:space="preserve"> σx is not an empirical quantity at all: the model is exactly invariant under a joint rescaling of every amplitude it contains (k, σx, θ, g, r, SDε, μRS, σq and β), so one of them must be fixed to set the units, and the remaining amplitudes are in effect expressed in units of σx. k and λ were estimated by Dendauw et al. (2024) in an immediate-report task; because constants inherited from immediate report are not guaranteed to transfer to delayed report, both were sampled over roughly a factor of two either side of those estimates </w:t>
      </w:r>
      <w:r>
        <w:rPr>
          <w:color w:val="1F4E9E"/>
        </w:rPr>
        <w:t>rather than fixed at them — as was the response criterion r, for the same reason. The residual motor latency Lmotor is the one exception: it is fixed at Dendauw et al.’s 0.093 s, on the ground that a peripheral electromechanical delay between muscle activation and the overt response has better reason to transfer between tasks than a decision-related constant does.</w:t>
      </w:r>
      <w:r>
        <w:rPr>
          <w:color w:val="1F4E9E"/>
        </w:rPr>
        <w:t xml:space="preserve"> The upper end of λ follows from reading 1/λ as the time constant of the filter relating decision-related input to motor preparation: the sampled range corresponds to time constants between 100 and 20 ms, whereas </w:t>
      </w:r>
      <m:oMath>
        <m:r>
          <w:rPr>
            <w:rFonts w:ascii="Cambria Math" w:hAnsi="Cambria Math"/>
          </w:rPr>
          <m:t xml:space="preserve">λ</m:t>
        </m:r>
        <m:r>
          <m:rPr>
            <m:nor/>
          </m:rPr>
          <w:rPr>
            <w:rFonts w:ascii="Cambria Math" w:hAnsi="Cambria Math"/>
          </w:rPr>
          <m:t xml:space="preserve">=</m:t>
        </m:r>
        <m:r>
          <m:rPr>
            <m:nor/>
          </m:rPr>
          <w:rPr>
            <w:rFonts w:ascii="Cambria Math" w:hAnsi="Cambria Math"/>
          </w:rPr>
          <m:t xml:space="preserve">100</m:t>
        </m:r>
        <m:r>
          <m:rPr>
            <m:nor/>
          </m:rPr>
          <w:rPr>
            <w:rFonts w:ascii="Cambria Math" w:hAnsi="Cambria Math"/>
          </w:rPr>
          <m:t xml:space="preserve"> </m:t>
        </m:r>
        <m:sSup>
          <m:sSupPr>
            <m:ctrlPr/>
          </m:sSupPr>
          <m:e>
            <m:r>
              <m:rPr>
                <m:nor/>
              </m:rPr>
              <w:rPr>
                <w:rFonts w:ascii="Cambria Math" w:hAnsi="Cambria Math"/>
              </w:rPr>
              <m:t xml:space="preserve">s</m:t>
            </m:r>
          </m:e>
          <m:sup>
            <m:r>
              <m:rPr>
                <m:nor/>
              </m:rPr>
              <w:rPr>
                <w:rFonts w:ascii="Cambria Math" w:hAnsi="Cambria Math"/>
              </w:rPr>
              <m:t xml:space="preserve">-</m:t>
            </m:r>
            <m:r>
              <m:rPr>
                <m:nor/>
              </m:rPr>
              <w:rPr>
                <w:rFonts w:ascii="Cambria Math" w:hAnsi="Cambria Math"/>
              </w:rPr>
              <m:t xml:space="preserve">1</m:t>
            </m:r>
          </m:sup>
        </m:sSup>
      </m:oMath>
      <w:r>
        <w:rPr>
          <w:color w:val="1F4E9E"/>
        </w:rPr>
        <w:t xml:space="preserve"> would imply 10 ms, faster than plausible neuromuscular filtering. That bound also bears on the ceiling argument of Results (Delay-locked), which weakens as λ grows, and is stated here so that it is visible as a modeling commitment rather than a convenience. </w:t>
      </w:r>
      <w:r>
        <w:rPr>
          <w:color w:val="1F4E9E"/>
        </w:rPr>
      </w:r>
      <w:r>
        <w:rPr>
          <w:color w:val="1F4E9E"/>
        </w:rPr>
        <w:t xml:space="preserve">σq was likewise sampled rather than fixed, over a factor of three either side of parity with σx, on the structural analogy between the two accumulators; it is weakly identified by behavior, so fixing it would amount to an unexamined assumption. κ is not constrained by any prior study in this paradigm and was sampled over more than two orders of magnitude, from a maintenance fluctuation whose correlation time exceeds the entire delay </w:t>
      </w:r>
      <m:oMath>
        <m:d>
          <m:dPr>
            <m:begChr m:val="("/>
            <m:endChr m:val=")"/>
            <m:ctrlPr/>
          </m:dPr>
          <m:e>
            <m:r>
              <m:rPr>
                <m:nor/>
              </m:rPr>
              <w:rPr>
                <w:rFonts w:ascii="Cambria Math" w:hAnsi="Cambria Math"/>
              </w:rPr>
              <m:t xml:space="preserve">1</m:t>
            </m:r>
            <m:r>
              <m:rPr>
                <m:nor/>
              </m:rPr>
              <w:rPr>
                <w:rFonts w:ascii="Cambria Math" w:hAnsi="Cambria Math"/>
              </w:rPr>
              <m:t xml:space="preserve">/</m:t>
            </m:r>
            <m:r>
              <w:rPr>
                <w:rFonts w:ascii="Cambria Math" w:hAnsi="Cambria Math"/>
              </w:rPr>
              <m:t xml:space="preserve">κ</m:t>
            </m:r>
            <m:r>
              <m:rPr>
                <m:nor/>
              </m:rPr>
              <w:rPr>
                <w:rFonts w:ascii="Cambria Math" w:hAnsi="Cambria Math"/>
              </w:rPr>
              <m:t xml:space="preserve">=</m:t>
            </m:r>
            <m:r>
              <m:rPr>
                <m:nor/>
              </m:rPr>
              <w:rPr>
                <w:rFonts w:ascii="Cambria Math" w:hAnsi="Cambria Math"/>
              </w:rPr>
              <m:t xml:space="preserve">5</m:t>
            </m:r>
            <m:r>
              <m:rPr>
                <m:nor/>
              </m:rPr>
              <w:rPr>
                <w:rFonts w:ascii="Cambria Math" w:hAnsi="Cambria Math"/>
              </w:rPr>
              <m:t xml:space="preserve"> </m:t>
            </m:r>
            <m:r>
              <m:rPr>
                <m:nor/>
              </m:rPr>
              <w:rPr>
                <w:rFonts w:ascii="Cambria Math" w:hAnsi="Cambria Math"/>
              </w:rPr>
              <m:t xml:space="preserve">s</m:t>
            </m:r>
          </m:e>
        </m:d>
      </m:oMath>
      <w:r>
        <w:rPr>
          <w:color w:val="1F4E9E"/>
        </w:rPr>
        <w:t xml:space="preserve"> to one that decorrelates within a single analysis bin (33 ms); the range is deliberately generous, and generous in the direction that favors Model 1, whose only route to a delay-period rate still rising at the end of the delay is a small κ. The motion- and RS-evidence encoding latencies Lmotion and LRS were both fixed at 0.200 s as a simplifying choice for the simulations. The </w:t>
      </w:r>
      <m:oMath>
        <m:r>
          <w:rPr>
            <w:rFonts w:ascii="Cambria Math" w:hAnsi="Cambria Math"/>
          </w:rPr>
          <m:t xml:space="preserve">θ</m:t>
        </m:r>
        <m:r>
          <m:rPr>
            <m:nor/>
          </m:rPr>
          <w:rPr>
            <w:rFonts w:ascii="Cambria Math" w:hAnsi="Cambria Math"/>
          </w:rPr>
          <m:t xml:space="preserve">/</m:t>
        </m:r>
        <m:r>
          <w:rPr>
            <w:rFonts w:ascii="Cambria Math" w:hAnsi="Cambria Math"/>
          </w:rPr>
          <m:t xml:space="preserve">g</m:t>
        </m:r>
      </m:oMath>
      <w:r>
        <w:rPr>
          <w:color w:val="1F4E9E"/>
        </w:rPr>
        <w:t xml:space="preserve">, rather than θ itself, was sampled to ensure </w:t>
      </w:r>
      <m:oMath>
        <m:r>
          <w:rPr>
            <w:rFonts w:ascii="Cambria Math" w:hAnsi="Cambria Math"/>
          </w:rPr>
          <m:t xml:space="preserve">θ</m:t>
        </m:r>
        <m:r>
          <m:rPr>
            <m:nor/>
          </m:rPr>
          <w:rPr>
            <w:rFonts w:ascii="Cambria Math" w:hAnsi="Cambria Math"/>
          </w:rPr>
          <m:t xml:space="preserve">&lt;</m:t>
        </m:r>
        <m:r>
          <w:rPr>
            <w:rFonts w:ascii="Cambria Math" w:hAnsi="Cambria Math"/>
          </w:rPr>
          <m:t xml:space="preserve">g</m:t>
        </m:r>
      </m:oMath>
      <w:r>
        <w:rPr>
          <w:color w:val="1F4E9E"/>
        </w:rPr>
        <w:t xml:space="preserve">, which the architecture requires. </w:t>
      </w:r>
      <w:r>
        <w:rPr>
          <w:color w:val="1F4E9E"/>
        </w:rPr>
        <w:t>For the maintenance-noise process, the stationary standard deviation SDε is sampled rather than σε, so that fluctuation amplitude varies independently of κ; it is sampled directly rather than through any quantity derived from it, so that the sampling law over the space is the one the table states.</w:t>
      </w:r>
      <w:r>
        <w:rPr>
          <w:color w:val="1F4E9E"/>
        </w:rPr>
        <w:t xml:space="preserve"> The remaining ranges — g, θ/g, SDε, β and μRS — are deliberately wider than the region the task-admissibility screen accepts, so that what constrains the space evaluated is that screen, whose criteria are taken from the design of the experiment, rather than the choice of endpoints. RS: response signal.</w:t>
      </w:r>
      <w:r>
        <w:rPr>
          <w:i/>
          <w:color w:val="1F4E9E"/>
        </w:rPr>
      </w:r>
      <w:r>
        <w:rPr>
          <w:color w:val="1F4E9E"/>
        </w:rPr>
      </w:r>
      <w:r>
        <w:rPr>
          <w:i/>
          <w:color w:val="1F4E9E"/>
        </w:rPr>
      </w:r>
      <w:r>
        <w:rPr>
          <w:color w:val="1F4E9E"/>
        </w:rPr>
      </w:r>
      <w:r>
        <w:rPr>
          <w:i/>
          <w:color w:val="1F4E9E"/>
        </w:rPr>
      </w:r>
      <w:r>
        <w:rPr>
          <w:color w:val="1F4E9E"/>
        </w:rPr>
      </w:r>
      <w:r>
        <w:rPr>
          <w:i/>
          <w:color w:val="1F4E9E"/>
        </w:rPr>
      </w:r>
      <w:r>
        <w:rPr>
          <w:color w:val="1F4E9E"/>
          <w:vertAlign w:val="subscript"/>
        </w:rPr>
      </w:r>
      <w:r>
        <w:rPr>
          <w:color w:val="1F4E9E"/>
        </w:rPr>
      </w:r>
      <w:r>
        <w:rPr>
          <w:i/>
          <w:color w:val="1F4E9E"/>
        </w:rPr>
      </w:r>
      <w:r>
        <w:rPr>
          <w:color w:val="1F4E9E"/>
        </w:rPr>
      </w:r>
      <w:r>
        <w:rPr>
          <w:i/>
          <w:color w:val="1F4E9E"/>
        </w:rPr>
      </w:r>
      <w:r>
        <w:rPr>
          <w:color w:val="1F4E9E"/>
        </w:rPr>
      </w:r>
      <w:r>
        <w:rPr>
          <w:i/>
          <w:color w:val="1F4E9E"/>
        </w:rPr>
      </w:r>
      <w:r>
        <w:rPr>
          <w:color w:val="1F4E9E"/>
        </w:rPr>
      </w:r>
      <w:r>
        <w:rPr>
          <w:i/>
          <w:color w:val="1F4E9E"/>
        </w:rPr>
      </w:r>
      <w:r>
        <w:rPr>
          <w:color w:val="1F4E9E"/>
        </w:rPr>
      </w:r>
      <w:r>
        <w:rPr>
          <w:i/>
          <w:color w:val="1F4E9E"/>
        </w:rPr>
      </w:r>
      <w:r>
        <w:rPr>
          <w:color w:val="1F4E9E"/>
        </w:rPr>
      </w:r>
      <w:r>
        <w:rPr>
          <w:i/>
          <w:color w:val="1F4E9E"/>
        </w:rPr>
      </w:r>
      <w:r>
        <w:rPr>
          <w:color w:val="1F4E9E"/>
          <w:vertAlign w:val="subscript"/>
        </w:rPr>
      </w:r>
      <w:r>
        <w:rPr>
          <w:color w:val="1F4E9E"/>
        </w:rPr>
      </w:r>
      <w:r>
        <w:rPr>
          <w:i/>
          <w:color w:val="1F4E9E"/>
        </w:rPr>
      </w:r>
      <w:r>
        <w:rPr>
          <w:color w:val="1F4E9E"/>
          <w:vertAlign w:val="subscript"/>
        </w:rPr>
      </w:r>
      <w:r>
        <w:rPr>
          <w:color w:val="1F4E9E"/>
        </w:rPr>
      </w:r>
      <w:r>
        <w:rPr>
          <w:i/>
          <w:color w:val="1F4E9E"/>
        </w:rPr>
      </w:r>
      <w:r>
        <w:rPr>
          <w:color w:val="1F4E9E"/>
          <w:vertAlign w:val="subscript"/>
        </w:rPr>
      </w:r>
      <w:r>
        <w:rPr>
          <w:color w:val="1F4E9E"/>
        </w:rPr>
      </w:r>
      <w:r>
        <w:rPr>
          <w:i/>
          <w:color w:val="1F4E9E"/>
        </w:rPr>
      </w:r>
      <w:r>
        <w:rPr>
          <w:color w:val="1F4E9E"/>
        </w:rPr>
      </w:r>
      <w:r>
        <w:rPr>
          <w:i/>
          <w:color w:val="1F4E9E"/>
        </w:rPr>
      </w:r>
      <w:r>
        <w:rPr>
          <w:color w:val="1F4E9E"/>
        </w:rPr>
      </w:r>
      <w:r>
        <w:rPr>
          <w:i/>
          <w:color w:val="1F4E9E"/>
        </w:rPr>
      </w:r>
      <w:r>
        <w:rPr>
          <w:color w:val="1F4E9E"/>
        </w:rPr>
      </w:r>
      <w:r>
        <w:rPr>
          <w:i/>
          <w:color w:val="1F4E9E"/>
        </w:rPr>
      </w:r>
      <w:r>
        <w:rPr>
          <w:color w:val="1F4E9E"/>
        </w:rPr>
      </w:r>
      <w:r>
        <w:rPr>
          <w:i/>
          <w:color w:val="1F4E9E"/>
        </w:rPr>
      </w:r>
      <w:r>
        <w:rPr>
          <w:color w:val="1F4E9E"/>
        </w:rPr>
      </w:r>
      <w:r>
        <w:rPr>
          <w:i/>
          <w:color w:val="1F4E9E"/>
          <w:vertAlign w:val="subscript"/>
        </w:rPr>
      </w:r>
      <w:r>
        <w:rPr>
          <w:color w:val="1F4E9E"/>
        </w:rPr>
      </w:r>
      <w:r>
        <w:rPr>
          <w:i/>
          <w:color w:val="1F4E9E"/>
        </w:rPr>
      </w:r>
      <w:r>
        <w:rPr>
          <w:i/>
          <w:color w:val="1F4E9E"/>
          <w:vertAlign w:val="subscript"/>
        </w:rPr>
      </w:r>
      <w:r>
        <w:rPr>
          <w:color w:val="1F4E9E"/>
        </w:rPr>
      </w:r>
      <w:r>
        <w:rPr>
          <w:i/>
          <w:color w:val="1F4E9E"/>
        </w:rPr>
      </w:r>
      <w:r>
        <w:rPr>
          <w:color w:val="1F4E9E"/>
        </w:rPr>
      </w:r>
    </w:p>
    <w:p w14:paraId="73212C5D" w14:textId="77777777" w:rsidR="00205CBC" w:rsidRDefault="00000000">
      <w:r>
        <w:rPr>
          <w:color w:val="1F4E9E"/>
          <w:i/>
          <w:b/>
        </w:rPr>
        <w:t xml:space="preserve">The maintained fluctuation</w:t>
      </w:r>
    </w:p>
    <w:p w14:paraId="73212C5D" w14:textId="77777777" w:rsidR="00205CBC" w:rsidRDefault="00000000">
      <w:r>
        <w:rPr>
          <w:color w:val="1F4E9E"/>
        </w:rPr>
        <w:t xml:space="preserve">Solving the two equations of (11) in sequence gives</w:t>
      </w:r>
    </w:p>
    <w:p w14:paraId="73212C5D" w14:textId="77777777" w:rsidR="00205CBC" w:rsidRDefault="00000000">
      <m:oMathPara>
        <m:oMath>
          <m:eqArr>
            <m:eqArrPr>
              <m:maxDist m:val="1"/>
              <m:ctrlPr/>
            </m:eqArrPr>
            <m:e>
              <m:r>
                <w:rPr>
                  <w:rFonts w:ascii="Cambria Math" w:hAnsi="Cambria Math"/>
                  <w:color w:val="1F4E9E"/>
                </w:rPr>
                <m:t xml:space="preserve">ε</m:t>
              </m:r>
              <m:d>
                <m:dPr>
                  <m:begChr m:val="("/>
                  <m:endChr m:val=")"/>
                  <m:ctrlPr/>
                </m:dPr>
                <m:e>
                  <m:sSub>
                    <m:sSubPr>
                      <m:ctrlPr/>
                    </m:sSubPr>
                    <m:e>
                      <m:r>
                        <w:rPr>
                          <w:rFonts w:ascii="Cambria Math" w:hAnsi="Cambria Math"/>
                          <w:color w:val="1F4E9E"/>
                        </w:rPr>
                        <m:t xml:space="preserve">τ</m:t>
                      </m:r>
                    </m:e>
                    <m:sub>
                      <m:r>
                        <m:rPr>
                          <m:nor/>
                        </m:rPr>
                        <w:rPr>
                          <w:rFonts w:ascii="Cambria Math" w:hAnsi="Cambria Math"/>
                          <w:color w:val="1F4E9E"/>
                        </w:rPr>
                        <m:t xml:space="preserve">0</m:t>
                      </m:r>
                    </m:sub>
                  </m:sSub>
                  <m:r>
                    <m:rPr>
                      <m:nor/>
                    </m:rPr>
                    <w:rPr>
                      <w:rFonts w:ascii="Cambria Math" w:hAnsi="Cambria Math"/>
                      <w:color w:val="1F4E9E"/>
                    </w:rPr>
                    <m:t xml:space="preserve">+</m:t>
                  </m:r>
                  <m:r>
                    <w:rPr>
                      <w:rFonts w:ascii="Cambria Math" w:hAnsi="Cambria Math"/>
                      <w:color w:val="1F4E9E"/>
                    </w:rPr>
                    <m:t xml:space="preserve">ρ</m:t>
                  </m:r>
                </m:e>
              </m:d>
              <m:r>
                <m:rPr>
                  <m:nor/>
                </m:rPr>
                <w:rPr>
                  <w:rFonts w:ascii="Cambria Math" w:hAnsi="Cambria Math"/>
                  <w:color w:val="1F4E9E"/>
                </w:rPr>
                <m:t xml:space="preserve">=</m:t>
              </m:r>
              <m:sSub>
                <m:sSubPr>
                  <m:ctrlPr/>
                </m:sSubPr>
                <m:e>
                  <m:r>
                    <w:rPr>
                      <w:rFonts w:ascii="Cambria Math" w:hAnsi="Cambria Math"/>
                      <w:color w:val="1F4E9E"/>
                    </w:rPr>
                    <m:t xml:space="preserve">σ</m:t>
                  </m:r>
                </m:e>
                <m:sub>
                  <m:r>
                    <w:rPr>
                      <w:rFonts w:ascii="Cambria Math" w:hAnsi="Cambria Math"/>
                      <w:color w:val="1F4E9E"/>
                    </w:rPr>
                    <m:t xml:space="preserve">ε</m:t>
                  </m:r>
                </m:sub>
              </m:sSub>
              <m:nary>
                <m:naryPr>
                  <m:chr m:val="∫"/>
                  <m:limLoc m:val="subSup"/>
                  <m:subHide m:val="0"/>
                  <m:supHide m:val="0"/>
                  <m:ctrlPr/>
                </m:naryPr>
                <m:sub>
                  <m:r>
                    <m:rPr>
                      <m:nor/>
                    </m:rPr>
                    <w:rPr>
                      <w:rFonts w:ascii="Cambria Math" w:hAnsi="Cambria Math"/>
                      <w:color w:val="1F4E9E"/>
                    </w:rPr>
                    <m:t xml:space="preserve">0</m:t>
                  </m:r>
                </m:sub>
                <m:sup>
                  <m:r>
                    <w:rPr>
                      <w:rFonts w:ascii="Cambria Math" w:hAnsi="Cambria Math"/>
                      <w:color w:val="1F4E9E"/>
                    </w:rPr>
                    <m:t xml:space="preserve">ρ</m:t>
                  </m:r>
                </m:sup>
                <m:e>
                  <m:sSup>
                    <m:sSupPr>
                      <m:ctrlPr/>
                    </m:sSupPr>
                    <m:e>
                      <m:r>
                        <w:rPr>
                          <w:rFonts w:ascii="Cambria Math" w:hAnsi="Cambria Math"/>
                          <w:color w:val="1F4E9E"/>
                        </w:rPr>
                        <m:t xml:space="preserve">e</m:t>
                      </m:r>
                    </m:e>
                    <m:sup>
                      <m:r>
                        <m:rPr>
                          <m:nor/>
                        </m:rPr>
                        <w:rPr>
                          <w:rFonts w:ascii="Cambria Math" w:hAnsi="Cambria Math"/>
                          <w:color w:val="1F4E9E"/>
                        </w:rPr>
                        <m:t xml:space="preserve">-</m:t>
                      </m:r>
                      <m:r>
                        <w:rPr>
                          <w:rFonts w:ascii="Cambria Math" w:hAnsi="Cambria Math"/>
                          <w:color w:val="1F4E9E"/>
                        </w:rPr>
                        <m:t xml:space="preserve">κ</m:t>
                      </m:r>
                      <m:d>
                        <m:dPr>
                          <m:begChr m:val="("/>
                          <m:endChr m:val=")"/>
                          <m:ctrlPr/>
                        </m:dPr>
                        <m:e>
                          <m:r>
                            <w:rPr>
                              <w:rFonts w:ascii="Cambria Math" w:hAnsi="Cambria Math"/>
                              <w:color w:val="1F4E9E"/>
                            </w:rPr>
                            <m:t xml:space="preserve">ρ</m:t>
                          </m:r>
                          <m:r>
                            <m:rPr>
                              <m:nor/>
                            </m:rPr>
                            <w:rPr>
                              <w:rFonts w:ascii="Cambria Math" w:hAnsi="Cambria Math"/>
                              <w:color w:val="1F4E9E"/>
                            </w:rPr>
                            <m:t xml:space="preserve">-</m:t>
                          </m:r>
                          <m:r>
                            <w:rPr>
                              <w:rFonts w:ascii="Cambria Math" w:hAnsi="Cambria Math"/>
                              <w:color w:val="1F4E9E"/>
                            </w:rPr>
                            <m:t xml:space="preserve">p</m:t>
                          </m:r>
                        </m:e>
                      </m:d>
                    </m:sup>
                  </m:sSup>
                  <m:r>
                    <m:rPr>
                      <m:nor/>
                    </m:rPr>
                    <w:rPr>
                      <w:rFonts w:ascii="Cambria Math" w:hAnsi="Cambria Math"/>
                      <w:color w:val="1F4E9E"/>
                    </w:rPr>
                    <m:t xml:space="preserve"> </m:t>
                  </m:r>
                  <m:r>
                    <m:rPr>
                      <m:nor/>
                    </m:rPr>
                    <w:rPr>
                      <w:rFonts w:ascii="Cambria Math" w:hAnsi="Cambria Math"/>
                      <w:color w:val="1F4E9E"/>
                    </w:rPr>
                    <m:t xml:space="preserve">d</m:t>
                  </m:r>
                  <m:sSub>
                    <m:sSubPr>
                      <m:ctrlPr/>
                    </m:sSubPr>
                    <m:e>
                      <m:r>
                        <w:rPr>
                          <w:rFonts w:ascii="Cambria Math" w:hAnsi="Cambria Math"/>
                          <w:color w:val="1F4E9E"/>
                        </w:rPr>
                        <m:t xml:space="preserve">W</m:t>
                      </m:r>
                    </m:e>
                    <m:sub>
                      <m:r>
                        <w:rPr>
                          <w:rFonts w:ascii="Cambria Math" w:hAnsi="Cambria Math"/>
                          <w:color w:val="1F4E9E"/>
                        </w:rPr>
                        <m:t xml:space="preserve">ε</m:t>
                      </m:r>
                    </m:sub>
                  </m:sSub>
                  <m:d>
                    <m:dPr>
                      <m:begChr m:val="("/>
                      <m:endChr m:val=")"/>
                      <m:ctrlPr/>
                    </m:dPr>
                    <m:e>
                      <m:r>
                        <w:rPr>
                          <w:rFonts w:ascii="Cambria Math" w:hAnsi="Cambria Math"/>
                          <w:color w:val="1F4E9E"/>
                        </w:rPr>
                        <m:t xml:space="preserve">p</m:t>
                      </m:r>
                    </m:e>
                  </m:d>
                </m:e>
              </m:nary>
              <m:r>
                <m:rPr>
                  <m:nor/>
                </m:rPr>
                <w:rPr>
                  <w:rFonts w:ascii="Cambria Math" w:hAnsi="Cambria Math"/>
                  <w:color w:val="1F4E9E"/>
                </w:rPr>
                <m:t xml:space="preserve">,</m:t>
              </m:r>
              <m:r>
                <m:rPr>
                  <m:nor/>
                </m:rPr>
                <w:rPr>
                  <w:rFonts w:ascii="Cambria Math" w:hAnsi="Cambria Math"/>
                  <w:color w:val="1F4E9E"/>
                </w:rPr>
                <m:t xml:space="preserve"> </m:t>
              </m:r>
              <m:r>
                <w:rPr>
                  <w:rFonts w:ascii="Cambria Math" w:hAnsi="Cambria Math"/>
                  <w:color w:val="1F4E9E"/>
                </w:rPr>
                <m:t xml:space="preserve">H</m:t>
              </m:r>
              <m:d>
                <m:dPr>
                  <m:begChr m:val="("/>
                  <m:endChr m:val=")"/>
                  <m:ctrlPr/>
                </m:dPr>
                <m:e>
                  <m:sSub>
                    <m:sSubPr>
                      <m:ctrlPr/>
                    </m:sSubPr>
                    <m:e>
                      <m:r>
                        <w:rPr>
                          <w:rFonts w:ascii="Cambria Math" w:hAnsi="Cambria Math"/>
                          <w:color w:val="1F4E9E"/>
                        </w:rPr>
                        <m:t xml:space="preserve">τ</m:t>
                      </m:r>
                    </m:e>
                    <m:sub>
                      <m:r>
                        <m:rPr>
                          <m:nor/>
                        </m:rPr>
                        <w:rPr>
                          <w:rFonts w:ascii="Cambria Math" w:hAnsi="Cambria Math"/>
                          <w:color w:val="1F4E9E"/>
                        </w:rPr>
                        <m:t xml:space="preserve">0</m:t>
                      </m:r>
                    </m:sub>
                  </m:sSub>
                  <m:r>
                    <m:rPr>
                      <m:nor/>
                    </m:rPr>
                    <w:rPr>
                      <w:rFonts w:ascii="Cambria Math" w:hAnsi="Cambria Math"/>
                      <w:color w:val="1F4E9E"/>
                    </w:rPr>
                    <m:t xml:space="preserve">+</m:t>
                  </m:r>
                  <m:r>
                    <w:rPr>
                      <w:rFonts w:ascii="Cambria Math" w:hAnsi="Cambria Math"/>
                      <w:color w:val="1F4E9E"/>
                    </w:rPr>
                    <m:t xml:space="preserve">ρ</m:t>
                  </m:r>
                </m:e>
              </m:d>
              <m:r>
                <m:rPr>
                  <m:nor/>
                </m:rPr>
                <w:rPr>
                  <w:rFonts w:ascii="Cambria Math" w:hAnsi="Cambria Math"/>
                  <w:color w:val="1F4E9E"/>
                </w:rPr>
                <m:t xml:space="preserve">=</m:t>
              </m:r>
              <m:r>
                <w:rPr>
                  <w:rFonts w:ascii="Cambria Math" w:hAnsi="Cambria Math"/>
                  <w:color w:val="1F4E9E"/>
                </w:rPr>
                <m:t xml:space="preserve">λ</m:t>
              </m:r>
              <m:nary>
                <m:naryPr>
                  <m:chr m:val="∫"/>
                  <m:limLoc m:val="subSup"/>
                  <m:subHide m:val="0"/>
                  <m:supHide m:val="0"/>
                  <m:ctrlPr/>
                </m:naryPr>
                <m:sub>
                  <m:r>
                    <m:rPr>
                      <m:nor/>
                    </m:rPr>
                    <w:rPr>
                      <w:rFonts w:ascii="Cambria Math" w:hAnsi="Cambria Math"/>
                      <w:color w:val="1F4E9E"/>
                    </w:rPr>
                    <m:t xml:space="preserve">0</m:t>
                  </m:r>
                </m:sub>
                <m:sup>
                  <m:r>
                    <w:rPr>
                      <w:rFonts w:ascii="Cambria Math" w:hAnsi="Cambria Math"/>
                      <w:color w:val="1F4E9E"/>
                    </w:rPr>
                    <m:t xml:space="preserve">ρ</m:t>
                  </m:r>
                </m:sup>
                <m:e>
                  <m:sSup>
                    <m:sSupPr>
                      <m:ctrlPr/>
                    </m:sSupPr>
                    <m:e>
                      <m:r>
                        <w:rPr>
                          <w:rFonts w:ascii="Cambria Math" w:hAnsi="Cambria Math"/>
                          <w:color w:val="1F4E9E"/>
                        </w:rPr>
                        <m:t xml:space="preserve">e</m:t>
                      </m:r>
                    </m:e>
                    <m:sup>
                      <m:r>
                        <m:rPr>
                          <m:nor/>
                        </m:rPr>
                        <w:rPr>
                          <w:rFonts w:ascii="Cambria Math" w:hAnsi="Cambria Math"/>
                          <w:color w:val="1F4E9E"/>
                        </w:rPr>
                        <m:t xml:space="preserve">-</m:t>
                      </m:r>
                      <m:r>
                        <w:rPr>
                          <w:rFonts w:ascii="Cambria Math" w:hAnsi="Cambria Math"/>
                          <w:color w:val="1F4E9E"/>
                        </w:rPr>
                        <m:t xml:space="preserve">λ</m:t>
                      </m:r>
                      <m:d>
                        <m:dPr>
                          <m:begChr m:val="("/>
                          <m:endChr m:val=")"/>
                          <m:ctrlPr/>
                        </m:dPr>
                        <m:e>
                          <m:r>
                            <w:rPr>
                              <w:rFonts w:ascii="Cambria Math" w:hAnsi="Cambria Math"/>
                              <w:color w:val="1F4E9E"/>
                            </w:rPr>
                            <m:t xml:space="preserve">ρ</m:t>
                          </m:r>
                          <m:r>
                            <m:rPr>
                              <m:nor/>
                            </m:rPr>
                            <w:rPr>
                              <w:rFonts w:ascii="Cambria Math" w:hAnsi="Cambria Math"/>
                              <w:color w:val="1F4E9E"/>
                            </w:rPr>
                            <m:t xml:space="preserve">-</m:t>
                          </m:r>
                          <m:r>
                            <w:rPr>
                              <w:rFonts w:ascii="Cambria Math" w:hAnsi="Cambria Math"/>
                              <w:color w:val="1F4E9E"/>
                            </w:rPr>
                            <m:t xml:space="preserve">q</m:t>
                          </m:r>
                        </m:e>
                      </m:d>
                    </m:sup>
                  </m:sSup>
                  <m:r>
                    <w:rPr>
                      <w:rFonts w:ascii="Cambria Math" w:hAnsi="Cambria Math"/>
                      <w:color w:val="1F4E9E"/>
                    </w:rPr>
                    <m:t xml:space="preserve">ε</m:t>
                  </m:r>
                  <m:d>
                    <m:dPr>
                      <m:begChr m:val="("/>
                      <m:endChr m:val=")"/>
                      <m:ctrlPr/>
                    </m:dPr>
                    <m:e>
                      <m:sSub>
                        <m:sSubPr>
                          <m:ctrlPr/>
                        </m:sSubPr>
                        <m:e>
                          <m:r>
                            <w:rPr>
                              <w:rFonts w:ascii="Cambria Math" w:hAnsi="Cambria Math"/>
                              <w:color w:val="1F4E9E"/>
                            </w:rPr>
                            <m:t xml:space="preserve">τ</m:t>
                          </m:r>
                        </m:e>
                        <m:sub>
                          <m:r>
                            <m:rPr>
                              <m:nor/>
                            </m:rPr>
                            <w:rPr>
                              <w:rFonts w:ascii="Cambria Math" w:hAnsi="Cambria Math"/>
                              <w:color w:val="1F4E9E"/>
                            </w:rPr>
                            <m:t xml:space="preserve">0</m:t>
                          </m:r>
                        </m:sub>
                      </m:sSub>
                      <m:r>
                        <m:rPr>
                          <m:nor/>
                        </m:rPr>
                        <w:rPr>
                          <w:rFonts w:ascii="Cambria Math" w:hAnsi="Cambria Math"/>
                          <w:color w:val="1F4E9E"/>
                        </w:rPr>
                        <m:t xml:space="preserve">+</m:t>
                      </m:r>
                      <m:r>
                        <w:rPr>
                          <w:rFonts w:ascii="Cambria Math" w:hAnsi="Cambria Math"/>
                          <w:color w:val="1F4E9E"/>
                        </w:rPr>
                        <m:t xml:space="preserve">q</m:t>
                      </m:r>
                    </m:e>
                  </m:d>
                  <m:r>
                    <m:rPr>
                      <m:nor/>
                    </m:rPr>
                    <w:rPr>
                      <w:rFonts w:ascii="Cambria Math" w:hAnsi="Cambria Math"/>
                      <w:color w:val="1F4E9E"/>
                    </w:rPr>
                    <m:t xml:space="preserve"> </m:t>
                  </m:r>
                  <m:r>
                    <m:rPr>
                      <m:nor/>
                    </m:rPr>
                    <w:rPr>
                      <w:rFonts w:ascii="Cambria Math" w:hAnsi="Cambria Math"/>
                      <w:color w:val="1F4E9E"/>
                    </w:rPr>
                    <m:t xml:space="preserve">d</m:t>
                  </m:r>
                  <m:r>
                    <w:rPr>
                      <w:rFonts w:ascii="Cambria Math" w:hAnsi="Cambria Math"/>
                      <w:color w:val="1F4E9E"/>
                    </w:rPr>
                    <m:t xml:space="preserve">q</m:t>
                  </m:r>
                </m:e>
              </m:nary>
              <m:r>
                <w:rPr>
                  <w:rFonts w:ascii="Cambria Math" w:hAnsi="Cambria Math"/>
                  <w:color w:val="1F4E9E"/>
                </w:rPr>
                <m:t xml:space="preserve">#</m:t>
              </m:r>
              <m:d>
                <m:dPr>
                  <m:begChr m:val="("/>
                  <m:endChr m:val=")"/>
                  <m:ctrlPr/>
                </m:dPr>
                <m:e>
                  <m:r>
                    <m:rPr>
                      <m:nor/>
                    </m:rPr>
                    <w:rPr>
                      <w:rFonts w:ascii="Cambria Math" w:hAnsi="Cambria Math"/>
                      <w:color w:val="1F4E9E"/>
                    </w:rPr>
                    <m:t xml:space="preserve">1</m:t>
                  </m:r>
                  <m:r>
                    <m:rPr>
                      <m:nor/>
                    </m:rPr>
                    <w:rPr>
                      <w:rFonts w:ascii="Cambria Math" w:hAnsi="Cambria Math"/>
                      <w:color w:val="1F4E9E"/>
                    </w:rPr>
                    <m:t xml:space="preserve">3</m:t>
                  </m:r>
                </m:e>
              </m:d>
            </m:e>
          </m:eqArr>
        </m:oMath>
      </m:oMathPara>
    </w:p>
    <w:p w14:paraId="73212C5D" w14:textId="77777777" w:rsidR="00205CBC" w:rsidRDefault="00000000">
      <w:r>
        <w:rPr>
          <w:color w:val="1F4E9E"/>
        </w:rPr>
        <w:t xml:space="preserve">The Ornstein–Uhlenbeck process admits a continuous modification, and </w:t>
      </w:r>
      <m:oMath>
        <m:r>
          <w:rPr>
            <w:rFonts w:ascii="Cambria Math" w:hAnsi="Cambria Math"/>
            <w:color w:val="1F4E9E"/>
          </w:rPr>
          <m:t xml:space="preserve">H</m:t>
        </m:r>
      </m:oMath>
      <w:r>
        <w:rPr>
          <w:color w:val="1F4E9E"/>
        </w:rPr>
        <w:t xml:space="preserve"> is then a Riemann integral of a continuous function, so almost surely </w:t>
      </w:r>
      <m:oMath>
        <m:r>
          <w:rPr>
            <w:rFonts w:ascii="Cambria Math" w:hAnsi="Cambria Math"/>
            <w:color w:val="1F4E9E"/>
          </w:rPr>
          <m:t xml:space="preserve">H</m:t>
        </m:r>
      </m:oMath>
      <w:r>
        <w:rPr>
          <w:color w:val="1F4E9E"/>
        </w:rPr>
        <w:t xml:space="preserve"> is continuously differentiable — which is what the crossing formula below requires and what an unfiltered diffusion would not provide. Substituting the first equation of (13) into the second and exchanging the order of integration — permissible because the integrand is bounded on the compact </w:t>
      </w:r>
      <m:oMath>
        <m:r>
          <m:rPr>
            <m:nor/>
          </m:rPr>
          <w:rPr>
            <w:rFonts w:ascii="Cambria Math" w:hAnsi="Cambria Math"/>
            <w:color w:val="1F4E9E"/>
          </w:rPr>
          <m:t xml:space="preserve">{</m:t>
        </m:r>
        <m:r>
          <m:rPr>
            <m:nor/>
          </m:rPr>
          <w:rPr>
            <w:rFonts w:ascii="Cambria Math" w:hAnsi="Cambria Math"/>
            <w:color w:val="1F4E9E"/>
          </w:rPr>
          <m:t xml:space="preserve">0</m:t>
        </m:r>
        <m:r>
          <m:rPr>
            <m:nor/>
          </m:rPr>
          <w:rPr>
            <w:rFonts w:ascii="Cambria Math" w:hAnsi="Cambria Math"/>
            <w:color w:val="1F4E9E"/>
          </w:rPr>
          <m:t xml:space="preserve">≤</m:t>
        </m:r>
        <m:r>
          <w:rPr>
            <w:rFonts w:ascii="Cambria Math" w:hAnsi="Cambria Math"/>
            <w:color w:val="1F4E9E"/>
          </w:rPr>
          <m:t xml:space="preserve">p</m:t>
        </m:r>
        <m:r>
          <m:rPr>
            <m:nor/>
          </m:rPr>
          <w:rPr>
            <w:rFonts w:ascii="Cambria Math" w:hAnsi="Cambria Math"/>
            <w:color w:val="1F4E9E"/>
          </w:rPr>
          <m:t xml:space="preserve">≤</m:t>
        </m:r>
        <m:r>
          <w:rPr>
            <w:rFonts w:ascii="Cambria Math" w:hAnsi="Cambria Math"/>
            <w:color w:val="1F4E9E"/>
          </w:rPr>
          <m:t xml:space="preserve">q</m:t>
        </m:r>
        <m:r>
          <m:rPr>
            <m:nor/>
          </m:rPr>
          <w:rPr>
            <w:rFonts w:ascii="Cambria Math" w:hAnsi="Cambria Math"/>
            <w:color w:val="1F4E9E"/>
          </w:rPr>
          <m:t xml:space="preserve">≤</m:t>
        </m:r>
        <m:r>
          <w:rPr>
            <w:rFonts w:ascii="Cambria Math" w:hAnsi="Cambria Math"/>
            <w:color w:val="1F4E9E"/>
          </w:rPr>
          <m:t xml:space="preserve">ρ</m:t>
        </m:r>
        <m:r>
          <m:rPr>
            <m:nor/>
          </m:rPr>
          <w:rPr>
            <w:rFonts w:ascii="Cambria Math" w:hAnsi="Cambria Math"/>
            <w:color w:val="1F4E9E"/>
          </w:rPr>
          <m:t xml:space="preserve">}</m:t>
        </m:r>
      </m:oMath>
      <w:r>
        <w:rPr>
          <w:color w:val="1F4E9E"/>
        </w:rPr>
        <w:t xml:space="preserve"> — leaves the inner integral </w:t>
      </w:r>
      <m:oMath>
        <m:nary>
          <m:naryPr>
            <m:chr m:val="∫"/>
            <m:limLoc m:val="subSup"/>
            <m:subHide m:val="0"/>
            <m:supHide m:val="0"/>
            <m:ctrlPr/>
          </m:naryPr>
          <m:sub>
            <m:r>
              <w:rPr>
                <w:rFonts w:ascii="Cambria Math" w:hAnsi="Cambria Math"/>
                <w:color w:val="1F4E9E"/>
              </w:rPr>
              <m:t xml:space="preserve">p</m:t>
            </m:r>
          </m:sub>
          <m:sup>
            <m:r>
              <w:rPr>
                <w:rFonts w:ascii="Cambria Math" w:hAnsi="Cambria Math"/>
                <w:color w:val="1F4E9E"/>
              </w:rPr>
              <m:t xml:space="preserve">ρ</m:t>
            </m:r>
          </m:sup>
          <m:e>
            <m:r>
              <w:rPr>
                <w:rFonts w:ascii="Cambria Math" w:hAnsi="Cambria Math"/>
                <w:color w:val="1F4E9E"/>
              </w:rPr>
              <m:t xml:space="preserve">λ</m:t>
            </m:r>
            <m:sSup>
              <m:sSupPr>
                <m:ctrlPr/>
              </m:sSupPr>
              <m:e>
                <m:r>
                  <w:rPr>
                    <w:rFonts w:ascii="Cambria Math" w:hAnsi="Cambria Math"/>
                    <w:color w:val="1F4E9E"/>
                  </w:rPr>
                  <m:t xml:space="preserve">e</m:t>
                </m:r>
              </m:e>
              <m:sup>
                <m:r>
                  <m:rPr>
                    <m:nor/>
                  </m:rPr>
                  <w:rPr>
                    <w:rFonts w:ascii="Cambria Math" w:hAnsi="Cambria Math"/>
                    <w:color w:val="1F4E9E"/>
                  </w:rPr>
                  <m:t xml:space="preserve">-</m:t>
                </m:r>
                <m:r>
                  <w:rPr>
                    <w:rFonts w:ascii="Cambria Math" w:hAnsi="Cambria Math"/>
                    <w:color w:val="1F4E9E"/>
                  </w:rPr>
                  <m:t xml:space="preserve">λ</m:t>
                </m:r>
                <m:d>
                  <m:dPr>
                    <m:begChr m:val="("/>
                    <m:endChr m:val=")"/>
                    <m:ctrlPr/>
                  </m:dPr>
                  <m:e>
                    <m:r>
                      <w:rPr>
                        <w:rFonts w:ascii="Cambria Math" w:hAnsi="Cambria Math"/>
                        <w:color w:val="1F4E9E"/>
                      </w:rPr>
                      <m:t xml:space="preserve">ρ</m:t>
                    </m:r>
                    <m:r>
                      <m:rPr>
                        <m:nor/>
                      </m:rPr>
                      <w:rPr>
                        <w:rFonts w:ascii="Cambria Math" w:hAnsi="Cambria Math"/>
                        <w:color w:val="1F4E9E"/>
                      </w:rPr>
                      <m:t xml:space="preserve">-</m:t>
                    </m:r>
                    <m:r>
                      <w:rPr>
                        <w:rFonts w:ascii="Cambria Math" w:hAnsi="Cambria Math"/>
                        <w:color w:val="1F4E9E"/>
                      </w:rPr>
                      <m:t xml:space="preserve">q</m:t>
                    </m:r>
                  </m:e>
                </m:d>
              </m:sup>
            </m:sSup>
            <m:sSup>
              <m:sSupPr>
                <m:ctrlPr/>
              </m:sSupPr>
              <m:e>
                <m:r>
                  <w:rPr>
                    <w:rFonts w:ascii="Cambria Math" w:hAnsi="Cambria Math"/>
                    <w:color w:val="1F4E9E"/>
                  </w:rPr>
                  <m:t xml:space="preserve">e</m:t>
                </m:r>
              </m:e>
              <m:sup>
                <m:r>
                  <m:rPr>
                    <m:nor/>
                  </m:rPr>
                  <w:rPr>
                    <w:rFonts w:ascii="Cambria Math" w:hAnsi="Cambria Math"/>
                    <w:color w:val="1F4E9E"/>
                  </w:rPr>
                  <m:t xml:space="preserve">-</m:t>
                </m:r>
                <m:r>
                  <w:rPr>
                    <w:rFonts w:ascii="Cambria Math" w:hAnsi="Cambria Math"/>
                    <w:color w:val="1F4E9E"/>
                  </w:rPr>
                  <m:t xml:space="preserve">κ</m:t>
                </m:r>
                <m:d>
                  <m:dPr>
                    <m:begChr m:val="("/>
                    <m:endChr m:val=")"/>
                    <m:ctrlPr/>
                  </m:dPr>
                  <m:e>
                    <m:r>
                      <w:rPr>
                        <w:rFonts w:ascii="Cambria Math" w:hAnsi="Cambria Math"/>
                        <w:color w:val="1F4E9E"/>
                      </w:rPr>
                      <m:t xml:space="preserve">q</m:t>
                    </m:r>
                    <m:r>
                      <m:rPr>
                        <m:nor/>
                      </m:rPr>
                      <w:rPr>
                        <w:rFonts w:ascii="Cambria Math" w:hAnsi="Cambria Math"/>
                        <w:color w:val="1F4E9E"/>
                      </w:rPr>
                      <m:t xml:space="preserve">-</m:t>
                    </m:r>
                    <m:r>
                      <w:rPr>
                        <w:rFonts w:ascii="Cambria Math" w:hAnsi="Cambria Math"/>
                        <w:color w:val="1F4E9E"/>
                      </w:rPr>
                      <m:t xml:space="preserve">p</m:t>
                    </m:r>
                  </m:e>
                </m:d>
              </m:sup>
            </m:sSup>
            <m:r>
              <m:rPr>
                <m:nor/>
              </m:rPr>
              <w:rPr>
                <w:rFonts w:ascii="Cambria Math" w:hAnsi="Cambria Math"/>
                <w:color w:val="1F4E9E"/>
              </w:rPr>
              <m:t xml:space="preserve"> </m:t>
            </m:r>
            <m:r>
              <m:rPr>
                <m:nor/>
              </m:rPr>
              <w:rPr>
                <w:rFonts w:ascii="Cambria Math" w:hAnsi="Cambria Math"/>
                <w:color w:val="1F4E9E"/>
              </w:rPr>
              <m:t xml:space="preserve">d</m:t>
            </m:r>
            <m:r>
              <w:rPr>
                <w:rFonts w:ascii="Cambria Math" w:hAnsi="Cambria Math"/>
                <w:color w:val="1F4E9E"/>
              </w:rPr>
              <m:t xml:space="preserve">q</m:t>
            </m:r>
          </m:e>
        </m:nary>
      </m:oMath>
      <w:r>
        <w:rPr>
          <w:color w:val="1F4E9E"/>
        </w:rPr>
        <w:t xml:space="preserve">. Hence </w:t>
      </w:r>
      <m:oMath>
        <m:r>
          <w:rPr>
            <w:rFonts w:ascii="Cambria Math" w:hAnsi="Cambria Math"/>
            <w:color w:val="1F4E9E"/>
          </w:rPr>
          <m:t xml:space="preserve">H</m:t>
        </m:r>
      </m:oMath>
      <w:r>
        <w:rPr>
          <w:color w:val="1F4E9E"/>
        </w:rPr>
        <w:t xml:space="preserve"> is a Wiener integral against the impulse response of the two filters in series,</w:t>
      </w:r>
    </w:p>
    <w:p w14:paraId="73212C5D" w14:textId="77777777" w:rsidR="00205CBC" w:rsidRDefault="00000000">
      <m:oMathPara>
        <m:oMath>
          <m:eqArr>
            <m:eqArrPr>
              <m:maxDist m:val="1"/>
              <m:ctrlPr/>
            </m:eqArrPr>
            <m:e>
              <m:r>
                <w:rPr>
                  <w:rFonts w:ascii="Cambria Math" w:hAnsi="Cambria Math"/>
                  <w:color w:val="1F4E9E"/>
                </w:rPr>
                <m:t xml:space="preserve">H</m:t>
              </m:r>
              <m:d>
                <m:dPr>
                  <m:begChr m:val="("/>
                  <m:endChr m:val=")"/>
                  <m:ctrlPr/>
                </m:dPr>
                <m:e>
                  <m:sSub>
                    <m:sSubPr>
                      <m:ctrlPr/>
                    </m:sSubPr>
                    <m:e>
                      <m:r>
                        <w:rPr>
                          <w:rFonts w:ascii="Cambria Math" w:hAnsi="Cambria Math"/>
                          <w:color w:val="1F4E9E"/>
                        </w:rPr>
                        <m:t xml:space="preserve">τ</m:t>
                      </m:r>
                    </m:e>
                    <m:sub>
                      <m:r>
                        <m:rPr>
                          <m:nor/>
                        </m:rPr>
                        <w:rPr>
                          <w:rFonts w:ascii="Cambria Math" w:hAnsi="Cambria Math"/>
                          <w:color w:val="1F4E9E"/>
                        </w:rPr>
                        <m:t xml:space="preserve">0</m:t>
                      </m:r>
                    </m:sub>
                  </m:sSub>
                  <m:r>
                    <m:rPr>
                      <m:nor/>
                    </m:rPr>
                    <w:rPr>
                      <w:rFonts w:ascii="Cambria Math" w:hAnsi="Cambria Math"/>
                      <w:color w:val="1F4E9E"/>
                    </w:rPr>
                    <m:t xml:space="preserve">+</m:t>
                  </m:r>
                  <m:r>
                    <w:rPr>
                      <w:rFonts w:ascii="Cambria Math" w:hAnsi="Cambria Math"/>
                      <w:color w:val="1F4E9E"/>
                    </w:rPr>
                    <m:t xml:space="preserve">ρ</m:t>
                  </m:r>
                </m:e>
              </m:d>
              <m:r>
                <m:rPr>
                  <m:nor/>
                </m:rPr>
                <w:rPr>
                  <w:rFonts w:ascii="Cambria Math" w:hAnsi="Cambria Math"/>
                  <w:color w:val="1F4E9E"/>
                </w:rPr>
                <m:t xml:space="preserve">=</m:t>
              </m:r>
              <m:nary>
                <m:naryPr>
                  <m:chr m:val="∫"/>
                  <m:limLoc m:val="subSup"/>
                  <m:subHide m:val="0"/>
                  <m:supHide m:val="0"/>
                  <m:ctrlPr/>
                </m:naryPr>
                <m:sub>
                  <m:r>
                    <m:rPr>
                      <m:nor/>
                    </m:rPr>
                    <w:rPr>
                      <w:rFonts w:ascii="Cambria Math" w:hAnsi="Cambria Math"/>
                      <w:color w:val="1F4E9E"/>
                    </w:rPr>
                    <m:t xml:space="preserve">0</m:t>
                  </m:r>
                </m:sub>
                <m:sup>
                  <m:r>
                    <w:rPr>
                      <w:rFonts w:ascii="Cambria Math" w:hAnsi="Cambria Math"/>
                      <w:color w:val="1F4E9E"/>
                    </w:rPr>
                    <m:t xml:space="preserve">ρ</m:t>
                  </m:r>
                </m:sup>
                <m:e>
                  <m:r>
                    <w:rPr>
                      <w:rFonts w:ascii="Cambria Math" w:hAnsi="Cambria Math"/>
                      <w:color w:val="1F4E9E"/>
                    </w:rPr>
                    <m:t xml:space="preserve">K</m:t>
                  </m:r>
                  <m:d>
                    <m:dPr>
                      <m:begChr m:val="("/>
                      <m:endChr m:val=")"/>
                      <m:ctrlPr/>
                    </m:dPr>
                    <m:e>
                      <m:r>
                        <w:rPr>
                          <w:rFonts w:ascii="Cambria Math" w:hAnsi="Cambria Math"/>
                          <w:color w:val="1F4E9E"/>
                        </w:rPr>
                        <m:t xml:space="preserve">ρ</m:t>
                      </m:r>
                      <m:r>
                        <m:rPr>
                          <m:nor/>
                        </m:rPr>
                        <w:rPr>
                          <w:rFonts w:ascii="Cambria Math" w:hAnsi="Cambria Math"/>
                          <w:color w:val="1F4E9E"/>
                        </w:rPr>
                        <m:t xml:space="preserve">-</m:t>
                      </m:r>
                      <m:r>
                        <w:rPr>
                          <w:rFonts w:ascii="Cambria Math" w:hAnsi="Cambria Math"/>
                          <w:color w:val="1F4E9E"/>
                        </w:rPr>
                        <m:t xml:space="preserve">p</m:t>
                      </m:r>
                    </m:e>
                  </m:d>
                  <m:r>
                    <m:rPr>
                      <m:nor/>
                    </m:rPr>
                    <w:rPr>
                      <w:rFonts w:ascii="Cambria Math" w:hAnsi="Cambria Math"/>
                      <w:color w:val="1F4E9E"/>
                    </w:rPr>
                    <m:t xml:space="preserve"> </m:t>
                  </m:r>
                  <m:r>
                    <m:rPr>
                      <m:nor/>
                    </m:rPr>
                    <w:rPr>
                      <w:rFonts w:ascii="Cambria Math" w:hAnsi="Cambria Math"/>
                      <w:color w:val="1F4E9E"/>
                    </w:rPr>
                    <m:t xml:space="preserve">d</m:t>
                  </m:r>
                  <m:sSub>
                    <m:sSubPr>
                      <m:ctrlPr/>
                    </m:sSubPr>
                    <m:e>
                      <m:r>
                        <w:rPr>
                          <w:rFonts w:ascii="Cambria Math" w:hAnsi="Cambria Math"/>
                          <w:color w:val="1F4E9E"/>
                        </w:rPr>
                        <m:t xml:space="preserve">W</m:t>
                      </m:r>
                    </m:e>
                    <m:sub>
                      <m:r>
                        <w:rPr>
                          <w:rFonts w:ascii="Cambria Math" w:hAnsi="Cambria Math"/>
                          <w:color w:val="1F4E9E"/>
                        </w:rPr>
                        <m:t xml:space="preserve">ε</m:t>
                      </m:r>
                    </m:sub>
                  </m:sSub>
                  <m:d>
                    <m:dPr>
                      <m:begChr m:val="("/>
                      <m:endChr m:val=")"/>
                      <m:ctrlPr/>
                    </m:dPr>
                    <m:e>
                      <m:r>
                        <w:rPr>
                          <w:rFonts w:ascii="Cambria Math" w:hAnsi="Cambria Math"/>
                          <w:color w:val="1F4E9E"/>
                        </w:rPr>
                        <m:t xml:space="preserve">p</m:t>
                      </m:r>
                    </m:e>
                  </m:d>
                </m:e>
              </m:nary>
              <m:r>
                <m:rPr>
                  <m:nor/>
                </m:rPr>
                <w:rPr>
                  <w:rFonts w:ascii="Cambria Math" w:hAnsi="Cambria Math"/>
                  <w:color w:val="1F4E9E"/>
                </w:rPr>
                <m:t xml:space="preserve">,</m:t>
              </m:r>
              <m:r>
                <m:rPr>
                  <m:nor/>
                </m:rPr>
                <w:rPr>
                  <w:rFonts w:ascii="Cambria Math" w:hAnsi="Cambria Math"/>
                  <w:color w:val="1F4E9E"/>
                </w:rPr>
                <m:t xml:space="preserve"> </m:t>
              </m:r>
              <m:r>
                <w:rPr>
                  <w:rFonts w:ascii="Cambria Math" w:hAnsi="Cambria Math"/>
                  <w:color w:val="1F4E9E"/>
                </w:rPr>
                <m:t xml:space="preserve">K</m:t>
              </m:r>
              <m:d>
                <m:dPr>
                  <m:begChr m:val="("/>
                  <m:endChr m:val=")"/>
                  <m:ctrlPr/>
                </m:dPr>
                <m:e>
                  <m:r>
                    <w:rPr>
                      <w:rFonts w:ascii="Cambria Math" w:hAnsi="Cambria Math"/>
                      <w:color w:val="1F4E9E"/>
                    </w:rPr>
                    <m:t xml:space="preserve">v</m:t>
                  </m:r>
                </m:e>
              </m:d>
              <m:r>
                <m:rPr>
                  <m:nor/>
                </m:rPr>
                <w:rPr>
                  <w:rFonts w:ascii="Cambria Math" w:hAnsi="Cambria Math"/>
                  <w:color w:val="1F4E9E"/>
                </w:rPr>
                <m:t xml:space="preserve">=</m:t>
              </m:r>
              <m:f>
                <m:fPr>
                  <m:ctrlPr/>
                </m:fPr>
                <m:num>
                  <m:r>
                    <w:rPr>
                      <w:rFonts w:ascii="Cambria Math" w:hAnsi="Cambria Math"/>
                      <w:color w:val="1F4E9E"/>
                    </w:rPr>
                    <m:t xml:space="preserve">λ</m:t>
                  </m:r>
                  <m:sSub>
                    <m:sSubPr>
                      <m:ctrlPr/>
                    </m:sSubPr>
                    <m:e>
                      <m:r>
                        <w:rPr>
                          <w:rFonts w:ascii="Cambria Math" w:hAnsi="Cambria Math"/>
                          <w:color w:val="1F4E9E"/>
                        </w:rPr>
                        <m:t xml:space="preserve">σ</m:t>
                      </m:r>
                    </m:e>
                    <m:sub>
                      <m:r>
                        <w:rPr>
                          <w:rFonts w:ascii="Cambria Math" w:hAnsi="Cambria Math"/>
                          <w:color w:val="1F4E9E"/>
                        </w:rPr>
                        <m:t xml:space="preserve">ε</m:t>
                      </m:r>
                    </m:sub>
                  </m:sSub>
                </m:num>
                <m:den>
                  <m:r>
                    <w:rPr>
                      <w:rFonts w:ascii="Cambria Math" w:hAnsi="Cambria Math"/>
                      <w:color w:val="1F4E9E"/>
                    </w:rPr>
                    <m:t xml:space="preserve">λ</m:t>
                  </m:r>
                  <m:r>
                    <m:rPr>
                      <m:nor/>
                    </m:rPr>
                    <w:rPr>
                      <w:rFonts w:ascii="Cambria Math" w:hAnsi="Cambria Math"/>
                      <w:color w:val="1F4E9E"/>
                    </w:rPr>
                    <m:t xml:space="preserve">-</m:t>
                  </m:r>
                  <m:r>
                    <w:rPr>
                      <w:rFonts w:ascii="Cambria Math" w:hAnsi="Cambria Math"/>
                      <w:color w:val="1F4E9E"/>
                    </w:rPr>
                    <m:t xml:space="preserve">κ</m:t>
                  </m:r>
                </m:den>
              </m:f>
              <m:d>
                <m:dPr>
                  <m:begChr m:val="("/>
                  <m:endChr m:val=")"/>
                  <m:ctrlPr/>
                </m:dPr>
                <m:e>
                  <m:sSup>
                    <m:sSupPr>
                      <m:ctrlPr/>
                    </m:sSupPr>
                    <m:e>
                      <m:r>
                        <w:rPr>
                          <w:rFonts w:ascii="Cambria Math" w:hAnsi="Cambria Math"/>
                          <w:color w:val="1F4E9E"/>
                        </w:rPr>
                        <m:t xml:space="preserve">e</m:t>
                      </m:r>
                    </m:e>
                    <m:sup>
                      <m:r>
                        <m:rPr>
                          <m:nor/>
                        </m:rPr>
                        <w:rPr>
                          <w:rFonts w:ascii="Cambria Math" w:hAnsi="Cambria Math"/>
                          <w:color w:val="1F4E9E"/>
                        </w:rPr>
                        <m:t xml:space="preserve">-</m:t>
                      </m:r>
                      <m:r>
                        <w:rPr>
                          <w:rFonts w:ascii="Cambria Math" w:hAnsi="Cambria Math"/>
                          <w:color w:val="1F4E9E"/>
                        </w:rPr>
                        <m:t xml:space="preserve">κ</m:t>
                      </m:r>
                      <m:r>
                        <w:rPr>
                          <w:rFonts w:ascii="Cambria Math" w:hAnsi="Cambria Math"/>
                          <w:color w:val="1F4E9E"/>
                        </w:rPr>
                        <m:t xml:space="preserve">v</m:t>
                      </m:r>
                    </m:sup>
                  </m:sSup>
                  <m:r>
                    <m:rPr>
                      <m:nor/>
                    </m:rPr>
                    <w:rPr>
                      <w:rFonts w:ascii="Cambria Math" w:hAnsi="Cambria Math"/>
                      <w:color w:val="1F4E9E"/>
                    </w:rPr>
                    <m:t xml:space="preserve">-</m:t>
                  </m:r>
                  <m:sSup>
                    <m:sSupPr>
                      <m:ctrlPr/>
                    </m:sSupPr>
                    <m:e>
                      <m:r>
                        <w:rPr>
                          <w:rFonts w:ascii="Cambria Math" w:hAnsi="Cambria Math"/>
                          <w:color w:val="1F4E9E"/>
                        </w:rPr>
                        <m:t xml:space="preserve">e</m:t>
                      </m:r>
                    </m:e>
                    <m:sup>
                      <m:r>
                        <m:rPr>
                          <m:nor/>
                        </m:rPr>
                        <w:rPr>
                          <w:rFonts w:ascii="Cambria Math" w:hAnsi="Cambria Math"/>
                          <w:color w:val="1F4E9E"/>
                        </w:rPr>
                        <m:t xml:space="preserve">-</m:t>
                      </m:r>
                      <m:r>
                        <w:rPr>
                          <w:rFonts w:ascii="Cambria Math" w:hAnsi="Cambria Math"/>
                          <w:color w:val="1F4E9E"/>
                        </w:rPr>
                        <m:t xml:space="preserve">λ</m:t>
                      </m:r>
                      <m:r>
                        <w:rPr>
                          <w:rFonts w:ascii="Cambria Math" w:hAnsi="Cambria Math"/>
                          <w:color w:val="1F4E9E"/>
                        </w:rPr>
                        <m:t xml:space="preserve">v</m:t>
                      </m:r>
                    </m:sup>
                  </m:sSup>
                </m:e>
              </m:d>
              <m:r>
                <w:rPr>
                  <w:rFonts w:ascii="Cambria Math" w:hAnsi="Cambria Math"/>
                  <w:color w:val="1F4E9E"/>
                </w:rPr>
                <m:t xml:space="preserve">#</m:t>
              </m:r>
              <m:d>
                <m:dPr>
                  <m:begChr m:val="("/>
                  <m:endChr m:val=")"/>
                  <m:ctrlPr/>
                </m:dPr>
                <m:e>
                  <m:r>
                    <m:rPr>
                      <m:nor/>
                    </m:rPr>
                    <w:rPr>
                      <w:rFonts w:ascii="Cambria Math" w:hAnsi="Cambria Math"/>
                      <w:color w:val="1F4E9E"/>
                    </w:rPr>
                    <m:t xml:space="preserve">1</m:t>
                  </m:r>
                  <m:r>
                    <m:rPr>
                      <m:nor/>
                    </m:rPr>
                    <w:rPr>
                      <w:rFonts w:ascii="Cambria Math" w:hAnsi="Cambria Math"/>
                      <w:color w:val="1F4E9E"/>
                    </w:rPr>
                    <m:t xml:space="preserve">4</m:t>
                  </m:r>
                </m:e>
              </m:d>
            </m:e>
          </m:eqArr>
        </m:oMath>
      </m:oMathPara>
    </w:p>
    <w:p w14:paraId="73212C5D" w14:textId="77777777" w:rsidR="00205CBC" w:rsidRDefault="00000000">
      <w:r>
        <w:rPr>
          <w:color w:val="1F4E9E"/>
        </w:rPr>
        <w:t xml:space="preserve">and is therefore a centred Gaussian process. </w:t>
      </w:r>
      <m:oMath>
        <m:r>
          <w:rPr>
            <w:rFonts w:ascii="Cambria Math" w:hAnsi="Cambria Math"/>
            <w:color w:val="1F4E9E"/>
          </w:rPr>
          <m:t xml:space="preserve">K</m:t>
        </m:r>
        <m:d>
          <m:dPr>
            <m:begChr m:val="("/>
            <m:endChr m:val=")"/>
            <m:ctrlPr/>
          </m:dPr>
          <m:e>
            <m:r>
              <m:rPr>
                <m:nor/>
              </m:rPr>
              <w:rPr>
                <w:rFonts w:ascii="Cambria Math" w:hAnsi="Cambria Math"/>
                <w:color w:val="1F4E9E"/>
              </w:rPr>
              <m:t xml:space="preserve">0</m:t>
            </m:r>
          </m:e>
        </m:d>
        <m:r>
          <m:rPr>
            <m:nor/>
          </m:rPr>
          <w:rPr>
            <w:rFonts w:ascii="Cambria Math" w:hAnsi="Cambria Math"/>
            <w:color w:val="1F4E9E"/>
          </w:rPr>
          <m:t xml:space="preserve">=</m:t>
        </m:r>
        <m:r>
          <m:rPr>
            <m:nor/>
          </m:rPr>
          <w:rPr>
            <w:rFonts w:ascii="Cambria Math" w:hAnsi="Cambria Math"/>
            <w:color w:val="1F4E9E"/>
          </w:rPr>
          <m:t xml:space="preserve">0</m:t>
        </m:r>
      </m:oMath>
      <w:r>
        <w:rPr>
          <w:color w:val="1F4E9E"/>
        </w:rPr>
        <w:t xml:space="preserve">, which is the analytic form the differentiability takes, and </w:t>
      </w:r>
      <m:oMath>
        <m:sSup>
          <m:sSupPr>
            <m:ctrlPr/>
          </m:sSupPr>
          <m:e>
            <m:r>
              <w:rPr>
                <w:rFonts w:ascii="Cambria Math" w:hAnsi="Cambria Math"/>
                <w:color w:val="1F4E9E"/>
              </w:rPr>
              <m:t xml:space="preserve">K</m:t>
            </m:r>
          </m:e>
          <m:sup>
            <m:r>
              <m:rPr>
                <m:nor/>
              </m:rPr>
              <w:rPr>
                <w:rFonts w:ascii="Cambria Math" w:hAnsi="Cambria Math"/>
                <w:color w:val="1F4E9E"/>
              </w:rPr>
              <m:t xml:space="preserve">′</m:t>
            </m:r>
          </m:sup>
        </m:sSup>
        <m:d>
          <m:dPr>
            <m:begChr m:val="("/>
            <m:endChr m:val=")"/>
            <m:ctrlPr/>
          </m:dPr>
          <m:e>
            <m:r>
              <m:rPr>
                <m:nor/>
              </m:rPr>
              <w:rPr>
                <w:rFonts w:ascii="Cambria Math" w:hAnsi="Cambria Math"/>
                <w:color w:val="1F4E9E"/>
              </w:rPr>
              <m:t xml:space="preserve">0</m:t>
            </m:r>
          </m:e>
        </m:d>
        <m:r>
          <m:rPr>
            <m:nor/>
          </m:rPr>
          <w:rPr>
            <w:rFonts w:ascii="Cambria Math" w:hAnsi="Cambria Math"/>
            <w:color w:val="1F4E9E"/>
          </w:rPr>
          <m:t xml:space="preserve">=</m:t>
        </m:r>
        <m:r>
          <w:rPr>
            <w:rFonts w:ascii="Cambria Math" w:hAnsi="Cambria Math"/>
            <w:color w:val="1F4E9E"/>
          </w:rPr>
          <m:t xml:space="preserve">λ</m:t>
        </m:r>
        <m:sSub>
          <m:sSubPr>
            <m:ctrlPr/>
          </m:sSubPr>
          <m:e>
            <m:r>
              <w:rPr>
                <w:rFonts w:ascii="Cambria Math" w:hAnsi="Cambria Math"/>
                <w:color w:val="1F4E9E"/>
              </w:rPr>
              <m:t xml:space="preserve">σ</m:t>
            </m:r>
          </m:e>
          <m:sub>
            <m:r>
              <w:rPr>
                <w:rFonts w:ascii="Cambria Math" w:hAnsi="Cambria Math"/>
                <w:color w:val="1F4E9E"/>
              </w:rPr>
              <m:t xml:space="preserve">ε</m:t>
            </m:r>
          </m:sub>
        </m:sSub>
      </m:oMath>
      <w:r>
        <w:rPr>
          <w:color w:val="1F4E9E"/>
        </w:rPr>
        <w:t xml:space="preserve">.</w:t>
      </w:r>
    </w:p>
    <w:p w14:paraId="73212C5D" w14:textId="77777777" w:rsidR="00205CBC" w:rsidRDefault="00000000">
      <w:r>
        <w:rPr>
          <w:color w:val="1F4E9E"/>
        </w:rPr>
        <w:t xml:space="preserve">Differentiating (14) under the integral, and using </w:t>
      </w:r>
      <m:oMath>
        <m:r>
          <w:rPr>
            <w:rFonts w:ascii="Cambria Math" w:hAnsi="Cambria Math"/>
            <w:color w:val="1F4E9E"/>
          </w:rPr>
          <m:t xml:space="preserve">K</m:t>
        </m:r>
        <m:d>
          <m:dPr>
            <m:begChr m:val="("/>
            <m:endChr m:val=")"/>
            <m:ctrlPr/>
          </m:dPr>
          <m:e>
            <m:r>
              <m:rPr>
                <m:nor/>
              </m:rPr>
              <w:rPr>
                <w:rFonts w:ascii="Cambria Math" w:hAnsi="Cambria Math"/>
                <w:color w:val="1F4E9E"/>
              </w:rPr>
              <m:t xml:space="preserve">0</m:t>
            </m:r>
          </m:e>
        </m:d>
        <m:r>
          <m:rPr>
            <m:nor/>
          </m:rPr>
          <w:rPr>
            <w:rFonts w:ascii="Cambria Math" w:hAnsi="Cambria Math"/>
            <w:color w:val="1F4E9E"/>
          </w:rPr>
          <m:t xml:space="preserve">=</m:t>
        </m:r>
        <m:r>
          <m:rPr>
            <m:nor/>
          </m:rPr>
          <w:rPr>
            <w:rFonts w:ascii="Cambria Math" w:hAnsi="Cambria Math"/>
            <w:color w:val="1F4E9E"/>
          </w:rPr>
          <m:t xml:space="preserve">0</m:t>
        </m:r>
      </m:oMath>
      <w:r>
        <w:rPr>
          <w:color w:val="1F4E9E"/>
        </w:rPr>
        <w:t xml:space="preserve"> to kill the boundary term, gives </w:t>
      </w:r>
      <m:oMath>
        <m:acc>
          <m:accPr>
            <m:chr m:val="̇"/>
            <m:ctrlPr/>
          </m:accPr>
          <m:e>
            <m:r>
              <w:rPr>
                <w:rFonts w:ascii="Cambria Math" w:hAnsi="Cambria Math"/>
                <w:color w:val="1F4E9E"/>
              </w:rPr>
              <m:t xml:space="preserve">H</m:t>
            </m:r>
          </m:e>
        </m:acc>
        <m:d>
          <m:dPr>
            <m:begChr m:val="("/>
            <m:endChr m:val=")"/>
            <m:ctrlPr/>
          </m:dPr>
          <m:e>
            <m:sSub>
              <m:sSubPr>
                <m:ctrlPr/>
              </m:sSubPr>
              <m:e>
                <m:r>
                  <w:rPr>
                    <w:rFonts w:ascii="Cambria Math" w:hAnsi="Cambria Math"/>
                    <w:color w:val="1F4E9E"/>
                  </w:rPr>
                  <m:t xml:space="preserve">τ</m:t>
                </m:r>
              </m:e>
              <m:sub>
                <m:r>
                  <m:rPr>
                    <m:nor/>
                  </m:rPr>
                  <w:rPr>
                    <w:rFonts w:ascii="Cambria Math" w:hAnsi="Cambria Math"/>
                    <w:color w:val="1F4E9E"/>
                  </w:rPr>
                  <m:t xml:space="preserve">0</m:t>
                </m:r>
              </m:sub>
            </m:sSub>
            <m:r>
              <m:rPr>
                <m:nor/>
              </m:rPr>
              <w:rPr>
                <w:rFonts w:ascii="Cambria Math" w:hAnsi="Cambria Math"/>
                <w:color w:val="1F4E9E"/>
              </w:rPr>
              <m:t xml:space="preserve">+</m:t>
            </m:r>
            <m:r>
              <w:rPr>
                <w:rFonts w:ascii="Cambria Math" w:hAnsi="Cambria Math"/>
                <w:color w:val="1F4E9E"/>
              </w:rPr>
              <m:t xml:space="preserve">ρ</m:t>
            </m:r>
          </m:e>
        </m:d>
        <m:r>
          <m:rPr>
            <m:nor/>
          </m:rPr>
          <w:rPr>
            <w:rFonts w:ascii="Cambria Math" w:hAnsi="Cambria Math"/>
            <w:color w:val="1F4E9E"/>
          </w:rPr>
          <m:t xml:space="preserve">=</m:t>
        </m:r>
        <m:nary>
          <m:naryPr>
            <m:chr m:val="∫"/>
            <m:limLoc m:val="subSup"/>
            <m:subHide m:val="0"/>
            <m:supHide m:val="0"/>
            <m:ctrlPr/>
          </m:naryPr>
          <m:sub>
            <m:r>
              <m:rPr>
                <m:nor/>
              </m:rPr>
              <w:rPr>
                <w:rFonts w:ascii="Cambria Math" w:hAnsi="Cambria Math"/>
                <w:color w:val="1F4E9E"/>
              </w:rPr>
              <m:t xml:space="preserve">0</m:t>
            </m:r>
          </m:sub>
          <m:sup>
            <m:r>
              <w:rPr>
                <w:rFonts w:ascii="Cambria Math" w:hAnsi="Cambria Math"/>
                <w:color w:val="1F4E9E"/>
              </w:rPr>
              <m:t xml:space="preserve">ρ</m:t>
            </m:r>
          </m:sup>
          <m:e>
            <m:sSup>
              <m:sSupPr>
                <m:ctrlPr/>
              </m:sSupPr>
              <m:e>
                <m:r>
                  <w:rPr>
                    <w:rFonts w:ascii="Cambria Math" w:hAnsi="Cambria Math"/>
                    <w:color w:val="1F4E9E"/>
                  </w:rPr>
                  <m:t xml:space="preserve">K</m:t>
                </m:r>
              </m:e>
              <m:sup>
                <m:r>
                  <m:rPr>
                    <m:nor/>
                  </m:rPr>
                  <w:rPr>
                    <w:rFonts w:ascii="Cambria Math" w:hAnsi="Cambria Math"/>
                    <w:color w:val="1F4E9E"/>
                  </w:rPr>
                  <m:t xml:space="preserve">′</m:t>
                </m:r>
              </m:sup>
            </m:sSup>
            <m:d>
              <m:dPr>
                <m:begChr m:val="("/>
                <m:endChr m:val=")"/>
                <m:ctrlPr/>
              </m:dPr>
              <m:e>
                <m:r>
                  <w:rPr>
                    <w:rFonts w:ascii="Cambria Math" w:hAnsi="Cambria Math"/>
                    <w:color w:val="1F4E9E"/>
                  </w:rPr>
                  <m:t xml:space="preserve">ρ</m:t>
                </m:r>
                <m:r>
                  <m:rPr>
                    <m:nor/>
                  </m:rPr>
                  <w:rPr>
                    <w:rFonts w:ascii="Cambria Math" w:hAnsi="Cambria Math"/>
                    <w:color w:val="1F4E9E"/>
                  </w:rPr>
                  <m:t xml:space="preserve">-</m:t>
                </m:r>
                <m:r>
                  <w:rPr>
                    <w:rFonts w:ascii="Cambria Math" w:hAnsi="Cambria Math"/>
                    <w:color w:val="1F4E9E"/>
                  </w:rPr>
                  <m:t xml:space="preserve">p</m:t>
                </m:r>
              </m:e>
            </m:d>
            <m:r>
              <m:rPr>
                <m:nor/>
              </m:rPr>
              <w:rPr>
                <w:rFonts w:ascii="Cambria Math" w:hAnsi="Cambria Math"/>
                <w:color w:val="1F4E9E"/>
              </w:rPr>
              <m:t xml:space="preserve"> </m:t>
            </m:r>
            <m:r>
              <m:rPr>
                <m:nor/>
              </m:rPr>
              <w:rPr>
                <w:rFonts w:ascii="Cambria Math" w:hAnsi="Cambria Math"/>
                <w:color w:val="1F4E9E"/>
              </w:rPr>
              <m:t xml:space="preserve">d</m:t>
            </m:r>
            <m:sSub>
              <m:sSubPr>
                <m:ctrlPr/>
              </m:sSubPr>
              <m:e>
                <m:r>
                  <w:rPr>
                    <w:rFonts w:ascii="Cambria Math" w:hAnsi="Cambria Math"/>
                    <w:color w:val="1F4E9E"/>
                  </w:rPr>
                  <m:t xml:space="preserve">W</m:t>
                </m:r>
              </m:e>
              <m:sub>
                <m:r>
                  <w:rPr>
                    <w:rFonts w:ascii="Cambria Math" w:hAnsi="Cambria Math"/>
                    <w:color w:val="1F4E9E"/>
                  </w:rPr>
                  <m:t xml:space="preserve">ε</m:t>
                </m:r>
              </m:sub>
            </m:sSub>
            <m:d>
              <m:dPr>
                <m:begChr m:val="("/>
                <m:endChr m:val=")"/>
                <m:ctrlPr/>
              </m:dPr>
              <m:e>
                <m:r>
                  <w:rPr>
                    <w:rFonts w:ascii="Cambria Math" w:hAnsi="Cambria Math"/>
                    <w:color w:val="1F4E9E"/>
                  </w:rPr>
                  <m:t xml:space="preserve">p</m:t>
                </m:r>
              </m:e>
            </m:d>
          </m:e>
        </m:nary>
      </m:oMath>
      <w:r>
        <w:rPr>
          <w:color w:val="1F4E9E"/>
        </w:rPr>
        <w:t xml:space="preserve">. The Itô isometry then gives the three second moments as integrals of the kernel, </w:t>
      </w:r>
      <m:oMath>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r>
          <m:rPr>
            <m:nor/>
          </m:rPr>
          <w:rPr>
            <w:rFonts w:ascii="Cambria Math" w:hAnsi="Cambria Math"/>
            <w:color w:val="1F4E9E"/>
          </w:rPr>
          <m:t xml:space="preserve">=</m:t>
        </m:r>
        <m:nary>
          <m:naryPr>
            <m:chr m:val="∫"/>
            <m:limLoc m:val="subSup"/>
            <m:subHide m:val="0"/>
            <m:supHide m:val="0"/>
            <m:ctrlPr/>
          </m:naryPr>
          <m:sub>
            <m:r>
              <m:rPr>
                <m:nor/>
              </m:rPr>
              <w:rPr>
                <w:rFonts w:ascii="Cambria Math" w:hAnsi="Cambria Math"/>
                <w:color w:val="1F4E9E"/>
              </w:rPr>
              <m:t xml:space="preserve">0</m:t>
            </m:r>
          </m:sub>
          <m:sup>
            <m:r>
              <w:rPr>
                <w:rFonts w:ascii="Cambria Math" w:hAnsi="Cambria Math"/>
                <w:color w:val="1F4E9E"/>
              </w:rPr>
              <m:t xml:space="preserve">ρ</m:t>
            </m:r>
          </m:sup>
          <m:e>
            <m:sSup>
              <m:sSupPr>
                <m:ctrlPr/>
              </m:sSupPr>
              <m:e>
                <m:r>
                  <w:rPr>
                    <w:rFonts w:ascii="Cambria Math" w:hAnsi="Cambria Math"/>
                    <w:color w:val="1F4E9E"/>
                  </w:rPr>
                  <m:t xml:space="preserve">K</m:t>
                </m:r>
              </m:e>
              <m:sup>
                <m:r>
                  <m:rPr>
                    <m:nor/>
                  </m:rPr>
                  <w:rPr>
                    <w:rFonts w:ascii="Cambria Math" w:hAnsi="Cambria Math"/>
                    <w:color w:val="1F4E9E"/>
                  </w:rPr>
                  <m:t xml:space="preserve">2</m:t>
                </m:r>
              </m:sup>
            </m:sSup>
          </m:e>
        </m:nary>
      </m:oMath>
      <w:r>
        <w:rPr>
          <w:color w:val="1F4E9E"/>
        </w:rPr>
        <w:t xml:space="preserve">, </w:t>
      </w:r>
      <m:oMath>
        <m:r>
          <m:rPr>
            <m:nor/>
          </m:rPr>
          <w:rPr>
            <w:rFonts w:ascii="Cambria Math" w:hAnsi="Cambria Math"/>
            <w:color w:val="1F4E9E"/>
          </w:rPr>
          <m:t xml:space="preserve">Var</m:t>
        </m:r>
        <m:r>
          <m:rPr>
            <m:nor/>
          </m:rPr>
          <w:rPr>
            <w:rFonts w:ascii="Cambria Math" w:hAnsi="Cambria Math"/>
            <w:color w:val="1F4E9E"/>
          </w:rPr>
          <m:t xml:space="preserve"> </m:t>
        </m:r>
        <m:acc>
          <m:accPr>
            <m:chr m:val="̇"/>
            <m:ctrlPr/>
          </m:accPr>
          <m:e>
            <m:r>
              <w:rPr>
                <w:rFonts w:ascii="Cambria Math" w:hAnsi="Cambria Math"/>
                <w:color w:val="1F4E9E"/>
              </w:rPr>
              <m:t xml:space="preserve">H</m:t>
            </m:r>
          </m:e>
        </m:acc>
        <m:r>
          <m:rPr>
            <m:nor/>
          </m:rPr>
          <w:rPr>
            <w:rFonts w:ascii="Cambria Math" w:hAnsi="Cambria Math"/>
            <w:color w:val="1F4E9E"/>
          </w:rPr>
          <m:t xml:space="preserve">=</m:t>
        </m:r>
        <m:nary>
          <m:naryPr>
            <m:chr m:val="∫"/>
            <m:limLoc m:val="subSup"/>
            <m:subHide m:val="0"/>
            <m:supHide m:val="0"/>
            <m:ctrlPr/>
          </m:naryPr>
          <m:sub>
            <m:r>
              <m:rPr>
                <m:nor/>
              </m:rPr>
              <w:rPr>
                <w:rFonts w:ascii="Cambria Math" w:hAnsi="Cambria Math"/>
                <w:color w:val="1F4E9E"/>
              </w:rPr>
              <m:t xml:space="preserve">0</m:t>
            </m:r>
          </m:sub>
          <m:sup>
            <m:r>
              <w:rPr>
                <w:rFonts w:ascii="Cambria Math" w:hAnsi="Cambria Math"/>
                <w:color w:val="1F4E9E"/>
              </w:rPr>
              <m:t xml:space="preserve">ρ</m:t>
            </m:r>
          </m:sup>
          <m:e>
            <m:sSup>
              <m:sSupPr>
                <m:ctrlPr/>
              </m:sSupPr>
              <m:e>
                <m:d>
                  <m:dPr>
                    <m:begChr m:val="("/>
                    <m:endChr m:val=")"/>
                    <m:ctrlPr/>
                  </m:dPr>
                  <m:e>
                    <m:sSup>
                      <m:sSupPr>
                        <m:ctrlPr/>
                      </m:sSupPr>
                      <m:e>
                        <m:r>
                          <w:rPr>
                            <w:rFonts w:ascii="Cambria Math" w:hAnsi="Cambria Math"/>
                            <w:color w:val="1F4E9E"/>
                          </w:rPr>
                          <m:t xml:space="preserve">K</m:t>
                        </m:r>
                      </m:e>
                      <m:sup>
                        <m:r>
                          <m:rPr>
                            <m:nor/>
                          </m:rPr>
                          <w:rPr>
                            <w:rFonts w:ascii="Cambria Math" w:hAnsi="Cambria Math"/>
                            <w:color w:val="1F4E9E"/>
                          </w:rPr>
                          <m:t xml:space="preserve">′</m:t>
                        </m:r>
                      </m:sup>
                    </m:sSup>
                  </m:e>
                </m:d>
              </m:e>
              <m:sup>
                <m:r>
                  <m:rPr>
                    <m:nor/>
                  </m:rPr>
                  <w:rPr>
                    <w:rFonts w:ascii="Cambria Math" w:hAnsi="Cambria Math"/>
                    <w:color w:val="1F4E9E"/>
                  </w:rPr>
                  <m:t xml:space="preserve">2</m:t>
                </m:r>
              </m:sup>
            </m:sSup>
          </m:e>
        </m:nary>
      </m:oMath>
      <w:r>
        <w:rPr>
          <w:color w:val="1F4E9E"/>
        </w:rPr>
        <w:t xml:space="preserve"> and </w:t>
      </w:r>
      <m:oMath>
        <m:r>
          <m:rPr>
            <m:nor/>
          </m:rPr>
          <w:rPr>
            <w:rFonts w:ascii="Cambria Math" w:hAnsi="Cambria Math"/>
            <w:color w:val="1F4E9E"/>
          </w:rPr>
          <m:t xml:space="preserve">Cov</m:t>
        </m:r>
        <m:d>
          <m:dPr>
            <m:begChr m:val="("/>
            <m:endChr m:val=")"/>
            <m:ctrlPr/>
          </m:dPr>
          <m:e>
            <m:r>
              <w:rPr>
                <w:rFonts w:ascii="Cambria Math" w:hAnsi="Cambria Math"/>
                <w:color w:val="1F4E9E"/>
              </w:rPr>
              <m:t xml:space="preserve">H</m:t>
            </m:r>
            <m:r>
              <m:rPr>
                <m:nor/>
              </m:rPr>
              <w:rPr>
                <w:rFonts w:ascii="Cambria Math" w:hAnsi="Cambria Math"/>
                <w:color w:val="1F4E9E"/>
              </w:rPr>
              <m:t xml:space="preserve">,</m:t>
            </m:r>
            <m:acc>
              <m:accPr>
                <m:chr m:val="̇"/>
                <m:ctrlPr/>
              </m:accPr>
              <m:e>
                <m:r>
                  <w:rPr>
                    <w:rFonts w:ascii="Cambria Math" w:hAnsi="Cambria Math"/>
                    <w:color w:val="1F4E9E"/>
                  </w:rPr>
                  <m:t xml:space="preserve">H</m:t>
                </m:r>
              </m:e>
            </m:acc>
          </m:e>
        </m:d>
        <m:r>
          <m:rPr>
            <m:nor/>
          </m:rPr>
          <w:rPr>
            <w:rFonts w:ascii="Cambria Math" w:hAnsi="Cambria Math"/>
            <w:color w:val="1F4E9E"/>
          </w:rPr>
          <m:t xml:space="preserve">=</m:t>
        </m:r>
        <m:nary>
          <m:naryPr>
            <m:chr m:val="∫"/>
            <m:limLoc m:val="subSup"/>
            <m:subHide m:val="0"/>
            <m:supHide m:val="0"/>
            <m:ctrlPr/>
          </m:naryPr>
          <m:sub>
            <m:r>
              <m:rPr>
                <m:nor/>
              </m:rPr>
              <w:rPr>
                <w:rFonts w:ascii="Cambria Math" w:hAnsi="Cambria Math"/>
                <w:color w:val="1F4E9E"/>
              </w:rPr>
              <m:t xml:space="preserve">0</m:t>
            </m:r>
          </m:sub>
          <m:sup>
            <m:r>
              <w:rPr>
                <w:rFonts w:ascii="Cambria Math" w:hAnsi="Cambria Math"/>
                <w:color w:val="1F4E9E"/>
              </w:rPr>
              <m:t xml:space="preserve">ρ</m:t>
            </m:r>
          </m:sup>
          <m:e>
            <m:r>
              <w:rPr>
                <w:rFonts w:ascii="Cambria Math" w:hAnsi="Cambria Math"/>
                <w:color w:val="1F4E9E"/>
              </w:rPr>
              <m:t xml:space="preserve">K</m:t>
            </m:r>
            <m:sSup>
              <m:sSupPr>
                <m:ctrlPr/>
              </m:sSupPr>
              <m:e>
                <m:r>
                  <w:rPr>
                    <w:rFonts w:ascii="Cambria Math" w:hAnsi="Cambria Math"/>
                    <w:color w:val="1F4E9E"/>
                  </w:rPr>
                  <m:t xml:space="preserve">K</m:t>
                </m:r>
              </m:e>
              <m:sup>
                <m:r>
                  <m:rPr>
                    <m:nor/>
                  </m:rPr>
                  <w:rPr>
                    <w:rFonts w:ascii="Cambria Math" w:hAnsi="Cambria Math"/>
                    <w:color w:val="1F4E9E"/>
                  </w:rPr>
                  <m:t xml:space="preserve">′</m:t>
                </m:r>
              </m:sup>
            </m:sSup>
          </m:e>
        </m:nary>
        <m:r>
          <m:rPr>
            <m:nor/>
          </m:rPr>
          <w:rPr>
            <w:rFonts w:ascii="Cambria Math" w:hAnsi="Cambria Math"/>
            <w:color w:val="1F4E9E"/>
          </w:rPr>
          <m:t xml:space="preserve">=</m:t>
        </m:r>
        <m:f>
          <m:fPr>
            <m:type m:val="lin"/>
            <m:ctrlPr/>
          </m:fPr>
          <m:num>
            <m:r>
              <m:rPr>
                <m:nor/>
              </m:rPr>
              <w:rPr>
                <w:rFonts w:ascii="Cambria Math" w:hAnsi="Cambria Math"/>
                <w:color w:val="1F4E9E"/>
              </w:rPr>
              <m:t xml:space="preserve">1</m:t>
            </m:r>
          </m:num>
          <m:den>
            <m:r>
              <m:rPr>
                <m:nor/>
              </m:rPr>
              <w:rPr>
                <w:rFonts w:ascii="Cambria Math" w:hAnsi="Cambria Math"/>
                <w:color w:val="1F4E9E"/>
              </w:rPr>
              <m:t xml:space="preserve">2</m:t>
            </m:r>
          </m:den>
        </m:f>
        <m:r>
          <w:rPr>
            <w:rFonts w:ascii="Cambria Math" w:hAnsi="Cambria Math"/>
            <w:color w:val="1F4E9E"/>
          </w:rPr>
          <m:t xml:space="preserve">K</m:t>
        </m:r>
        <m:sSup>
          <m:sSupPr>
            <m:ctrlPr/>
          </m:sSupPr>
          <m:e>
            <m:d>
              <m:dPr>
                <m:begChr m:val="("/>
                <m:endChr m:val=")"/>
                <m:ctrlPr/>
              </m:dPr>
              <m:e>
                <m:r>
                  <w:rPr>
                    <w:rFonts w:ascii="Cambria Math" w:hAnsi="Cambria Math"/>
                    <w:color w:val="1F4E9E"/>
                  </w:rPr>
                  <m:t xml:space="preserve">ρ</m:t>
                </m:r>
              </m:e>
            </m:d>
          </m:e>
          <m:sup>
            <m:r>
              <m:rPr>
                <m:nor/>
              </m:rPr>
              <w:rPr>
                <w:rFonts w:ascii="Cambria Math" w:hAnsi="Cambria Math"/>
                <w:color w:val="1F4E9E"/>
              </w:rPr>
              <m:t xml:space="preserve">2</m:t>
            </m:r>
          </m:sup>
        </m:sSup>
      </m:oMath>
      <w:r>
        <w:rPr>
          <w:color w:val="1F4E9E"/>
        </w:rPr>
        <w:t xml:space="preserve">, the last of which is half the derivative of the first. Evaluating them,</w:t>
      </w:r>
    </w:p>
    <w:p w14:paraId="73212C5D" w14:textId="77777777" w:rsidR="00205CBC" w:rsidRDefault="00000000">
      <m:oMathPara>
        <m:oMath>
          <m:eqArr>
            <m:eqArrPr>
              <m:maxDist m:val="1"/>
              <m:ctrlPr/>
            </m:eqArrPr>
            <m:e>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d>
                <m:dPr>
                  <m:begChr m:val="("/>
                  <m:endChr m:val=")"/>
                  <m:ctrlPr/>
                </m:dPr>
                <m:e>
                  <m:r>
                    <w:rPr>
                      <w:rFonts w:ascii="Cambria Math" w:hAnsi="Cambria Math"/>
                      <w:color w:val="1F4E9E"/>
                    </w:rPr>
                    <m:t xml:space="preserve">ρ</m:t>
                  </m:r>
                </m:e>
              </m:d>
              <m:r>
                <m:rPr>
                  <m:nor/>
                </m:rPr>
                <w:rPr>
                  <w:rFonts w:ascii="Cambria Math" w:hAnsi="Cambria Math"/>
                  <w:color w:val="1F4E9E"/>
                </w:rPr>
                <m:t xml:space="preserve">=</m:t>
              </m:r>
              <m:f>
                <m:fPr>
                  <m:ctrlPr/>
                </m:fPr>
                <m:num>
                  <m:sSup>
                    <m:sSupPr>
                      <m:ctrlPr/>
                    </m:sSupPr>
                    <m:e>
                      <m:r>
                        <w:rPr>
                          <w:rFonts w:ascii="Cambria Math" w:hAnsi="Cambria Math"/>
                          <w:color w:val="1F4E9E"/>
                        </w:rPr>
                        <m:t xml:space="preserve">λ</m:t>
                      </m:r>
                    </m:e>
                    <m:sup>
                      <m:r>
                        <m:rPr>
                          <m:nor/>
                        </m:rPr>
                        <w:rPr>
                          <w:rFonts w:ascii="Cambria Math" w:hAnsi="Cambria Math"/>
                          <w:color w:val="1F4E9E"/>
                        </w:rPr>
                        <m:t xml:space="preserve">2</m:t>
                      </m:r>
                    </m:sup>
                  </m:sSup>
                  <m:sSubSup>
                    <m:sSubSupPr>
                      <m:ctrlPr/>
                    </m:sSubSupPr>
                    <m:e>
                      <m:r>
                        <w:rPr>
                          <w:rFonts w:ascii="Cambria Math" w:hAnsi="Cambria Math"/>
                          <w:color w:val="1F4E9E"/>
                        </w:rPr>
                        <m:t xml:space="preserve">σ</m:t>
                      </m:r>
                    </m:e>
                    <m:sub>
                      <m:r>
                        <w:rPr>
                          <w:rFonts w:ascii="Cambria Math" w:hAnsi="Cambria Math"/>
                          <w:color w:val="1F4E9E"/>
                        </w:rPr>
                        <m:t xml:space="preserve">ε</m:t>
                      </m:r>
                    </m:sub>
                    <m:sup>
                      <m:r>
                        <m:rPr>
                          <m:nor/>
                        </m:rPr>
                        <w:rPr>
                          <w:rFonts w:ascii="Cambria Math" w:hAnsi="Cambria Math"/>
                          <w:color w:val="1F4E9E"/>
                        </w:rPr>
                        <m:t xml:space="preserve">2</m:t>
                      </m:r>
                    </m:sup>
                  </m:sSubSup>
                </m:num>
                <m:den>
                  <m:sSup>
                    <m:sSupPr>
                      <m:ctrlPr/>
                    </m:sSupPr>
                    <m:e>
                      <m:d>
                        <m:dPr>
                          <m:begChr m:val="("/>
                          <m:endChr m:val=")"/>
                          <m:ctrlPr/>
                        </m:dPr>
                        <m:e>
                          <m:r>
                            <w:rPr>
                              <w:rFonts w:ascii="Cambria Math" w:hAnsi="Cambria Math"/>
                              <w:color w:val="1F4E9E"/>
                            </w:rPr>
                            <m:t xml:space="preserve">λ</m:t>
                          </m:r>
                          <m:r>
                            <m:rPr>
                              <m:nor/>
                            </m:rPr>
                            <w:rPr>
                              <w:rFonts w:ascii="Cambria Math" w:hAnsi="Cambria Math"/>
                              <w:color w:val="1F4E9E"/>
                            </w:rPr>
                            <m:t xml:space="preserve">-</m:t>
                          </m:r>
                          <m:r>
                            <w:rPr>
                              <w:rFonts w:ascii="Cambria Math" w:hAnsi="Cambria Math"/>
                              <w:color w:val="1F4E9E"/>
                            </w:rPr>
                            <m:t xml:space="preserve">κ</m:t>
                          </m:r>
                        </m:e>
                      </m:d>
                    </m:e>
                    <m:sup>
                      <m:r>
                        <m:rPr>
                          <m:nor/>
                        </m:rPr>
                        <w:rPr>
                          <w:rFonts w:ascii="Cambria Math" w:hAnsi="Cambria Math"/>
                          <w:color w:val="1F4E9E"/>
                        </w:rPr>
                        <m:t xml:space="preserve">2</m:t>
                      </m:r>
                    </m:sup>
                  </m:sSup>
                </m:den>
              </m:f>
              <m:d>
                <m:dPr>
                  <m:begChr m:val="["/>
                  <m:endChr m:val="]"/>
                  <m:ctrlPr/>
                </m:dPr>
                <m:e>
                  <m:f>
                    <m:fPr>
                      <m:ctrlPr/>
                    </m:fPr>
                    <m:num>
                      <m:r>
                        <m:rPr>
                          <m:nor/>
                        </m:rPr>
                        <w:rPr>
                          <w:rFonts w:ascii="Cambria Math" w:hAnsi="Cambria Math"/>
                          <w:color w:val="1F4E9E"/>
                        </w:rPr>
                        <m:t xml:space="preserve">1</m:t>
                      </m:r>
                      <m:r>
                        <m:rPr>
                          <m:nor/>
                        </m:rPr>
                        <w:rPr>
                          <w:rFonts w:ascii="Cambria Math" w:hAnsi="Cambria Math"/>
                          <w:color w:val="1F4E9E"/>
                        </w:rPr>
                        <m:t xml:space="preserve">-</m:t>
                      </m:r>
                      <m:sSup>
                        <m:sSupPr>
                          <m:ctrlPr/>
                        </m:sSupPr>
                        <m:e>
                          <m:r>
                            <w:rPr>
                              <w:rFonts w:ascii="Cambria Math" w:hAnsi="Cambria Math"/>
                              <w:color w:val="1F4E9E"/>
                            </w:rPr>
                            <m:t xml:space="preserve">e</m:t>
                          </m:r>
                        </m:e>
                        <m:sup>
                          <m:r>
                            <m:rPr>
                              <m:nor/>
                            </m:rPr>
                            <w:rPr>
                              <w:rFonts w:ascii="Cambria Math" w:hAnsi="Cambria Math"/>
                              <w:color w:val="1F4E9E"/>
                            </w:rPr>
                            <m:t xml:space="preserve">-</m:t>
                          </m:r>
                          <m:r>
                            <m:rPr>
                              <m:nor/>
                            </m:rPr>
                            <w:rPr>
                              <w:rFonts w:ascii="Cambria Math" w:hAnsi="Cambria Math"/>
                              <w:color w:val="1F4E9E"/>
                            </w:rPr>
                            <m:t xml:space="preserve">2</m:t>
                          </m:r>
                          <m:r>
                            <w:rPr>
                              <w:rFonts w:ascii="Cambria Math" w:hAnsi="Cambria Math"/>
                              <w:color w:val="1F4E9E"/>
                            </w:rPr>
                            <m:t xml:space="preserve">κ</m:t>
                          </m:r>
                          <m:r>
                            <w:rPr>
                              <w:rFonts w:ascii="Cambria Math" w:hAnsi="Cambria Math"/>
                              <w:color w:val="1F4E9E"/>
                            </w:rPr>
                            <m:t xml:space="preserve">ρ</m:t>
                          </m:r>
                        </m:sup>
                      </m:sSup>
                    </m:num>
                    <m:den>
                      <m:r>
                        <m:rPr>
                          <m:nor/>
                        </m:rPr>
                        <w:rPr>
                          <w:rFonts w:ascii="Cambria Math" w:hAnsi="Cambria Math"/>
                          <w:color w:val="1F4E9E"/>
                        </w:rPr>
                        <m:t xml:space="preserve">2</m:t>
                      </m:r>
                      <m:r>
                        <w:rPr>
                          <w:rFonts w:ascii="Cambria Math" w:hAnsi="Cambria Math"/>
                          <w:color w:val="1F4E9E"/>
                        </w:rPr>
                        <m:t xml:space="preserve">κ</m:t>
                      </m:r>
                    </m:den>
                  </m:f>
                  <m:r>
                    <m:rPr>
                      <m:nor/>
                    </m:rPr>
                    <w:rPr>
                      <w:rFonts w:ascii="Cambria Math" w:hAnsi="Cambria Math"/>
                      <w:color w:val="1F4E9E"/>
                    </w:rPr>
                    <m:t xml:space="preserve">-</m:t>
                  </m:r>
                  <m:f>
                    <m:fPr>
                      <m:ctrlPr/>
                    </m:fPr>
                    <m:num>
                      <m:r>
                        <m:rPr>
                          <m:nor/>
                        </m:rPr>
                        <w:rPr>
                          <w:rFonts w:ascii="Cambria Math" w:hAnsi="Cambria Math"/>
                          <w:color w:val="1F4E9E"/>
                        </w:rPr>
                        <m:t xml:space="preserve">2</m:t>
                      </m:r>
                      <m:d>
                        <m:dPr>
                          <m:begChr m:val="("/>
                          <m:endChr m:val=")"/>
                          <m:ctrlPr/>
                        </m:dPr>
                        <m:e>
                          <m:r>
                            <m:rPr>
                              <m:nor/>
                            </m:rPr>
                            <w:rPr>
                              <w:rFonts w:ascii="Cambria Math" w:hAnsi="Cambria Math"/>
                              <w:color w:val="1F4E9E"/>
                            </w:rPr>
                            <m:t xml:space="preserve">1</m:t>
                          </m:r>
                          <m:r>
                            <m:rPr>
                              <m:nor/>
                            </m:rPr>
                            <w:rPr>
                              <w:rFonts w:ascii="Cambria Math" w:hAnsi="Cambria Math"/>
                              <w:color w:val="1F4E9E"/>
                            </w:rPr>
                            <m:t xml:space="preserve">-</m:t>
                          </m:r>
                          <m:sSup>
                            <m:sSupPr>
                              <m:ctrlPr/>
                            </m:sSupPr>
                            <m:e>
                              <m:r>
                                <w:rPr>
                                  <w:rFonts w:ascii="Cambria Math" w:hAnsi="Cambria Math"/>
                                  <w:color w:val="1F4E9E"/>
                                </w:rPr>
                                <m:t xml:space="preserve">e</m:t>
                              </m:r>
                            </m:e>
                            <m:sup>
                              <m:r>
                                <m:rPr>
                                  <m:nor/>
                                </m:rPr>
                                <w:rPr>
                                  <w:rFonts w:ascii="Cambria Math" w:hAnsi="Cambria Math"/>
                                  <w:color w:val="1F4E9E"/>
                                </w:rPr>
                                <m:t xml:space="preserve">-</m:t>
                              </m:r>
                              <m:d>
                                <m:dPr>
                                  <m:begChr m:val="("/>
                                  <m:endChr m:val=")"/>
                                  <m:ctrlPr/>
                                </m:dPr>
                                <m:e>
                                  <m:r>
                                    <w:rPr>
                                      <w:rFonts w:ascii="Cambria Math" w:hAnsi="Cambria Math"/>
                                      <w:color w:val="1F4E9E"/>
                                    </w:rPr>
                                    <m:t xml:space="preserve">λ</m:t>
                                  </m:r>
                                  <m:r>
                                    <m:rPr>
                                      <m:nor/>
                                    </m:rPr>
                                    <w:rPr>
                                      <w:rFonts w:ascii="Cambria Math" w:hAnsi="Cambria Math"/>
                                      <w:color w:val="1F4E9E"/>
                                    </w:rPr>
                                    <m:t xml:space="preserve">+</m:t>
                                  </m:r>
                                  <m:r>
                                    <w:rPr>
                                      <w:rFonts w:ascii="Cambria Math" w:hAnsi="Cambria Math"/>
                                      <w:color w:val="1F4E9E"/>
                                    </w:rPr>
                                    <m:t xml:space="preserve">κ</m:t>
                                  </m:r>
                                </m:e>
                              </m:d>
                              <m:r>
                                <w:rPr>
                                  <w:rFonts w:ascii="Cambria Math" w:hAnsi="Cambria Math"/>
                                  <w:color w:val="1F4E9E"/>
                                </w:rPr>
                                <m:t xml:space="preserve">ρ</m:t>
                              </m:r>
                            </m:sup>
                          </m:sSup>
                        </m:e>
                      </m:d>
                    </m:num>
                    <m:den>
                      <m:r>
                        <w:rPr>
                          <w:rFonts w:ascii="Cambria Math" w:hAnsi="Cambria Math"/>
                          <w:color w:val="1F4E9E"/>
                        </w:rPr>
                        <m:t xml:space="preserve">λ</m:t>
                      </m:r>
                      <m:r>
                        <m:rPr>
                          <m:nor/>
                        </m:rPr>
                        <w:rPr>
                          <w:rFonts w:ascii="Cambria Math" w:hAnsi="Cambria Math"/>
                          <w:color w:val="1F4E9E"/>
                        </w:rPr>
                        <m:t xml:space="preserve">+</m:t>
                      </m:r>
                      <m:r>
                        <w:rPr>
                          <w:rFonts w:ascii="Cambria Math" w:hAnsi="Cambria Math"/>
                          <w:color w:val="1F4E9E"/>
                        </w:rPr>
                        <m:t xml:space="preserve">κ</m:t>
                      </m:r>
                    </m:den>
                  </m:f>
                  <m:r>
                    <m:rPr>
                      <m:nor/>
                    </m:rPr>
                    <w:rPr>
                      <w:rFonts w:ascii="Cambria Math" w:hAnsi="Cambria Math"/>
                      <w:color w:val="1F4E9E"/>
                    </w:rPr>
                    <m:t xml:space="preserve">+</m:t>
                  </m:r>
                  <m:f>
                    <m:fPr>
                      <m:ctrlPr/>
                    </m:fPr>
                    <m:num>
                      <m:r>
                        <m:rPr>
                          <m:nor/>
                        </m:rPr>
                        <w:rPr>
                          <w:rFonts w:ascii="Cambria Math" w:hAnsi="Cambria Math"/>
                          <w:color w:val="1F4E9E"/>
                        </w:rPr>
                        <m:t xml:space="preserve">1</m:t>
                      </m:r>
                      <m:r>
                        <m:rPr>
                          <m:nor/>
                        </m:rPr>
                        <w:rPr>
                          <w:rFonts w:ascii="Cambria Math" w:hAnsi="Cambria Math"/>
                          <w:color w:val="1F4E9E"/>
                        </w:rPr>
                        <m:t xml:space="preserve">-</m:t>
                      </m:r>
                      <m:sSup>
                        <m:sSupPr>
                          <m:ctrlPr/>
                        </m:sSupPr>
                        <m:e>
                          <m:r>
                            <w:rPr>
                              <w:rFonts w:ascii="Cambria Math" w:hAnsi="Cambria Math"/>
                              <w:color w:val="1F4E9E"/>
                            </w:rPr>
                            <m:t xml:space="preserve">e</m:t>
                          </m:r>
                        </m:e>
                        <m:sup>
                          <m:r>
                            <m:rPr>
                              <m:nor/>
                            </m:rPr>
                            <w:rPr>
                              <w:rFonts w:ascii="Cambria Math" w:hAnsi="Cambria Math"/>
                              <w:color w:val="1F4E9E"/>
                            </w:rPr>
                            <m:t xml:space="preserve">-</m:t>
                          </m:r>
                          <m:r>
                            <m:rPr>
                              <m:nor/>
                            </m:rPr>
                            <w:rPr>
                              <w:rFonts w:ascii="Cambria Math" w:hAnsi="Cambria Math"/>
                              <w:color w:val="1F4E9E"/>
                            </w:rPr>
                            <m:t xml:space="preserve">2</m:t>
                          </m:r>
                          <m:r>
                            <w:rPr>
                              <w:rFonts w:ascii="Cambria Math" w:hAnsi="Cambria Math"/>
                              <w:color w:val="1F4E9E"/>
                            </w:rPr>
                            <m:t xml:space="preserve">λ</m:t>
                          </m:r>
                          <m:r>
                            <w:rPr>
                              <w:rFonts w:ascii="Cambria Math" w:hAnsi="Cambria Math"/>
                              <w:color w:val="1F4E9E"/>
                            </w:rPr>
                            <m:t xml:space="preserve">ρ</m:t>
                          </m:r>
                        </m:sup>
                      </m:sSup>
                    </m:num>
                    <m:den>
                      <m:r>
                        <m:rPr>
                          <m:nor/>
                        </m:rPr>
                        <w:rPr>
                          <w:rFonts w:ascii="Cambria Math" w:hAnsi="Cambria Math"/>
                          <w:color w:val="1F4E9E"/>
                        </w:rPr>
                        <m:t xml:space="preserve">2</m:t>
                      </m:r>
                      <m:r>
                        <w:rPr>
                          <w:rFonts w:ascii="Cambria Math" w:hAnsi="Cambria Math"/>
                          <w:color w:val="1F4E9E"/>
                        </w:rPr>
                        <m:t xml:space="preserve">λ</m:t>
                      </m:r>
                    </m:den>
                  </m:f>
                </m:e>
              </m:d>
              <m:r>
                <w:rPr>
                  <w:rFonts w:ascii="Cambria Math" w:hAnsi="Cambria Math"/>
                  <w:color w:val="1F4E9E"/>
                </w:rPr>
                <m:t xml:space="preserve">#</m:t>
              </m:r>
              <m:d>
                <m:dPr>
                  <m:begChr m:val="("/>
                  <m:endChr m:val=")"/>
                  <m:ctrlPr/>
                </m:dPr>
                <m:e>
                  <m:r>
                    <m:rPr>
                      <m:nor/>
                    </m:rPr>
                    <w:rPr>
                      <w:rFonts w:ascii="Cambria Math" w:hAnsi="Cambria Math"/>
                      <w:color w:val="1F4E9E"/>
                    </w:rPr>
                    <m:t xml:space="preserve">1</m:t>
                  </m:r>
                  <m:r>
                    <m:rPr>
                      <m:nor/>
                    </m:rPr>
                    <w:rPr>
                      <w:rFonts w:ascii="Cambria Math" w:hAnsi="Cambria Math"/>
                      <w:color w:val="1F4E9E"/>
                    </w:rPr>
                    <m:t xml:space="preserve">5</m:t>
                  </m:r>
                </m:e>
              </m:d>
            </m:e>
          </m:eqArr>
        </m:oMath>
      </m:oMathPara>
    </w:p>
    <w:p w14:paraId="73212C5D" w14:textId="77777777" w:rsidR="00205CBC" w:rsidRDefault="00000000">
      <m:oMathPara>
        <m:oMath>
          <m:eqArr>
            <m:eqArrPr>
              <m:maxDist m:val="1"/>
              <m:ctrlPr/>
            </m:eqArrPr>
            <m:e>
              <m:r>
                <m:rPr>
                  <m:nor/>
                </m:rPr>
                <w:rPr>
                  <w:rFonts w:ascii="Cambria Math" w:hAnsi="Cambria Math"/>
                  <w:color w:val="1F4E9E"/>
                </w:rPr>
                <m:t xml:space="preserve">Var</m:t>
              </m:r>
              <m:r>
                <m:rPr>
                  <m:nor/>
                </m:rPr>
                <w:rPr>
                  <w:rFonts w:ascii="Cambria Math" w:hAnsi="Cambria Math"/>
                  <w:color w:val="1F4E9E"/>
                </w:rPr>
                <m:t xml:space="preserve"> </m:t>
              </m:r>
              <m:acc>
                <m:accPr>
                  <m:chr m:val="̇"/>
                  <m:ctrlPr/>
                </m:accPr>
                <m:e>
                  <m:r>
                    <w:rPr>
                      <w:rFonts w:ascii="Cambria Math" w:hAnsi="Cambria Math"/>
                      <w:color w:val="1F4E9E"/>
                    </w:rPr>
                    <m:t xml:space="preserve">H</m:t>
                  </m:r>
                </m:e>
              </m:acc>
              <m:d>
                <m:dPr>
                  <m:begChr m:val="("/>
                  <m:endChr m:val=")"/>
                  <m:ctrlPr/>
                </m:dPr>
                <m:e>
                  <m:r>
                    <w:rPr>
                      <w:rFonts w:ascii="Cambria Math" w:hAnsi="Cambria Math"/>
                      <w:color w:val="1F4E9E"/>
                    </w:rPr>
                    <m:t xml:space="preserve">ρ</m:t>
                  </m:r>
                </m:e>
              </m:d>
              <m:r>
                <m:rPr>
                  <m:nor/>
                </m:rPr>
                <w:rPr>
                  <w:rFonts w:ascii="Cambria Math" w:hAnsi="Cambria Math"/>
                  <w:color w:val="1F4E9E"/>
                </w:rPr>
                <m:t xml:space="preserve">=</m:t>
              </m:r>
              <m:f>
                <m:fPr>
                  <m:ctrlPr/>
                </m:fPr>
                <m:num>
                  <m:sSup>
                    <m:sSupPr>
                      <m:ctrlPr/>
                    </m:sSupPr>
                    <m:e>
                      <m:r>
                        <w:rPr>
                          <w:rFonts w:ascii="Cambria Math" w:hAnsi="Cambria Math"/>
                          <w:color w:val="1F4E9E"/>
                        </w:rPr>
                        <m:t xml:space="preserve">λ</m:t>
                      </m:r>
                    </m:e>
                    <m:sup>
                      <m:r>
                        <m:rPr>
                          <m:nor/>
                        </m:rPr>
                        <w:rPr>
                          <w:rFonts w:ascii="Cambria Math" w:hAnsi="Cambria Math"/>
                          <w:color w:val="1F4E9E"/>
                        </w:rPr>
                        <m:t xml:space="preserve">2</m:t>
                      </m:r>
                    </m:sup>
                  </m:sSup>
                  <m:sSubSup>
                    <m:sSubSupPr>
                      <m:ctrlPr/>
                    </m:sSubSupPr>
                    <m:e>
                      <m:r>
                        <w:rPr>
                          <w:rFonts w:ascii="Cambria Math" w:hAnsi="Cambria Math"/>
                          <w:color w:val="1F4E9E"/>
                        </w:rPr>
                        <m:t xml:space="preserve">σ</m:t>
                      </m:r>
                    </m:e>
                    <m:sub>
                      <m:r>
                        <w:rPr>
                          <w:rFonts w:ascii="Cambria Math" w:hAnsi="Cambria Math"/>
                          <w:color w:val="1F4E9E"/>
                        </w:rPr>
                        <m:t xml:space="preserve">ε</m:t>
                      </m:r>
                    </m:sub>
                    <m:sup>
                      <m:r>
                        <m:rPr>
                          <m:nor/>
                        </m:rPr>
                        <w:rPr>
                          <w:rFonts w:ascii="Cambria Math" w:hAnsi="Cambria Math"/>
                          <w:color w:val="1F4E9E"/>
                        </w:rPr>
                        <m:t xml:space="preserve">2</m:t>
                      </m:r>
                    </m:sup>
                  </m:sSubSup>
                </m:num>
                <m:den>
                  <m:sSup>
                    <m:sSupPr>
                      <m:ctrlPr/>
                    </m:sSupPr>
                    <m:e>
                      <m:d>
                        <m:dPr>
                          <m:begChr m:val="("/>
                          <m:endChr m:val=")"/>
                          <m:ctrlPr/>
                        </m:dPr>
                        <m:e>
                          <m:r>
                            <w:rPr>
                              <w:rFonts w:ascii="Cambria Math" w:hAnsi="Cambria Math"/>
                              <w:color w:val="1F4E9E"/>
                            </w:rPr>
                            <m:t xml:space="preserve">λ</m:t>
                          </m:r>
                          <m:r>
                            <m:rPr>
                              <m:nor/>
                            </m:rPr>
                            <w:rPr>
                              <w:rFonts w:ascii="Cambria Math" w:hAnsi="Cambria Math"/>
                              <w:color w:val="1F4E9E"/>
                            </w:rPr>
                            <m:t xml:space="preserve">-</m:t>
                          </m:r>
                          <m:r>
                            <w:rPr>
                              <w:rFonts w:ascii="Cambria Math" w:hAnsi="Cambria Math"/>
                              <w:color w:val="1F4E9E"/>
                            </w:rPr>
                            <m:t xml:space="preserve">κ</m:t>
                          </m:r>
                        </m:e>
                      </m:d>
                    </m:e>
                    <m:sup>
                      <m:r>
                        <m:rPr>
                          <m:nor/>
                        </m:rPr>
                        <w:rPr>
                          <w:rFonts w:ascii="Cambria Math" w:hAnsi="Cambria Math"/>
                          <w:color w:val="1F4E9E"/>
                        </w:rPr>
                        <m:t xml:space="preserve">2</m:t>
                      </m:r>
                    </m:sup>
                  </m:sSup>
                </m:den>
              </m:f>
              <m:d>
                <m:dPr>
                  <m:begChr m:val="["/>
                  <m:endChr m:val="]"/>
                  <m:ctrlPr/>
                </m:dPr>
                <m:e>
                  <m:f>
                    <m:fPr>
                      <m:ctrlPr/>
                    </m:fPr>
                    <m:num>
                      <m:r>
                        <w:rPr>
                          <w:rFonts w:ascii="Cambria Math" w:hAnsi="Cambria Math"/>
                          <w:color w:val="1F4E9E"/>
                        </w:rPr>
                        <m:t xml:space="preserve">κ</m:t>
                      </m:r>
                      <m:d>
                        <m:dPr>
                          <m:begChr m:val="("/>
                          <m:endChr m:val=")"/>
                          <m:ctrlPr/>
                        </m:dPr>
                        <m:e>
                          <m:r>
                            <m:rPr>
                              <m:nor/>
                            </m:rPr>
                            <w:rPr>
                              <w:rFonts w:ascii="Cambria Math" w:hAnsi="Cambria Math"/>
                              <w:color w:val="1F4E9E"/>
                            </w:rPr>
                            <m:t xml:space="preserve">1</m:t>
                          </m:r>
                          <m:r>
                            <m:rPr>
                              <m:nor/>
                            </m:rPr>
                            <w:rPr>
                              <w:rFonts w:ascii="Cambria Math" w:hAnsi="Cambria Math"/>
                              <w:color w:val="1F4E9E"/>
                            </w:rPr>
                            <m:t xml:space="preserve">-</m:t>
                          </m:r>
                          <m:sSup>
                            <m:sSupPr>
                              <m:ctrlPr/>
                            </m:sSupPr>
                            <m:e>
                              <m:r>
                                <w:rPr>
                                  <w:rFonts w:ascii="Cambria Math" w:hAnsi="Cambria Math"/>
                                  <w:color w:val="1F4E9E"/>
                                </w:rPr>
                                <m:t xml:space="preserve">e</m:t>
                              </m:r>
                            </m:e>
                            <m:sup>
                              <m:r>
                                <m:rPr>
                                  <m:nor/>
                                </m:rPr>
                                <w:rPr>
                                  <w:rFonts w:ascii="Cambria Math" w:hAnsi="Cambria Math"/>
                                  <w:color w:val="1F4E9E"/>
                                </w:rPr>
                                <m:t xml:space="preserve">-</m:t>
                              </m:r>
                              <m:r>
                                <m:rPr>
                                  <m:nor/>
                                </m:rPr>
                                <w:rPr>
                                  <w:rFonts w:ascii="Cambria Math" w:hAnsi="Cambria Math"/>
                                  <w:color w:val="1F4E9E"/>
                                </w:rPr>
                                <m:t xml:space="preserve">2</m:t>
                              </m:r>
                              <m:r>
                                <w:rPr>
                                  <w:rFonts w:ascii="Cambria Math" w:hAnsi="Cambria Math"/>
                                  <w:color w:val="1F4E9E"/>
                                </w:rPr>
                                <m:t xml:space="preserve">κ</m:t>
                              </m:r>
                              <m:r>
                                <w:rPr>
                                  <w:rFonts w:ascii="Cambria Math" w:hAnsi="Cambria Math"/>
                                  <w:color w:val="1F4E9E"/>
                                </w:rPr>
                                <m:t xml:space="preserve">ρ</m:t>
                              </m:r>
                            </m:sup>
                          </m:sSup>
                        </m:e>
                      </m:d>
                    </m:num>
                    <m:den>
                      <m:r>
                        <m:rPr>
                          <m:nor/>
                        </m:rPr>
                        <w:rPr>
                          <w:rFonts w:ascii="Cambria Math" w:hAnsi="Cambria Math"/>
                          <w:color w:val="1F4E9E"/>
                        </w:rPr>
                        <m:t xml:space="preserve">2</m:t>
                      </m:r>
                    </m:den>
                  </m:f>
                  <m:r>
                    <m:rPr>
                      <m:nor/>
                    </m:rPr>
                    <w:rPr>
                      <w:rFonts w:ascii="Cambria Math" w:hAnsi="Cambria Math"/>
                      <w:color w:val="1F4E9E"/>
                    </w:rPr>
                    <m:t xml:space="preserve">-</m:t>
                  </m:r>
                  <m:f>
                    <m:fPr>
                      <m:ctrlPr/>
                    </m:fPr>
                    <m:num>
                      <m:r>
                        <m:rPr>
                          <m:nor/>
                        </m:rPr>
                        <w:rPr>
                          <w:rFonts w:ascii="Cambria Math" w:hAnsi="Cambria Math"/>
                          <w:color w:val="1F4E9E"/>
                        </w:rPr>
                        <m:t xml:space="preserve">2</m:t>
                      </m:r>
                      <m:r>
                        <w:rPr>
                          <w:rFonts w:ascii="Cambria Math" w:hAnsi="Cambria Math"/>
                          <w:color w:val="1F4E9E"/>
                        </w:rPr>
                        <m:t xml:space="preserve">κ</m:t>
                      </m:r>
                      <m:r>
                        <w:rPr>
                          <w:rFonts w:ascii="Cambria Math" w:hAnsi="Cambria Math"/>
                          <w:color w:val="1F4E9E"/>
                        </w:rPr>
                        <m:t xml:space="preserve">λ</m:t>
                      </m:r>
                      <m:d>
                        <m:dPr>
                          <m:begChr m:val="("/>
                          <m:endChr m:val=")"/>
                          <m:ctrlPr/>
                        </m:dPr>
                        <m:e>
                          <m:r>
                            <m:rPr>
                              <m:nor/>
                            </m:rPr>
                            <w:rPr>
                              <w:rFonts w:ascii="Cambria Math" w:hAnsi="Cambria Math"/>
                              <w:color w:val="1F4E9E"/>
                            </w:rPr>
                            <m:t xml:space="preserve">1</m:t>
                          </m:r>
                          <m:r>
                            <m:rPr>
                              <m:nor/>
                            </m:rPr>
                            <w:rPr>
                              <w:rFonts w:ascii="Cambria Math" w:hAnsi="Cambria Math"/>
                              <w:color w:val="1F4E9E"/>
                            </w:rPr>
                            <m:t xml:space="preserve">-</m:t>
                          </m:r>
                          <m:sSup>
                            <m:sSupPr>
                              <m:ctrlPr/>
                            </m:sSupPr>
                            <m:e>
                              <m:r>
                                <w:rPr>
                                  <w:rFonts w:ascii="Cambria Math" w:hAnsi="Cambria Math"/>
                                  <w:color w:val="1F4E9E"/>
                                </w:rPr>
                                <m:t xml:space="preserve">e</m:t>
                              </m:r>
                            </m:e>
                            <m:sup>
                              <m:r>
                                <m:rPr>
                                  <m:nor/>
                                </m:rPr>
                                <w:rPr>
                                  <w:rFonts w:ascii="Cambria Math" w:hAnsi="Cambria Math"/>
                                  <w:color w:val="1F4E9E"/>
                                </w:rPr>
                                <m:t xml:space="preserve">-</m:t>
                              </m:r>
                              <m:d>
                                <m:dPr>
                                  <m:begChr m:val="("/>
                                  <m:endChr m:val=")"/>
                                  <m:ctrlPr/>
                                </m:dPr>
                                <m:e>
                                  <m:r>
                                    <w:rPr>
                                      <w:rFonts w:ascii="Cambria Math" w:hAnsi="Cambria Math"/>
                                      <w:color w:val="1F4E9E"/>
                                    </w:rPr>
                                    <m:t xml:space="preserve">λ</m:t>
                                  </m:r>
                                  <m:r>
                                    <m:rPr>
                                      <m:nor/>
                                    </m:rPr>
                                    <w:rPr>
                                      <w:rFonts w:ascii="Cambria Math" w:hAnsi="Cambria Math"/>
                                      <w:color w:val="1F4E9E"/>
                                    </w:rPr>
                                    <m:t xml:space="preserve">+</m:t>
                                  </m:r>
                                  <m:r>
                                    <w:rPr>
                                      <w:rFonts w:ascii="Cambria Math" w:hAnsi="Cambria Math"/>
                                      <w:color w:val="1F4E9E"/>
                                    </w:rPr>
                                    <m:t xml:space="preserve">κ</m:t>
                                  </m:r>
                                </m:e>
                              </m:d>
                              <m:r>
                                <w:rPr>
                                  <w:rFonts w:ascii="Cambria Math" w:hAnsi="Cambria Math"/>
                                  <w:color w:val="1F4E9E"/>
                                </w:rPr>
                                <m:t xml:space="preserve">ρ</m:t>
                              </m:r>
                            </m:sup>
                          </m:sSup>
                        </m:e>
                      </m:d>
                    </m:num>
                    <m:den>
                      <m:r>
                        <w:rPr>
                          <w:rFonts w:ascii="Cambria Math" w:hAnsi="Cambria Math"/>
                          <w:color w:val="1F4E9E"/>
                        </w:rPr>
                        <m:t xml:space="preserve">λ</m:t>
                      </m:r>
                      <m:r>
                        <m:rPr>
                          <m:nor/>
                        </m:rPr>
                        <w:rPr>
                          <w:rFonts w:ascii="Cambria Math" w:hAnsi="Cambria Math"/>
                          <w:color w:val="1F4E9E"/>
                        </w:rPr>
                        <m:t xml:space="preserve">+</m:t>
                      </m:r>
                      <m:r>
                        <w:rPr>
                          <w:rFonts w:ascii="Cambria Math" w:hAnsi="Cambria Math"/>
                          <w:color w:val="1F4E9E"/>
                        </w:rPr>
                        <m:t xml:space="preserve">κ</m:t>
                      </m:r>
                    </m:den>
                  </m:f>
                  <m:r>
                    <m:rPr>
                      <m:nor/>
                    </m:rPr>
                    <w:rPr>
                      <w:rFonts w:ascii="Cambria Math" w:hAnsi="Cambria Math"/>
                      <w:color w:val="1F4E9E"/>
                    </w:rPr>
                    <m:t xml:space="preserve">+</m:t>
                  </m:r>
                  <m:f>
                    <m:fPr>
                      <m:ctrlPr/>
                    </m:fPr>
                    <m:num>
                      <m:r>
                        <w:rPr>
                          <w:rFonts w:ascii="Cambria Math" w:hAnsi="Cambria Math"/>
                          <w:color w:val="1F4E9E"/>
                        </w:rPr>
                        <m:t xml:space="preserve">λ</m:t>
                      </m:r>
                      <m:d>
                        <m:dPr>
                          <m:begChr m:val="("/>
                          <m:endChr m:val=")"/>
                          <m:ctrlPr/>
                        </m:dPr>
                        <m:e>
                          <m:r>
                            <m:rPr>
                              <m:nor/>
                            </m:rPr>
                            <w:rPr>
                              <w:rFonts w:ascii="Cambria Math" w:hAnsi="Cambria Math"/>
                              <w:color w:val="1F4E9E"/>
                            </w:rPr>
                            <m:t xml:space="preserve">1</m:t>
                          </m:r>
                          <m:r>
                            <m:rPr>
                              <m:nor/>
                            </m:rPr>
                            <w:rPr>
                              <w:rFonts w:ascii="Cambria Math" w:hAnsi="Cambria Math"/>
                              <w:color w:val="1F4E9E"/>
                            </w:rPr>
                            <m:t xml:space="preserve">-</m:t>
                          </m:r>
                          <m:sSup>
                            <m:sSupPr>
                              <m:ctrlPr/>
                            </m:sSupPr>
                            <m:e>
                              <m:r>
                                <w:rPr>
                                  <w:rFonts w:ascii="Cambria Math" w:hAnsi="Cambria Math"/>
                                  <w:color w:val="1F4E9E"/>
                                </w:rPr>
                                <m:t xml:space="preserve">e</m:t>
                              </m:r>
                            </m:e>
                            <m:sup>
                              <m:r>
                                <m:rPr>
                                  <m:nor/>
                                </m:rPr>
                                <w:rPr>
                                  <w:rFonts w:ascii="Cambria Math" w:hAnsi="Cambria Math"/>
                                  <w:color w:val="1F4E9E"/>
                                </w:rPr>
                                <m:t xml:space="preserve">-</m:t>
                              </m:r>
                              <m:r>
                                <m:rPr>
                                  <m:nor/>
                                </m:rPr>
                                <w:rPr>
                                  <w:rFonts w:ascii="Cambria Math" w:hAnsi="Cambria Math"/>
                                  <w:color w:val="1F4E9E"/>
                                </w:rPr>
                                <m:t xml:space="preserve">2</m:t>
                              </m:r>
                              <m:r>
                                <w:rPr>
                                  <w:rFonts w:ascii="Cambria Math" w:hAnsi="Cambria Math"/>
                                  <w:color w:val="1F4E9E"/>
                                </w:rPr>
                                <m:t xml:space="preserve">λ</m:t>
                              </m:r>
                              <m:r>
                                <w:rPr>
                                  <w:rFonts w:ascii="Cambria Math" w:hAnsi="Cambria Math"/>
                                  <w:color w:val="1F4E9E"/>
                                </w:rPr>
                                <m:t xml:space="preserve">ρ</m:t>
                              </m:r>
                            </m:sup>
                          </m:sSup>
                        </m:e>
                      </m:d>
                    </m:num>
                    <m:den>
                      <m:r>
                        <m:rPr>
                          <m:nor/>
                        </m:rPr>
                        <w:rPr>
                          <w:rFonts w:ascii="Cambria Math" w:hAnsi="Cambria Math"/>
                          <w:color w:val="1F4E9E"/>
                        </w:rPr>
                        <m:t xml:space="preserve">2</m:t>
                      </m:r>
                    </m:den>
                  </m:f>
                </m:e>
              </m:d>
              <m:r>
                <w:rPr>
                  <w:rFonts w:ascii="Cambria Math" w:hAnsi="Cambria Math"/>
                  <w:color w:val="1F4E9E"/>
                </w:rPr>
                <m:t xml:space="preserve">#</m:t>
              </m:r>
              <m:d>
                <m:dPr>
                  <m:begChr m:val="("/>
                  <m:endChr m:val=")"/>
                  <m:ctrlPr/>
                </m:dPr>
                <m:e>
                  <m:r>
                    <m:rPr>
                      <m:nor/>
                    </m:rPr>
                    <w:rPr>
                      <w:rFonts w:ascii="Cambria Math" w:hAnsi="Cambria Math"/>
                      <w:color w:val="1F4E9E"/>
                    </w:rPr>
                    <m:t xml:space="preserve">1</m:t>
                  </m:r>
                  <m:r>
                    <m:rPr>
                      <m:nor/>
                    </m:rPr>
                    <w:rPr>
                      <w:rFonts w:ascii="Cambria Math" w:hAnsi="Cambria Math"/>
                      <w:color w:val="1F4E9E"/>
                    </w:rPr>
                    <m:t xml:space="preserve">6</m:t>
                  </m:r>
                </m:e>
              </m:d>
            </m:e>
          </m:eqArr>
        </m:oMath>
      </m:oMathPara>
    </w:p>
    <w:p w14:paraId="73212C5D" w14:textId="77777777" w:rsidR="00205CBC" w:rsidRDefault="00000000">
      <w:r>
        <w:rPr>
          <w:color w:val="1F4E9E"/>
        </w:rPr>
        <w:t xml:space="preserve">These hold when the two rates differ. When they coincide the cascade has a repeated pole: the basis </w:t>
      </w:r>
      <m:oMath>
        <m:r>
          <m:rPr>
            <m:nor/>
          </m:rPr>
          <w:rPr>
            <w:rFonts w:ascii="Cambria Math" w:hAnsi="Cambria Math"/>
            <w:color w:val="1F4E9E"/>
          </w:rPr>
          <m:t xml:space="preserve">{</m:t>
        </m:r>
        <m:sSup>
          <m:sSupPr>
            <m:ctrlPr/>
          </m:sSupPr>
          <m:e>
            <m:r>
              <w:rPr>
                <w:rFonts w:ascii="Cambria Math" w:hAnsi="Cambria Math"/>
                <w:color w:val="1F4E9E"/>
              </w:rPr>
              <m:t xml:space="preserve">e</m:t>
            </m:r>
          </m:e>
          <m:sup>
            <m:r>
              <m:rPr>
                <m:nor/>
              </m:rPr>
              <w:rPr>
                <w:rFonts w:ascii="Cambria Math" w:hAnsi="Cambria Math"/>
                <w:color w:val="1F4E9E"/>
              </w:rPr>
              <m:t xml:space="preserve">-</m:t>
            </m:r>
            <m:r>
              <w:rPr>
                <w:rFonts w:ascii="Cambria Math" w:hAnsi="Cambria Math"/>
                <w:color w:val="1F4E9E"/>
              </w:rPr>
              <m:t xml:space="preserve">κ</m:t>
            </m:r>
            <m:r>
              <w:rPr>
                <w:rFonts w:ascii="Cambria Math" w:hAnsi="Cambria Math"/>
                <w:color w:val="1F4E9E"/>
              </w:rPr>
              <m:t xml:space="preserve">v</m:t>
            </m:r>
          </m:sup>
        </m:sSup>
        <m:r>
          <m:rPr>
            <m:nor/>
          </m:rPr>
          <w:rPr>
            <w:rFonts w:ascii="Cambria Math" w:hAnsi="Cambria Math"/>
            <w:color w:val="1F4E9E"/>
          </w:rPr>
          <m:t xml:space="preserve">,</m:t>
        </m:r>
        <m:sSup>
          <m:sSupPr>
            <m:ctrlPr/>
          </m:sSupPr>
          <m:e>
            <m:r>
              <w:rPr>
                <w:rFonts w:ascii="Cambria Math" w:hAnsi="Cambria Math"/>
                <w:color w:val="1F4E9E"/>
              </w:rPr>
              <m:t xml:space="preserve">e</m:t>
            </m:r>
          </m:e>
          <m:sup>
            <m:r>
              <m:rPr>
                <m:nor/>
              </m:rPr>
              <w:rPr>
                <w:rFonts w:ascii="Cambria Math" w:hAnsi="Cambria Math"/>
                <w:color w:val="1F4E9E"/>
              </w:rPr>
              <m:t xml:space="preserve">-</m:t>
            </m:r>
            <m:r>
              <w:rPr>
                <w:rFonts w:ascii="Cambria Math" w:hAnsi="Cambria Math"/>
                <w:color w:val="1F4E9E"/>
              </w:rPr>
              <m:t xml:space="preserve">λ</m:t>
            </m:r>
            <m:r>
              <w:rPr>
                <w:rFonts w:ascii="Cambria Math" w:hAnsi="Cambria Math"/>
                <w:color w:val="1F4E9E"/>
              </w:rPr>
              <m:t xml:space="preserve">v</m:t>
            </m:r>
          </m:sup>
        </m:sSup>
        <m:r>
          <m:rPr>
            <m:nor/>
          </m:rPr>
          <w:rPr>
            <w:rFonts w:ascii="Cambria Math" w:hAnsi="Cambria Math"/>
            <w:color w:val="1F4E9E"/>
          </w:rPr>
          <m:t xml:space="preserve">}</m:t>
        </m:r>
      </m:oMath>
      <w:r>
        <w:rPr>
          <w:color w:val="1F4E9E"/>
        </w:rPr>
        <w:t xml:space="preserve"> degenerates into </w:t>
      </w:r>
      <m:oMath>
        <m:r>
          <m:rPr>
            <m:nor/>
          </m:rPr>
          <w:rPr>
            <w:rFonts w:ascii="Cambria Math" w:hAnsi="Cambria Math"/>
            <w:color w:val="1F4E9E"/>
          </w:rPr>
          <m:t xml:space="preserve">{</m:t>
        </m:r>
        <m:sSup>
          <m:sSupPr>
            <m:ctrlPr/>
          </m:sSupPr>
          <m:e>
            <m:r>
              <w:rPr>
                <w:rFonts w:ascii="Cambria Math" w:hAnsi="Cambria Math"/>
                <w:color w:val="1F4E9E"/>
              </w:rPr>
              <m:t xml:space="preserve">e</m:t>
            </m:r>
          </m:e>
          <m:sup>
            <m:r>
              <m:rPr>
                <m:nor/>
              </m:rPr>
              <w:rPr>
                <w:rFonts w:ascii="Cambria Math" w:hAnsi="Cambria Math"/>
                <w:color w:val="1F4E9E"/>
              </w:rPr>
              <m:t xml:space="preserve">-</m:t>
            </m:r>
            <m:r>
              <w:rPr>
                <w:rFonts w:ascii="Cambria Math" w:hAnsi="Cambria Math"/>
                <w:color w:val="1F4E9E"/>
              </w:rPr>
              <m:t xml:space="preserve">λ</m:t>
            </m:r>
            <m:r>
              <w:rPr>
                <w:rFonts w:ascii="Cambria Math" w:hAnsi="Cambria Math"/>
                <w:color w:val="1F4E9E"/>
              </w:rPr>
              <m:t xml:space="preserve">v</m:t>
            </m:r>
          </m:sup>
        </m:sSup>
        <m:r>
          <m:rPr>
            <m:nor/>
          </m:rPr>
          <w:rPr>
            <w:rFonts w:ascii="Cambria Math" w:hAnsi="Cambria Math"/>
            <w:color w:val="1F4E9E"/>
          </w:rPr>
          <m:t xml:space="preserve">,</m:t>
        </m:r>
        <m:r>
          <w:rPr>
            <w:rFonts w:ascii="Cambria Math" w:hAnsi="Cambria Math"/>
            <w:color w:val="1F4E9E"/>
          </w:rPr>
          <m:t xml:space="preserve">v</m:t>
        </m:r>
        <m:sSup>
          <m:sSupPr>
            <m:ctrlPr/>
          </m:sSupPr>
          <m:e>
            <m:r>
              <w:rPr>
                <w:rFonts w:ascii="Cambria Math" w:hAnsi="Cambria Math"/>
                <w:color w:val="1F4E9E"/>
              </w:rPr>
              <m:t xml:space="preserve">e</m:t>
            </m:r>
          </m:e>
          <m:sup>
            <m:r>
              <m:rPr>
                <m:nor/>
              </m:rPr>
              <w:rPr>
                <w:rFonts w:ascii="Cambria Math" w:hAnsi="Cambria Math"/>
                <w:color w:val="1F4E9E"/>
              </w:rPr>
              <m:t xml:space="preserve">-</m:t>
            </m:r>
            <m:r>
              <w:rPr>
                <w:rFonts w:ascii="Cambria Math" w:hAnsi="Cambria Math"/>
                <w:color w:val="1F4E9E"/>
              </w:rPr>
              <m:t xml:space="preserve">λ</m:t>
            </m:r>
            <m:r>
              <w:rPr>
                <w:rFonts w:ascii="Cambria Math" w:hAnsi="Cambria Math"/>
                <w:color w:val="1F4E9E"/>
              </w:rPr>
              <m:t xml:space="preserve">v</m:t>
            </m:r>
          </m:sup>
        </m:sSup>
        <m:r>
          <m:rPr>
            <m:nor/>
          </m:rPr>
          <w:rPr>
            <w:rFonts w:ascii="Cambria Math" w:hAnsi="Cambria Math"/>
            <w:color w:val="1F4E9E"/>
          </w:rPr>
          <m:t xml:space="preserve">}</m:t>
        </m:r>
      </m:oMath>
      <w:r>
        <w:rPr>
          <w:color w:val="1F4E9E"/>
        </w:rPr>
        <w:t xml:space="preserve">, and (14) to (16) are replaced by their limits at </w:t>
      </w:r>
      <m:oMath>
        <m:r>
          <w:rPr>
            <w:rFonts w:ascii="Cambria Math" w:hAnsi="Cambria Math"/>
            <w:color w:val="1F4E9E"/>
          </w:rPr>
          <m:t xml:space="preserve">κ</m:t>
        </m:r>
        <m:r>
          <m:rPr>
            <m:nor/>
          </m:rPr>
          <w:rPr>
            <w:rFonts w:ascii="Cambria Math" w:hAnsi="Cambria Math"/>
            <w:color w:val="1F4E9E"/>
          </w:rPr>
          <m:t xml:space="preserve">=</m:t>
        </m:r>
        <m:r>
          <w:rPr>
            <w:rFonts w:ascii="Cambria Math" w:hAnsi="Cambria Math"/>
            <w:color w:val="1F4E9E"/>
          </w:rPr>
          <m:t xml:space="preserve">λ</m:t>
        </m:r>
      </m:oMath>
      <w:r>
        <w:rPr>
          <w:color w:val="1F4E9E"/>
        </w:rPr>
        <w:t xml:space="preserve">, namely </w:t>
      </w:r>
      <m:oMath>
        <m:r>
          <w:rPr>
            <w:rFonts w:ascii="Cambria Math" w:hAnsi="Cambria Math"/>
            <w:color w:val="1F4E9E"/>
          </w:rPr>
          <m:t xml:space="preserve">K</m:t>
        </m:r>
        <m:d>
          <m:dPr>
            <m:begChr m:val="("/>
            <m:endChr m:val=")"/>
            <m:ctrlPr/>
          </m:dPr>
          <m:e>
            <m:r>
              <w:rPr>
                <w:rFonts w:ascii="Cambria Math" w:hAnsi="Cambria Math"/>
                <w:color w:val="1F4E9E"/>
              </w:rPr>
              <m:t xml:space="preserve">v</m:t>
            </m:r>
          </m:e>
        </m:d>
        <m:r>
          <m:rPr>
            <m:nor/>
          </m:rPr>
          <w:rPr>
            <w:rFonts w:ascii="Cambria Math" w:hAnsi="Cambria Math"/>
            <w:color w:val="1F4E9E"/>
          </w:rPr>
          <m:t xml:space="preserve">=</m:t>
        </m:r>
        <m:r>
          <w:rPr>
            <w:rFonts w:ascii="Cambria Math" w:hAnsi="Cambria Math"/>
            <w:color w:val="1F4E9E"/>
          </w:rPr>
          <m:t xml:space="preserve">λ</m:t>
        </m:r>
        <m:sSub>
          <m:sSubPr>
            <m:ctrlPr/>
          </m:sSubPr>
          <m:e>
            <m:r>
              <w:rPr>
                <w:rFonts w:ascii="Cambria Math" w:hAnsi="Cambria Math"/>
                <w:color w:val="1F4E9E"/>
              </w:rPr>
              <m:t xml:space="preserve">σ</m:t>
            </m:r>
          </m:e>
          <m:sub>
            <m:r>
              <w:rPr>
                <w:rFonts w:ascii="Cambria Math" w:hAnsi="Cambria Math"/>
                <w:color w:val="1F4E9E"/>
              </w:rPr>
              <m:t xml:space="preserve">ε</m:t>
            </m:r>
          </m:sub>
        </m:sSub>
        <m:r>
          <w:rPr>
            <w:rFonts w:ascii="Cambria Math" w:hAnsi="Cambria Math"/>
            <w:color w:val="1F4E9E"/>
          </w:rPr>
          <m:t xml:space="preserve">v</m:t>
        </m:r>
        <m:sSup>
          <m:sSupPr>
            <m:ctrlPr/>
          </m:sSupPr>
          <m:e>
            <m:r>
              <w:rPr>
                <w:rFonts w:ascii="Cambria Math" w:hAnsi="Cambria Math"/>
                <w:color w:val="1F4E9E"/>
              </w:rPr>
              <m:t xml:space="preserve">e</m:t>
            </m:r>
          </m:e>
          <m:sup>
            <m:r>
              <m:rPr>
                <m:nor/>
              </m:rPr>
              <w:rPr>
                <w:rFonts w:ascii="Cambria Math" w:hAnsi="Cambria Math"/>
                <w:color w:val="1F4E9E"/>
              </w:rPr>
              <m:t xml:space="preserve">-</m:t>
            </m:r>
            <m:r>
              <w:rPr>
                <w:rFonts w:ascii="Cambria Math" w:hAnsi="Cambria Math"/>
                <w:color w:val="1F4E9E"/>
              </w:rPr>
              <m:t xml:space="preserve">λ</m:t>
            </m:r>
            <m:r>
              <w:rPr>
                <w:rFonts w:ascii="Cambria Math" w:hAnsi="Cambria Math"/>
                <w:color w:val="1F4E9E"/>
              </w:rPr>
              <m:t xml:space="preserve">v</m:t>
            </m:r>
          </m:sup>
        </m:sSup>
      </m:oMath>
      <w:r>
        <w:rPr>
          <w:color w:val="1F4E9E"/>
        </w:rPr>
        <w:t xml:space="preserve"> and, writing </w:t>
      </w:r>
      <m:oMath>
        <m:r>
          <w:rPr>
            <w:rFonts w:ascii="Cambria Math" w:hAnsi="Cambria Math"/>
            <w:color w:val="1F4E9E"/>
          </w:rPr>
          <m:t xml:space="preserve">E</m:t>
        </m:r>
        <m:r>
          <m:rPr>
            <m:nor/>
          </m:rPr>
          <w:rPr>
            <w:rFonts w:ascii="Cambria Math" w:hAnsi="Cambria Math"/>
            <w:color w:val="1F4E9E"/>
          </w:rPr>
          <m:t xml:space="preserve">=</m:t>
        </m:r>
        <m:sSup>
          <m:sSupPr>
            <m:ctrlPr/>
          </m:sSupPr>
          <m:e>
            <m:r>
              <w:rPr>
                <w:rFonts w:ascii="Cambria Math" w:hAnsi="Cambria Math"/>
                <w:color w:val="1F4E9E"/>
              </w:rPr>
              <m:t xml:space="preserve">e</m:t>
            </m:r>
          </m:e>
          <m:sup>
            <m:r>
              <m:rPr>
                <m:nor/>
              </m:rPr>
              <w:rPr>
                <w:rFonts w:ascii="Cambria Math" w:hAnsi="Cambria Math"/>
                <w:color w:val="1F4E9E"/>
              </w:rPr>
              <m:t xml:space="preserve">-</m:t>
            </m:r>
            <m:r>
              <m:rPr>
                <m:nor/>
              </m:rPr>
              <w:rPr>
                <w:rFonts w:ascii="Cambria Math" w:hAnsi="Cambria Math"/>
                <w:color w:val="1F4E9E"/>
              </w:rPr>
              <m:t xml:space="preserve">2</m:t>
            </m:r>
            <m:r>
              <w:rPr>
                <w:rFonts w:ascii="Cambria Math" w:hAnsi="Cambria Math"/>
                <w:color w:val="1F4E9E"/>
              </w:rPr>
              <m:t xml:space="preserve">λ</m:t>
            </m:r>
            <m:r>
              <w:rPr>
                <w:rFonts w:ascii="Cambria Math" w:hAnsi="Cambria Math"/>
                <w:color w:val="1F4E9E"/>
              </w:rPr>
              <m:t xml:space="preserve">ρ</m:t>
            </m:r>
          </m:sup>
        </m:sSup>
      </m:oMath>
      <w:r>
        <w:rPr>
          <w:color w:val="1F4E9E"/>
        </w:rPr>
        <w:t xml:space="preserve">,</w:t>
      </w:r>
    </w:p>
    <w:p w14:paraId="73212C5D" w14:textId="77777777" w:rsidR="00205CBC" w:rsidRDefault="00000000">
      <m:oMathPara>
        <m:oMath>
          <m:eqArr>
            <m:eqArrPr>
              <m:maxDist m:val="1"/>
              <m:ctrlPr/>
            </m:eqArrPr>
            <m:e>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d>
                <m:dPr>
                  <m:begChr m:val="("/>
                  <m:endChr m:val=")"/>
                  <m:ctrlPr/>
                </m:dPr>
                <m:e>
                  <m:r>
                    <w:rPr>
                      <w:rFonts w:ascii="Cambria Math" w:hAnsi="Cambria Math"/>
                      <w:color w:val="1F4E9E"/>
                    </w:rPr>
                    <m:t xml:space="preserve">ρ</m:t>
                  </m:r>
                </m:e>
              </m:d>
              <m:r>
                <m:rPr>
                  <m:nor/>
                </m:rPr>
                <w:rPr>
                  <w:rFonts w:ascii="Cambria Math" w:hAnsi="Cambria Math"/>
                  <w:color w:val="1F4E9E"/>
                </w:rPr>
                <m:t xml:space="preserve">=</m:t>
              </m:r>
              <m:f>
                <m:fPr>
                  <m:ctrlPr/>
                </m:fPr>
                <m:num>
                  <m:sSubSup>
                    <m:sSubSupPr>
                      <m:ctrlPr/>
                    </m:sSubSupPr>
                    <m:e>
                      <m:r>
                        <w:rPr>
                          <w:rFonts w:ascii="Cambria Math" w:hAnsi="Cambria Math"/>
                          <w:color w:val="1F4E9E"/>
                        </w:rPr>
                        <m:t xml:space="preserve">σ</m:t>
                      </m:r>
                    </m:e>
                    <m:sub>
                      <m:r>
                        <w:rPr>
                          <w:rFonts w:ascii="Cambria Math" w:hAnsi="Cambria Math"/>
                          <w:color w:val="1F4E9E"/>
                        </w:rPr>
                        <m:t xml:space="preserve">ε</m:t>
                      </m:r>
                    </m:sub>
                    <m:sup>
                      <m:r>
                        <m:rPr>
                          <m:nor/>
                        </m:rPr>
                        <w:rPr>
                          <w:rFonts w:ascii="Cambria Math" w:hAnsi="Cambria Math"/>
                          <w:color w:val="1F4E9E"/>
                        </w:rPr>
                        <m:t xml:space="preserve">2</m:t>
                      </m:r>
                    </m:sup>
                  </m:sSubSup>
                </m:num>
                <m:den>
                  <m:r>
                    <m:rPr>
                      <m:nor/>
                    </m:rPr>
                    <w:rPr>
                      <w:rFonts w:ascii="Cambria Math" w:hAnsi="Cambria Math"/>
                      <w:color w:val="1F4E9E"/>
                    </w:rPr>
                    <m:t xml:space="preserve">4</m:t>
                  </m:r>
                  <m:r>
                    <w:rPr>
                      <w:rFonts w:ascii="Cambria Math" w:hAnsi="Cambria Math"/>
                      <w:color w:val="1F4E9E"/>
                    </w:rPr>
                    <m:t xml:space="preserve">λ</m:t>
                  </m:r>
                </m:den>
              </m:f>
              <m:d>
                <m:dPr>
                  <m:begChr m:val="["/>
                  <m:endChr m:val="]"/>
                  <m:ctrlPr/>
                </m:dPr>
                <m:e>
                  <m:r>
                    <m:rPr>
                      <m:nor/>
                    </m:rPr>
                    <w:rPr>
                      <w:rFonts w:ascii="Cambria Math" w:hAnsi="Cambria Math"/>
                      <w:color w:val="1F4E9E"/>
                    </w:rPr>
                    <m:t xml:space="preserve">1</m:t>
                  </m:r>
                  <m:r>
                    <m:rPr>
                      <m:nor/>
                    </m:rPr>
                    <w:rPr>
                      <w:rFonts w:ascii="Cambria Math" w:hAnsi="Cambria Math"/>
                      <w:color w:val="1F4E9E"/>
                    </w:rPr>
                    <m:t xml:space="preserve">-</m:t>
                  </m:r>
                  <m:r>
                    <w:rPr>
                      <w:rFonts w:ascii="Cambria Math" w:hAnsi="Cambria Math"/>
                      <w:color w:val="1F4E9E"/>
                    </w:rPr>
                    <m:t xml:space="preserve">E</m:t>
                  </m:r>
                  <m:d>
                    <m:dPr>
                      <m:begChr m:val="("/>
                      <m:endChr m:val=")"/>
                      <m:ctrlPr/>
                    </m:dPr>
                    <m:e>
                      <m:r>
                        <m:rPr>
                          <m:nor/>
                        </m:rPr>
                        <w:rPr>
                          <w:rFonts w:ascii="Cambria Math" w:hAnsi="Cambria Math"/>
                          <w:color w:val="1F4E9E"/>
                        </w:rPr>
                        <m:t xml:space="preserve">1</m:t>
                      </m:r>
                      <m:r>
                        <m:rPr>
                          <m:nor/>
                        </m:rPr>
                        <w:rPr>
                          <w:rFonts w:ascii="Cambria Math" w:hAnsi="Cambria Math"/>
                          <w:color w:val="1F4E9E"/>
                        </w:rPr>
                        <m:t xml:space="preserve">+</m:t>
                      </m:r>
                      <m:r>
                        <m:rPr>
                          <m:nor/>
                        </m:rPr>
                        <w:rPr>
                          <w:rFonts w:ascii="Cambria Math" w:hAnsi="Cambria Math"/>
                          <w:color w:val="1F4E9E"/>
                        </w:rPr>
                        <m:t xml:space="preserve">2</m:t>
                      </m:r>
                      <m:r>
                        <w:rPr>
                          <w:rFonts w:ascii="Cambria Math" w:hAnsi="Cambria Math"/>
                          <w:color w:val="1F4E9E"/>
                        </w:rPr>
                        <m:t xml:space="preserve">λ</m:t>
                      </m:r>
                      <m:r>
                        <w:rPr>
                          <w:rFonts w:ascii="Cambria Math" w:hAnsi="Cambria Math"/>
                          <w:color w:val="1F4E9E"/>
                        </w:rPr>
                        <m:t xml:space="preserve">ρ</m:t>
                      </m:r>
                      <m:r>
                        <m:rPr>
                          <m:nor/>
                        </m:rPr>
                        <w:rPr>
                          <w:rFonts w:ascii="Cambria Math" w:hAnsi="Cambria Math"/>
                          <w:color w:val="1F4E9E"/>
                        </w:rPr>
                        <m:t xml:space="preserve">+</m:t>
                      </m:r>
                      <m:r>
                        <m:rPr>
                          <m:nor/>
                        </m:rPr>
                        <w:rPr>
                          <w:rFonts w:ascii="Cambria Math" w:hAnsi="Cambria Math"/>
                          <w:color w:val="1F4E9E"/>
                        </w:rPr>
                        <m:t xml:space="preserve">2</m:t>
                      </m:r>
                      <m:sSup>
                        <m:sSupPr>
                          <m:ctrlPr/>
                        </m:sSupPr>
                        <m:e>
                          <m:r>
                            <w:rPr>
                              <w:rFonts w:ascii="Cambria Math" w:hAnsi="Cambria Math"/>
                              <w:color w:val="1F4E9E"/>
                            </w:rPr>
                            <m:t xml:space="preserve">λ</m:t>
                          </m:r>
                        </m:e>
                        <m:sup>
                          <m:r>
                            <m:rPr>
                              <m:nor/>
                            </m:rPr>
                            <w:rPr>
                              <w:rFonts w:ascii="Cambria Math" w:hAnsi="Cambria Math"/>
                              <w:color w:val="1F4E9E"/>
                            </w:rPr>
                            <m:t xml:space="preserve">2</m:t>
                          </m:r>
                        </m:sup>
                      </m:sSup>
                      <m:sSup>
                        <m:sSupPr>
                          <m:ctrlPr/>
                        </m:sSupPr>
                        <m:e>
                          <m:r>
                            <w:rPr>
                              <w:rFonts w:ascii="Cambria Math" w:hAnsi="Cambria Math"/>
                              <w:color w:val="1F4E9E"/>
                            </w:rPr>
                            <m:t xml:space="preserve">ρ</m:t>
                          </m:r>
                        </m:e>
                        <m:sup>
                          <m:r>
                            <m:rPr>
                              <m:nor/>
                            </m:rPr>
                            <w:rPr>
                              <w:rFonts w:ascii="Cambria Math" w:hAnsi="Cambria Math"/>
                              <w:color w:val="1F4E9E"/>
                            </w:rPr>
                            <m:t xml:space="preserve">2</m:t>
                          </m:r>
                        </m:sup>
                      </m:sSup>
                    </m:e>
                  </m:d>
                </m:e>
              </m:d>
              <m:r>
                <m:rPr>
                  <m:nor/>
                </m:rPr>
                <w:rPr>
                  <w:rFonts w:ascii="Cambria Math" w:hAnsi="Cambria Math"/>
                  <w:color w:val="1F4E9E"/>
                </w:rPr>
                <m:t xml:space="preserve">,</m:t>
              </m:r>
              <m:r>
                <m:rPr>
                  <m:nor/>
                </m:rPr>
                <w:rPr>
                  <w:rFonts w:ascii="Cambria Math" w:hAnsi="Cambria Math"/>
                  <w:color w:val="1F4E9E"/>
                </w:rPr>
                <m:t xml:space="preserve"> </m:t>
              </m:r>
              <m:r>
                <m:rPr>
                  <m:nor/>
                </m:rPr>
                <w:rPr>
                  <w:rFonts w:ascii="Cambria Math" w:hAnsi="Cambria Math"/>
                  <w:color w:val="1F4E9E"/>
                </w:rPr>
                <m:t xml:space="preserve">Var</m:t>
              </m:r>
              <m:r>
                <m:rPr>
                  <m:nor/>
                </m:rPr>
                <w:rPr>
                  <w:rFonts w:ascii="Cambria Math" w:hAnsi="Cambria Math"/>
                  <w:color w:val="1F4E9E"/>
                </w:rPr>
                <m:t xml:space="preserve"> </m:t>
              </m:r>
              <m:acc>
                <m:accPr>
                  <m:chr m:val="̇"/>
                  <m:ctrlPr/>
                </m:accPr>
                <m:e>
                  <m:r>
                    <w:rPr>
                      <w:rFonts w:ascii="Cambria Math" w:hAnsi="Cambria Math"/>
                      <w:color w:val="1F4E9E"/>
                    </w:rPr>
                    <m:t xml:space="preserve">H</m:t>
                  </m:r>
                </m:e>
              </m:acc>
              <m:d>
                <m:dPr>
                  <m:begChr m:val="("/>
                  <m:endChr m:val=")"/>
                  <m:ctrlPr/>
                </m:dPr>
                <m:e>
                  <m:r>
                    <w:rPr>
                      <w:rFonts w:ascii="Cambria Math" w:hAnsi="Cambria Math"/>
                      <w:color w:val="1F4E9E"/>
                    </w:rPr>
                    <m:t xml:space="preserve">ρ</m:t>
                  </m:r>
                </m:e>
              </m:d>
              <m:r>
                <m:rPr>
                  <m:nor/>
                </m:rPr>
                <w:rPr>
                  <w:rFonts w:ascii="Cambria Math" w:hAnsi="Cambria Math"/>
                  <w:color w:val="1F4E9E"/>
                </w:rPr>
                <m:t xml:space="preserve">=</m:t>
              </m:r>
              <m:f>
                <m:fPr>
                  <m:ctrlPr/>
                </m:fPr>
                <m:num>
                  <m:r>
                    <w:rPr>
                      <w:rFonts w:ascii="Cambria Math" w:hAnsi="Cambria Math"/>
                      <w:color w:val="1F4E9E"/>
                    </w:rPr>
                    <m:t xml:space="preserve">λ</m:t>
                  </m:r>
                  <m:sSubSup>
                    <m:sSubSupPr>
                      <m:ctrlPr/>
                    </m:sSubSupPr>
                    <m:e>
                      <m:r>
                        <w:rPr>
                          <w:rFonts w:ascii="Cambria Math" w:hAnsi="Cambria Math"/>
                          <w:color w:val="1F4E9E"/>
                        </w:rPr>
                        <m:t xml:space="preserve">σ</m:t>
                      </m:r>
                    </m:e>
                    <m:sub>
                      <m:r>
                        <w:rPr>
                          <w:rFonts w:ascii="Cambria Math" w:hAnsi="Cambria Math"/>
                          <w:color w:val="1F4E9E"/>
                        </w:rPr>
                        <m:t xml:space="preserve">ε</m:t>
                      </m:r>
                    </m:sub>
                    <m:sup>
                      <m:r>
                        <m:rPr>
                          <m:nor/>
                        </m:rPr>
                        <w:rPr>
                          <w:rFonts w:ascii="Cambria Math" w:hAnsi="Cambria Math"/>
                          <w:color w:val="1F4E9E"/>
                        </w:rPr>
                        <m:t xml:space="preserve">2</m:t>
                      </m:r>
                    </m:sup>
                  </m:sSubSup>
                </m:num>
                <m:den>
                  <m:r>
                    <m:rPr>
                      <m:nor/>
                    </m:rPr>
                    <w:rPr>
                      <w:rFonts w:ascii="Cambria Math" w:hAnsi="Cambria Math"/>
                      <w:color w:val="1F4E9E"/>
                    </w:rPr>
                    <m:t xml:space="preserve">4</m:t>
                  </m:r>
                </m:den>
              </m:f>
              <m:d>
                <m:dPr>
                  <m:begChr m:val="["/>
                  <m:endChr m:val="]"/>
                  <m:ctrlPr/>
                </m:dPr>
                <m:e>
                  <m:r>
                    <m:rPr>
                      <m:nor/>
                    </m:rPr>
                    <w:rPr>
                      <w:rFonts w:ascii="Cambria Math" w:hAnsi="Cambria Math"/>
                      <w:color w:val="1F4E9E"/>
                    </w:rPr>
                    <m:t xml:space="preserve">1</m:t>
                  </m:r>
                  <m:r>
                    <m:rPr>
                      <m:nor/>
                    </m:rPr>
                    <w:rPr>
                      <w:rFonts w:ascii="Cambria Math" w:hAnsi="Cambria Math"/>
                      <w:color w:val="1F4E9E"/>
                    </w:rPr>
                    <m:t xml:space="preserve">-</m:t>
                  </m:r>
                  <m:r>
                    <w:rPr>
                      <w:rFonts w:ascii="Cambria Math" w:hAnsi="Cambria Math"/>
                      <w:color w:val="1F4E9E"/>
                    </w:rPr>
                    <m:t xml:space="preserve">E</m:t>
                  </m:r>
                  <m:d>
                    <m:dPr>
                      <m:begChr m:val="("/>
                      <m:endChr m:val=")"/>
                      <m:ctrlPr/>
                    </m:dPr>
                    <m:e>
                      <m:r>
                        <m:rPr>
                          <m:nor/>
                        </m:rPr>
                        <w:rPr>
                          <w:rFonts w:ascii="Cambria Math" w:hAnsi="Cambria Math"/>
                          <w:color w:val="1F4E9E"/>
                        </w:rPr>
                        <m:t xml:space="preserve">1</m:t>
                      </m:r>
                      <m:r>
                        <m:rPr>
                          <m:nor/>
                        </m:rPr>
                        <w:rPr>
                          <w:rFonts w:ascii="Cambria Math" w:hAnsi="Cambria Math"/>
                          <w:color w:val="1F4E9E"/>
                        </w:rPr>
                        <m:t xml:space="preserve">-</m:t>
                      </m:r>
                      <m:r>
                        <m:rPr>
                          <m:nor/>
                        </m:rPr>
                        <w:rPr>
                          <w:rFonts w:ascii="Cambria Math" w:hAnsi="Cambria Math"/>
                          <w:color w:val="1F4E9E"/>
                        </w:rPr>
                        <m:t xml:space="preserve">2</m:t>
                      </m:r>
                      <m:r>
                        <w:rPr>
                          <w:rFonts w:ascii="Cambria Math" w:hAnsi="Cambria Math"/>
                          <w:color w:val="1F4E9E"/>
                        </w:rPr>
                        <m:t xml:space="preserve">λ</m:t>
                      </m:r>
                      <m:r>
                        <w:rPr>
                          <w:rFonts w:ascii="Cambria Math" w:hAnsi="Cambria Math"/>
                          <w:color w:val="1F4E9E"/>
                        </w:rPr>
                        <m:t xml:space="preserve">ρ</m:t>
                      </m:r>
                      <m:r>
                        <m:rPr>
                          <m:nor/>
                        </m:rPr>
                        <w:rPr>
                          <w:rFonts w:ascii="Cambria Math" w:hAnsi="Cambria Math"/>
                          <w:color w:val="1F4E9E"/>
                        </w:rPr>
                        <m:t xml:space="preserve">+</m:t>
                      </m:r>
                      <m:r>
                        <m:rPr>
                          <m:nor/>
                        </m:rPr>
                        <w:rPr>
                          <w:rFonts w:ascii="Cambria Math" w:hAnsi="Cambria Math"/>
                          <w:color w:val="1F4E9E"/>
                        </w:rPr>
                        <m:t xml:space="preserve">2</m:t>
                      </m:r>
                      <m:sSup>
                        <m:sSupPr>
                          <m:ctrlPr/>
                        </m:sSupPr>
                        <m:e>
                          <m:r>
                            <w:rPr>
                              <w:rFonts w:ascii="Cambria Math" w:hAnsi="Cambria Math"/>
                              <w:color w:val="1F4E9E"/>
                            </w:rPr>
                            <m:t xml:space="preserve">λ</m:t>
                          </m:r>
                        </m:e>
                        <m:sup>
                          <m:r>
                            <m:rPr>
                              <m:nor/>
                            </m:rPr>
                            <w:rPr>
                              <w:rFonts w:ascii="Cambria Math" w:hAnsi="Cambria Math"/>
                              <w:color w:val="1F4E9E"/>
                            </w:rPr>
                            <m:t xml:space="preserve">2</m:t>
                          </m:r>
                        </m:sup>
                      </m:sSup>
                      <m:sSup>
                        <m:sSupPr>
                          <m:ctrlPr/>
                        </m:sSupPr>
                        <m:e>
                          <m:r>
                            <w:rPr>
                              <w:rFonts w:ascii="Cambria Math" w:hAnsi="Cambria Math"/>
                              <w:color w:val="1F4E9E"/>
                            </w:rPr>
                            <m:t xml:space="preserve">ρ</m:t>
                          </m:r>
                        </m:e>
                        <m:sup>
                          <m:r>
                            <m:rPr>
                              <m:nor/>
                            </m:rPr>
                            <w:rPr>
                              <w:rFonts w:ascii="Cambria Math" w:hAnsi="Cambria Math"/>
                              <w:color w:val="1F4E9E"/>
                            </w:rPr>
                            <m:t xml:space="preserve">2</m:t>
                          </m:r>
                        </m:sup>
                      </m:sSup>
                    </m:e>
                  </m:d>
                </m:e>
              </m:d>
              <m:r>
                <w:rPr>
                  <w:rFonts w:ascii="Cambria Math" w:hAnsi="Cambria Math"/>
                  <w:color w:val="1F4E9E"/>
                </w:rPr>
                <m:t xml:space="preserve">#</m:t>
              </m:r>
              <m:d>
                <m:dPr>
                  <m:begChr m:val="("/>
                  <m:endChr m:val=")"/>
                  <m:ctrlPr/>
                </m:dPr>
                <m:e>
                  <m:r>
                    <m:rPr>
                      <m:nor/>
                    </m:rPr>
                    <w:rPr>
                      <w:rFonts w:ascii="Cambria Math" w:hAnsi="Cambria Math"/>
                      <w:color w:val="1F4E9E"/>
                    </w:rPr>
                    <m:t xml:space="preserve">1</m:t>
                  </m:r>
                  <m:r>
                    <m:rPr>
                      <m:nor/>
                    </m:rPr>
                    <w:rPr>
                      <w:rFonts w:ascii="Cambria Math" w:hAnsi="Cambria Math"/>
                      <w:color w:val="1F4E9E"/>
                    </w:rPr>
                    <m:t xml:space="preserve">7</m:t>
                  </m:r>
                </m:e>
              </m:d>
            </m:e>
          </m:eqArr>
        </m:oMath>
      </m:oMathPara>
    </w:p>
    <w:p w14:paraId="73212C5D" w14:textId="77777777" w:rsidR="00205CBC" w:rsidRDefault="00000000">
      <w:r>
        <w:rPr>
          <w:color w:val="1F4E9E"/>
        </w:rPr>
        <w:t xml:space="preserve">The two cases meet continuously: </w:t>
      </w:r>
      <m:oMath>
        <m:r>
          <w:rPr>
            <w:rFonts w:ascii="Cambria Math" w:hAnsi="Cambria Math"/>
            <w:color w:val="1F4E9E"/>
          </w:rPr>
          <m:t xml:space="preserve">κ</m:t>
        </m:r>
        <m:r>
          <m:rPr>
            <m:nor/>
          </m:rPr>
          <w:rPr>
            <w:rFonts w:ascii="Cambria Math" w:hAnsi="Cambria Math"/>
            <w:color w:val="1F4E9E"/>
          </w:rPr>
          <m:t xml:space="preserve">=</m:t>
        </m:r>
        <m:r>
          <w:rPr>
            <w:rFonts w:ascii="Cambria Math" w:hAnsi="Cambria Math"/>
            <w:color w:val="1F4E9E"/>
          </w:rPr>
          <m:t xml:space="preserve">λ</m:t>
        </m:r>
      </m:oMath>
      <w:r>
        <w:rPr>
          <w:color w:val="1F4E9E"/>
        </w:rPr>
        <w:t xml:space="preserve"> is a coincidence of the two rates, not a singularity of the process. It is also the one point in the space at which the model has no separation of timescales, the correlation time of the maintenance noise and the time constant of the motor filter being equal; the consequences are drawn where they arise, in A.5 and A.9.</w:t>
      </w:r>
    </w:p>
    <w:p w14:paraId="73212C5D" w14:textId="77777777" w:rsidR="00205CBC" w:rsidRDefault="00000000">
      <w:r>
        <w:rPr>
          <w:color w:val="1F4E9E"/>
        </w:rPr>
        <w:t xml:space="preserve">As </w:t>
      </w:r>
      <m:oMath>
        <m:r>
          <w:rPr>
            <w:rFonts w:ascii="Cambria Math" w:hAnsi="Cambria Math"/>
            <w:color w:val="1F4E9E"/>
          </w:rPr>
          <m:t xml:space="preserve">ρ</m:t>
        </m:r>
        <m:r>
          <m:rPr>
            <m:nor/>
          </m:rPr>
          <w:rPr>
            <w:rFonts w:ascii="Cambria Math" w:hAnsi="Cambria Math"/>
            <w:color w:val="1F4E9E"/>
          </w:rPr>
          <m:t xml:space="preserve">→</m:t>
        </m:r>
        <m:r>
          <m:rPr>
            <m:nor/>
          </m:rPr>
          <w:rPr>
            <w:rFonts w:ascii="Cambria Math" w:hAnsi="Cambria Math"/>
            <w:color w:val="1F4E9E"/>
          </w:rPr>
          <m:t xml:space="preserve">∞</m:t>
        </m:r>
      </m:oMath>
      <w:r>
        <w:rPr>
          <w:color w:val="1F4E9E"/>
        </w:rPr>
        <w:t xml:space="preserve"> both cases tend to the same stationary values, which will be written </w:t>
      </w:r>
      <m:oMath>
        <m:sSub>
          <m:sSubPr>
            <m:ctrlPr/>
          </m:sSubPr>
          <m:e>
            <m:r>
              <w:rPr>
                <w:rFonts w:ascii="Cambria Math" w:hAnsi="Cambria Math"/>
                <w:color w:val="1F4E9E"/>
              </w:rPr>
              <m:t xml:space="preserve">σ</m:t>
            </m:r>
          </m:e>
          <m:sub>
            <m:r>
              <w:rPr>
                <w:rFonts w:ascii="Cambria Math" w:hAnsi="Cambria Math"/>
                <w:color w:val="1F4E9E"/>
              </w:rPr>
              <m:t xml:space="preserve">H</m:t>
            </m:r>
          </m:sub>
        </m:sSub>
      </m:oMath>
      <w:r>
        <w:rPr>
          <w:color w:val="1F4E9E"/>
        </w:rPr>
        <w:t xml:space="preserve"> and </w:t>
      </w:r>
      <m:oMath>
        <m:sSub>
          <m:sSubPr>
            <m:ctrlPr/>
          </m:sSubPr>
          <m:e>
            <m:r>
              <w:rPr>
                <w:rFonts w:ascii="Cambria Math" w:hAnsi="Cambria Math"/>
                <w:color w:val="1F4E9E"/>
              </w:rPr>
              <m:t xml:space="preserve">σ</m:t>
            </m:r>
          </m:e>
          <m:sub>
            <m:acc>
              <m:accPr>
                <m:chr m:val="̇"/>
                <m:ctrlPr/>
              </m:accPr>
              <m:e>
                <m:r>
                  <w:rPr>
                    <w:rFonts w:ascii="Cambria Math" w:hAnsi="Cambria Math"/>
                    <w:color w:val="1F4E9E"/>
                  </w:rPr>
                  <m:t xml:space="preserve">H</m:t>
                </m:r>
              </m:e>
            </m:acc>
          </m:sub>
        </m:sSub>
      </m:oMath>
      <w:r>
        <w:rPr>
          <w:color w:val="1F4E9E"/>
        </w:rPr>
        <w:t xml:space="preserve">:</w:t>
      </w:r>
    </w:p>
    <w:p w14:paraId="73212C5D" w14:textId="77777777" w:rsidR="00205CBC" w:rsidRDefault="00000000">
      <m:oMathPara>
        <m:oMath>
          <m:eqArr>
            <m:eqArrPr>
              <m:maxDist m:val="1"/>
              <m:ctrlPr/>
            </m:eqArrPr>
            <m:e>
              <m:sSubSup>
                <m:sSubSupPr>
                  <m:ctrlPr/>
                </m:sSubSupPr>
                <m:e>
                  <m:r>
                    <w:rPr>
                      <w:rFonts w:ascii="Cambria Math" w:hAnsi="Cambria Math"/>
                      <w:color w:val="1F4E9E"/>
                    </w:rPr>
                    <m:t xml:space="preserve">σ</m:t>
                  </m:r>
                </m:e>
                <m:sub>
                  <m:r>
                    <w:rPr>
                      <w:rFonts w:ascii="Cambria Math" w:hAnsi="Cambria Math"/>
                      <w:color w:val="1F4E9E"/>
                    </w:rPr>
                    <m:t xml:space="preserve">H</m:t>
                  </m:r>
                </m:sub>
                <m:sup>
                  <m:r>
                    <m:rPr>
                      <m:nor/>
                    </m:rPr>
                    <w:rPr>
                      <w:rFonts w:ascii="Cambria Math" w:hAnsi="Cambria Math"/>
                      <w:color w:val="1F4E9E"/>
                    </w:rPr>
                    <m:t xml:space="preserve">2</m:t>
                  </m:r>
                </m:sup>
              </m:sSubSup>
              <m:r>
                <m:rPr>
                  <m:nor/>
                </m:rPr>
                <w:rPr>
                  <w:rFonts w:ascii="Cambria Math" w:hAnsi="Cambria Math"/>
                  <w:color w:val="1F4E9E"/>
                </w:rPr>
                <m:t xml:space="preserve">=</m:t>
              </m:r>
              <m:f>
                <m:fPr>
                  <m:ctrlPr/>
                </m:fPr>
                <m:num>
                  <m:r>
                    <w:rPr>
                      <w:rFonts w:ascii="Cambria Math" w:hAnsi="Cambria Math"/>
                      <w:color w:val="1F4E9E"/>
                    </w:rPr>
                    <m:t xml:space="preserve">λ</m:t>
                  </m:r>
                  <m:r>
                    <m:rPr>
                      <m:nor/>
                    </m:rPr>
                    <w:rPr>
                      <w:rFonts w:ascii="Cambria Math" w:hAnsi="Cambria Math"/>
                      <w:color w:val="1F4E9E"/>
                    </w:rPr>
                    <m:t xml:space="preserve"> </m:t>
                  </m:r>
                  <m:sSubSup>
                    <m:sSubSupPr>
                      <m:ctrlPr/>
                    </m:sSubSupPr>
                    <m:e>
                      <m:r>
                        <m:rPr>
                          <m:nor/>
                        </m:rPr>
                        <w:rPr>
                          <w:rFonts w:ascii="Cambria Math" w:hAnsi="Cambria Math"/>
                          <w:color w:val="1F4E9E"/>
                        </w:rPr>
                        <m:t xml:space="preserve">SD</m:t>
                      </m:r>
                    </m:e>
                    <m:sub>
                      <m:r>
                        <w:rPr>
                          <w:rFonts w:ascii="Cambria Math" w:hAnsi="Cambria Math"/>
                          <w:color w:val="1F4E9E"/>
                        </w:rPr>
                        <m:t xml:space="preserve">ε</m:t>
                      </m:r>
                    </m:sub>
                    <m:sup>
                      <m:r>
                        <m:rPr>
                          <m:nor/>
                        </m:rPr>
                        <w:rPr>
                          <w:rFonts w:ascii="Cambria Math" w:hAnsi="Cambria Math"/>
                          <w:color w:val="1F4E9E"/>
                        </w:rPr>
                        <m:t xml:space="preserve">2</m:t>
                      </m:r>
                    </m:sup>
                  </m:sSubSup>
                </m:num>
                <m:den>
                  <m:r>
                    <w:rPr>
                      <w:rFonts w:ascii="Cambria Math" w:hAnsi="Cambria Math"/>
                      <w:color w:val="1F4E9E"/>
                    </w:rPr>
                    <m:t xml:space="preserve">λ</m:t>
                  </m:r>
                  <m:r>
                    <m:rPr>
                      <m:nor/>
                    </m:rPr>
                    <w:rPr>
                      <w:rFonts w:ascii="Cambria Math" w:hAnsi="Cambria Math"/>
                      <w:color w:val="1F4E9E"/>
                    </w:rPr>
                    <m:t xml:space="preserve">+</m:t>
                  </m:r>
                  <m:r>
                    <w:rPr>
                      <w:rFonts w:ascii="Cambria Math" w:hAnsi="Cambria Math"/>
                      <w:color w:val="1F4E9E"/>
                    </w:rPr>
                    <m:t xml:space="preserve">κ</m:t>
                  </m:r>
                </m:den>
              </m:f>
              <m:r>
                <m:rPr>
                  <m:nor/>
                </m:rPr>
                <w:rPr>
                  <w:rFonts w:ascii="Cambria Math" w:hAnsi="Cambria Math"/>
                  <w:color w:val="1F4E9E"/>
                </w:rPr>
                <m:t xml:space="preserve">,</m:t>
              </m:r>
              <m:r>
                <m:rPr>
                  <m:nor/>
                </m:rPr>
                <w:rPr>
                  <w:rFonts w:ascii="Cambria Math" w:hAnsi="Cambria Math"/>
                  <w:color w:val="1F4E9E"/>
                </w:rPr>
                <m:t xml:space="preserve"> </m:t>
              </m:r>
              <m:sSubSup>
                <m:sSubSupPr>
                  <m:ctrlPr/>
                </m:sSubSupPr>
                <m:e>
                  <m:r>
                    <w:rPr>
                      <w:rFonts w:ascii="Cambria Math" w:hAnsi="Cambria Math"/>
                      <w:color w:val="1F4E9E"/>
                    </w:rPr>
                    <m:t xml:space="preserve">σ</m:t>
                  </m:r>
                </m:e>
                <m:sub>
                  <m:acc>
                    <m:accPr>
                      <m:chr m:val="̇"/>
                      <m:ctrlPr/>
                    </m:accPr>
                    <m:e>
                      <m:r>
                        <w:rPr>
                          <w:rFonts w:ascii="Cambria Math" w:hAnsi="Cambria Math"/>
                          <w:color w:val="1F4E9E"/>
                        </w:rPr>
                        <m:t xml:space="preserve">H</m:t>
                      </m:r>
                    </m:e>
                  </m:acc>
                </m:sub>
                <m:sup>
                  <m:r>
                    <m:rPr>
                      <m:nor/>
                    </m:rPr>
                    <w:rPr>
                      <w:rFonts w:ascii="Cambria Math" w:hAnsi="Cambria Math"/>
                      <w:color w:val="1F4E9E"/>
                    </w:rPr>
                    <m:t xml:space="preserve">2</m:t>
                  </m:r>
                </m:sup>
              </m:sSubSup>
              <m:r>
                <m:rPr>
                  <m:nor/>
                </m:rPr>
                <w:rPr>
                  <w:rFonts w:ascii="Cambria Math" w:hAnsi="Cambria Math"/>
                  <w:color w:val="1F4E9E"/>
                </w:rPr>
                <m:t xml:space="preserve">=</m:t>
              </m:r>
              <m:f>
                <m:fPr>
                  <m:ctrlPr/>
                </m:fPr>
                <m:num>
                  <m:sSup>
                    <m:sSupPr>
                      <m:ctrlPr/>
                    </m:sSupPr>
                    <m:e>
                      <m:r>
                        <w:rPr>
                          <w:rFonts w:ascii="Cambria Math" w:hAnsi="Cambria Math"/>
                          <w:color w:val="1F4E9E"/>
                        </w:rPr>
                        <m:t xml:space="preserve">λ</m:t>
                      </m:r>
                    </m:e>
                    <m:sup>
                      <m:r>
                        <m:rPr>
                          <m:nor/>
                        </m:rPr>
                        <w:rPr>
                          <w:rFonts w:ascii="Cambria Math" w:hAnsi="Cambria Math"/>
                          <w:color w:val="1F4E9E"/>
                        </w:rPr>
                        <m:t xml:space="preserve">2</m:t>
                      </m:r>
                    </m:sup>
                  </m:sSup>
                  <m:r>
                    <w:rPr>
                      <w:rFonts w:ascii="Cambria Math" w:hAnsi="Cambria Math"/>
                      <w:color w:val="1F4E9E"/>
                    </w:rPr>
                    <m:t xml:space="preserve">κ</m:t>
                  </m:r>
                  <m:r>
                    <m:rPr>
                      <m:nor/>
                    </m:rPr>
                    <w:rPr>
                      <w:rFonts w:ascii="Cambria Math" w:hAnsi="Cambria Math"/>
                      <w:color w:val="1F4E9E"/>
                    </w:rPr>
                    <m:t xml:space="preserve"> </m:t>
                  </m:r>
                  <m:sSubSup>
                    <m:sSubSupPr>
                      <m:ctrlPr/>
                    </m:sSubSupPr>
                    <m:e>
                      <m:r>
                        <m:rPr>
                          <m:nor/>
                        </m:rPr>
                        <w:rPr>
                          <w:rFonts w:ascii="Cambria Math" w:hAnsi="Cambria Math"/>
                          <w:color w:val="1F4E9E"/>
                        </w:rPr>
                        <m:t xml:space="preserve">SD</m:t>
                      </m:r>
                    </m:e>
                    <m:sub>
                      <m:r>
                        <w:rPr>
                          <w:rFonts w:ascii="Cambria Math" w:hAnsi="Cambria Math"/>
                          <w:color w:val="1F4E9E"/>
                        </w:rPr>
                        <m:t xml:space="preserve">ε</m:t>
                      </m:r>
                    </m:sub>
                    <m:sup>
                      <m:r>
                        <m:rPr>
                          <m:nor/>
                        </m:rPr>
                        <w:rPr>
                          <w:rFonts w:ascii="Cambria Math" w:hAnsi="Cambria Math"/>
                          <w:color w:val="1F4E9E"/>
                        </w:rPr>
                        <m:t xml:space="preserve">2</m:t>
                      </m:r>
                    </m:sup>
                  </m:sSubSup>
                </m:num>
                <m:den>
                  <m:r>
                    <w:rPr>
                      <w:rFonts w:ascii="Cambria Math" w:hAnsi="Cambria Math"/>
                      <w:color w:val="1F4E9E"/>
                    </w:rPr>
                    <m:t xml:space="preserve">λ</m:t>
                  </m:r>
                  <m:r>
                    <m:rPr>
                      <m:nor/>
                    </m:rPr>
                    <w:rPr>
                      <w:rFonts w:ascii="Cambria Math" w:hAnsi="Cambria Math"/>
                      <w:color w:val="1F4E9E"/>
                    </w:rPr>
                    <m:t xml:space="preserve">+</m:t>
                  </m:r>
                  <m:r>
                    <w:rPr>
                      <w:rFonts w:ascii="Cambria Math" w:hAnsi="Cambria Math"/>
                      <w:color w:val="1F4E9E"/>
                    </w:rPr>
                    <m:t xml:space="preserve">κ</m:t>
                  </m:r>
                </m:den>
              </m:f>
              <m:r>
                <m:rPr>
                  <m:nor/>
                </m:rPr>
                <w:rPr>
                  <w:rFonts w:ascii="Cambria Math" w:hAnsi="Cambria Math"/>
                  <w:color w:val="1F4E9E"/>
                </w:rPr>
                <m:t xml:space="preserve">,</m:t>
              </m:r>
              <m:r>
                <m:rPr>
                  <m:nor/>
                </m:rPr>
                <w:rPr>
                  <w:rFonts w:ascii="Cambria Math" w:hAnsi="Cambria Math"/>
                  <w:color w:val="1F4E9E"/>
                </w:rPr>
                <m:t xml:space="preserve"> </m:t>
              </m:r>
              <m:r>
                <m:rPr>
                  <m:nor/>
                </m:rPr>
                <w:rPr>
                  <w:rFonts w:ascii="Cambria Math" w:hAnsi="Cambria Math"/>
                  <w:color w:val="1F4E9E"/>
                </w:rPr>
                <m:t xml:space="preserve">Cov</m:t>
              </m:r>
              <m:d>
                <m:dPr>
                  <m:begChr m:val="("/>
                  <m:endChr m:val=")"/>
                  <m:ctrlPr/>
                </m:dPr>
                <m:e>
                  <m:r>
                    <w:rPr>
                      <w:rFonts w:ascii="Cambria Math" w:hAnsi="Cambria Math"/>
                      <w:color w:val="1F4E9E"/>
                    </w:rPr>
                    <m:t xml:space="preserve">H</m:t>
                  </m:r>
                  <m:r>
                    <m:rPr>
                      <m:nor/>
                    </m:rPr>
                    <w:rPr>
                      <w:rFonts w:ascii="Cambria Math" w:hAnsi="Cambria Math"/>
                      <w:color w:val="1F4E9E"/>
                    </w:rPr>
                    <m:t xml:space="preserve">,</m:t>
                  </m:r>
                  <m:acc>
                    <m:accPr>
                      <m:chr m:val="̇"/>
                      <m:ctrlPr/>
                    </m:accPr>
                    <m:e>
                      <m:r>
                        <w:rPr>
                          <w:rFonts w:ascii="Cambria Math" w:hAnsi="Cambria Math"/>
                          <w:color w:val="1F4E9E"/>
                        </w:rPr>
                        <m:t xml:space="preserve">H</m:t>
                      </m:r>
                    </m:e>
                  </m:acc>
                </m:e>
              </m:d>
              <m:r>
                <m:rPr>
                  <m:nor/>
                </m:rPr>
                <w:rPr>
                  <w:rFonts w:ascii="Cambria Math" w:hAnsi="Cambria Math"/>
                  <w:color w:val="1F4E9E"/>
                </w:rPr>
                <m:t xml:space="preserve">→</m:t>
              </m:r>
              <m:r>
                <m:rPr>
                  <m:nor/>
                </m:rPr>
                <w:rPr>
                  <w:rFonts w:ascii="Cambria Math" w:hAnsi="Cambria Math"/>
                  <w:color w:val="1F4E9E"/>
                </w:rPr>
                <m:t xml:space="preserve">0</m:t>
              </m:r>
              <m:r>
                <m:rPr>
                  <m:nor/>
                </m:rPr>
                <w:rPr>
                  <w:rFonts w:ascii="Cambria Math" w:hAnsi="Cambria Math"/>
                  <w:color w:val="1F4E9E"/>
                </w:rPr>
                <m:t xml:space="preserve">,</m:t>
              </m:r>
              <m:r>
                <m:rPr>
                  <m:nor/>
                </m:rPr>
                <w:rPr>
                  <w:rFonts w:ascii="Cambria Math" w:hAnsi="Cambria Math"/>
                  <w:color w:val="1F4E9E"/>
                </w:rPr>
                <m:t xml:space="preserve"> </m:t>
              </m:r>
              <m:r>
                <w:rPr>
                  <w:rFonts w:ascii="Cambria Math" w:hAnsi="Cambria Math"/>
                  <w:color w:val="1F4E9E"/>
                </w:rPr>
                <m:t xml:space="preserve">ω</m:t>
              </m:r>
              <m:r>
                <m:rPr>
                  <m:nor/>
                </m:rPr>
                <w:rPr>
                  <w:rFonts w:ascii="Cambria Math" w:hAnsi="Cambria Math"/>
                  <w:color w:val="1F4E9E"/>
                </w:rPr>
                <m:t xml:space="preserve">:</m:t>
              </m:r>
              <m:r>
                <m:rPr>
                  <m:nor/>
                </m:rPr>
                <w:rPr>
                  <w:rFonts w:ascii="Cambria Math" w:hAnsi="Cambria Math"/>
                  <w:color w:val="1F4E9E"/>
                </w:rPr>
                <m:t xml:space="preserve">=</m:t>
              </m:r>
              <m:f>
                <m:fPr>
                  <m:ctrlPr/>
                </m:fPr>
                <m:num>
                  <m:sSub>
                    <m:sSubPr>
                      <m:ctrlPr/>
                    </m:sSubPr>
                    <m:e>
                      <m:r>
                        <w:rPr>
                          <w:rFonts w:ascii="Cambria Math" w:hAnsi="Cambria Math"/>
                          <w:color w:val="1F4E9E"/>
                        </w:rPr>
                        <m:t xml:space="preserve">σ</m:t>
                      </m:r>
                    </m:e>
                    <m:sub>
                      <m:acc>
                        <m:accPr>
                          <m:chr m:val="̇"/>
                          <m:ctrlPr/>
                        </m:accPr>
                        <m:e>
                          <m:r>
                            <w:rPr>
                              <w:rFonts w:ascii="Cambria Math" w:hAnsi="Cambria Math"/>
                              <w:color w:val="1F4E9E"/>
                            </w:rPr>
                            <m:t xml:space="preserve">H</m:t>
                          </m:r>
                        </m:e>
                      </m:acc>
                    </m:sub>
                  </m:sSub>
                </m:num>
                <m:den>
                  <m:sSub>
                    <m:sSubPr>
                      <m:ctrlPr/>
                    </m:sSubPr>
                    <m:e>
                      <m:r>
                        <w:rPr>
                          <w:rFonts w:ascii="Cambria Math" w:hAnsi="Cambria Math"/>
                          <w:color w:val="1F4E9E"/>
                        </w:rPr>
                        <m:t xml:space="preserve">σ</m:t>
                      </m:r>
                    </m:e>
                    <m:sub>
                      <m:r>
                        <w:rPr>
                          <w:rFonts w:ascii="Cambria Math" w:hAnsi="Cambria Math"/>
                          <w:color w:val="1F4E9E"/>
                        </w:rPr>
                        <m:t xml:space="preserve">H</m:t>
                      </m:r>
                    </m:sub>
                  </m:sSub>
                </m:den>
              </m:f>
              <m:r>
                <m:rPr>
                  <m:nor/>
                </m:rPr>
                <w:rPr>
                  <w:rFonts w:ascii="Cambria Math" w:hAnsi="Cambria Math"/>
                  <w:color w:val="1F4E9E"/>
                </w:rPr>
                <m:t xml:space="preserve">=</m:t>
              </m:r>
              <m:rad>
                <m:radPr>
                  <m:degHide m:val="1"/>
                  <m:ctrlPr/>
                </m:radPr>
                <m:deg/>
                <m:e>
                  <m:r>
                    <w:rPr>
                      <w:rFonts w:ascii="Cambria Math" w:hAnsi="Cambria Math"/>
                      <w:color w:val="1F4E9E"/>
                    </w:rPr>
                    <m:t xml:space="preserve">λ</m:t>
                  </m:r>
                  <m:r>
                    <w:rPr>
                      <w:rFonts w:ascii="Cambria Math" w:hAnsi="Cambria Math"/>
                      <w:color w:val="1F4E9E"/>
                    </w:rPr>
                    <m:t xml:space="preserve">κ</m:t>
                  </m:r>
                </m:e>
              </m:rad>
              <m:r>
                <w:rPr>
                  <w:rFonts w:ascii="Cambria Math" w:hAnsi="Cambria Math"/>
                  <w:color w:val="1F4E9E"/>
                </w:rPr>
                <m:t xml:space="preserve">#</m:t>
              </m:r>
              <m:d>
                <m:dPr>
                  <m:begChr m:val="("/>
                  <m:endChr m:val=")"/>
                  <m:ctrlPr/>
                </m:dPr>
                <m:e>
                  <m:r>
                    <m:rPr>
                      <m:nor/>
                    </m:rPr>
                    <w:rPr>
                      <w:rFonts w:ascii="Cambria Math" w:hAnsi="Cambria Math"/>
                      <w:color w:val="1F4E9E"/>
                    </w:rPr>
                    <m:t xml:space="preserve">1</m:t>
                  </m:r>
                  <m:r>
                    <m:rPr>
                      <m:nor/>
                    </m:rPr>
                    <w:rPr>
                      <w:rFonts w:ascii="Cambria Math" w:hAnsi="Cambria Math"/>
                      <w:color w:val="1F4E9E"/>
                    </w:rPr>
                    <m:t xml:space="preserve">8</m:t>
                  </m:r>
                </m:e>
              </m:d>
            </m:e>
          </m:eqArr>
        </m:oMath>
      </m:oMathPara>
    </w:p>
    <w:p w14:paraId="73212C5D" w14:textId="77777777" w:rsidR="00205CBC" w:rsidRDefault="00000000">
      <m:oMath>
        <m:r>
          <w:rPr>
            <w:rFonts w:ascii="Cambria Math" w:hAnsi="Cambria Math"/>
            <w:color w:val="1F4E9E"/>
          </w:rPr>
          <m:t xml:space="preserve">ω</m:t>
        </m:r>
      </m:oMath>
      <w:r>
        <w:rPr>
          <w:color w:val="1F4E9E"/>
        </w:rPr>
        <w:t xml:space="preserve"> is the characteristic frequency of the fluctuation. The preparation ramp is added outside the filter (Equation (7)), so it shifts the mean of the gate-facing signal and leaves all three moments untouched; (15) to (18) hold for both models. The relative departure of </w:t>
      </w:r>
      <m:oMath>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oMath>
      <w:r>
        <w:rPr>
          <w:color w:val="1F4E9E"/>
        </w:rPr>
        <w:t xml:space="preserve"> from </w:t>
      </w:r>
      <m:oMath>
        <m:sSubSup>
          <m:sSubSupPr>
            <m:ctrlPr/>
          </m:sSubSupPr>
          <m:e>
            <m:r>
              <w:rPr>
                <w:rFonts w:ascii="Cambria Math" w:hAnsi="Cambria Math"/>
                <w:color w:val="1F4E9E"/>
              </w:rPr>
              <m:t xml:space="preserve">σ</m:t>
            </m:r>
          </m:e>
          <m:sub>
            <m:r>
              <w:rPr>
                <w:rFonts w:ascii="Cambria Math" w:hAnsi="Cambria Math"/>
                <w:color w:val="1F4E9E"/>
              </w:rPr>
              <m:t xml:space="preserve">H</m:t>
            </m:r>
          </m:sub>
          <m:sup>
            <m:r>
              <m:rPr>
                <m:nor/>
              </m:rPr>
              <w:rPr>
                <w:rFonts w:ascii="Cambria Math" w:hAnsi="Cambria Math"/>
                <w:color w:val="1F4E9E"/>
              </w:rPr>
              <m:t xml:space="preserve">2</m:t>
            </m:r>
          </m:sup>
        </m:sSubSup>
      </m:oMath>
      <w:r>
        <w:rPr>
          <w:color w:val="1F4E9E"/>
        </w:rPr>
        <w:t xml:space="preserve"> one second into maintenance is of order </w:t>
      </w:r>
      <m:oMath>
        <m:sSup>
          <m:sSupPr>
            <m:ctrlPr/>
          </m:sSupPr>
          <m:e>
            <m:r>
              <w:rPr>
                <w:rFonts w:ascii="Cambria Math" w:hAnsi="Cambria Math"/>
                <w:color w:val="1F4E9E"/>
              </w:rPr>
              <m:t xml:space="preserve">e</m:t>
            </m:r>
          </m:e>
          <m:sup>
            <m:r>
              <m:rPr>
                <m:nor/>
              </m:rPr>
              <w:rPr>
                <w:rFonts w:ascii="Cambria Math" w:hAnsi="Cambria Math"/>
                <w:color w:val="1F4E9E"/>
              </w:rPr>
              <m:t xml:space="preserve">-</m:t>
            </m:r>
            <m:r>
              <m:rPr>
                <m:nor/>
              </m:rPr>
              <w:rPr>
                <w:rFonts w:ascii="Cambria Math" w:hAnsi="Cambria Math"/>
                <w:color w:val="1F4E9E"/>
              </w:rPr>
              <m:t xml:space="preserve">2</m:t>
            </m:r>
            <m:r>
              <w:rPr>
                <w:rFonts w:ascii="Cambria Math" w:hAnsi="Cambria Math"/>
                <w:color w:val="1F4E9E"/>
              </w:rPr>
              <m:t xml:space="preserve">κ</m:t>
            </m:r>
          </m:sup>
        </m:sSup>
      </m:oMath>
      <w:r>
        <w:rPr>
          <w:color w:val="1F4E9E"/>
        </w:rPr>
        <w:t xml:space="preserve">, which is negligible at the top of the range of </w:t>
      </w:r>
      <m:oMath>
        <m:r>
          <w:rPr>
            <w:rFonts w:ascii="Cambria Math" w:hAnsi="Cambria Math"/>
            <w:color w:val="1F4E9E"/>
          </w:rPr>
          <m:t xml:space="preserve">κ</m:t>
        </m:r>
      </m:oMath>
      <w:r>
        <w:rPr>
          <w:color w:val="1F4E9E"/>
        </w:rPr>
        <w:t xml:space="preserve"> in Table A1 and of order one at its bottom. The stationary forms are therefore used only where that condition is checked; wherever the value of </w:t>
      </w:r>
      <m:oMath>
        <m:r>
          <w:rPr>
            <w:rFonts w:ascii="Cambria Math" w:hAnsi="Cambria Math"/>
            <w:color w:val="1F4E9E"/>
          </w:rPr>
          <m:t xml:space="preserve">κ</m:t>
        </m:r>
      </m:oMath>
      <w:r>
        <w:rPr>
          <w:color w:val="1F4E9E"/>
        </w:rPr>
        <w:t xml:space="preserve"> bears on a conclusion the moments are taken from (15) to (17) directly. That is the region most favorable to Model 1, and therefore the region a bound must not approximate away.</w:t>
      </w:r>
    </w:p>
    <w:p w14:paraId="73212C5D" w14:textId="77777777" w:rsidR="00205CBC" w:rsidRDefault="00000000">
      <w:r>
        <w:rPr>
          <w:color w:val="1F4E9E"/>
          <w:i/>
          <w:b/>
        </w:rPr>
        <w:t xml:space="preserve">The crossing rate</w:t>
      </w:r>
    </w:p>
    <w:p w14:paraId="73212C5D" w14:textId="77777777" w:rsidR="00205CBC" w:rsidRDefault="00000000">
      <w:r>
        <w:rPr>
          <w:color w:val="1F4E9E"/>
        </w:rPr>
        <w:t xml:space="preserve">Let </w:t>
      </w:r>
      <m:oMath>
        <m:r>
          <w:rPr>
            <w:rFonts w:ascii="Cambria Math" w:hAnsi="Cambria Math"/>
            <w:color w:val="1F4E9E"/>
          </w:rPr>
          <m:t xml:space="preserve">Z</m:t>
        </m:r>
        <m:d>
          <m:dPr>
            <m:begChr m:val="("/>
            <m:endChr m:val=")"/>
            <m:ctrlPr/>
          </m:dPr>
          <m:e>
            <m:r>
              <w:rPr>
                <w:rFonts w:ascii="Cambria Math" w:hAnsi="Cambria Math"/>
                <w:color w:val="1F4E9E"/>
              </w:rPr>
              <m:t xml:space="preserve">t</m:t>
            </m:r>
          </m:e>
        </m:d>
        <m:r>
          <m:rPr>
            <m:nor/>
          </m:rPr>
          <w:rPr>
            <w:rFonts w:ascii="Cambria Math" w:hAnsi="Cambria Math"/>
            <w:color w:val="1F4E9E"/>
          </w:rPr>
          <m:t xml:space="preserve">:</m:t>
        </m:r>
        <m:r>
          <m:rPr>
            <m:nor/>
          </m:rPr>
          <w:rPr>
            <w:rFonts w:ascii="Cambria Math" w:hAnsi="Cambria Math"/>
            <w:color w:val="1F4E9E"/>
          </w:rPr>
          <m:t xml:space="preserve">=</m:t>
        </m:r>
        <m:sSub>
          <m:sSubPr>
            <m:ctrlPr/>
          </m:sSubPr>
          <m:e>
            <m:r>
              <w:rPr>
                <w:rFonts w:ascii="Cambria Math" w:hAnsi="Cambria Math"/>
                <w:color w:val="1F4E9E"/>
              </w:rPr>
              <m:t xml:space="preserve">s</m:t>
            </m:r>
          </m:e>
          <m:sub>
            <m:r>
              <m:rPr>
                <m:nor/>
              </m:rPr>
              <w:rPr>
                <w:rFonts w:ascii="Cambria Math" w:hAnsi="Cambria Math"/>
                <w:color w:val="1F4E9E"/>
              </w:rPr>
              <m:t xml:space="preserve">resp</m:t>
            </m:r>
          </m:sub>
        </m:sSub>
        <m:r>
          <w:rPr>
            <w:rFonts w:ascii="Cambria Math" w:hAnsi="Cambria Math"/>
            <w:color w:val="1F4E9E"/>
          </w:rPr>
          <m:t xml:space="preserve">H</m:t>
        </m:r>
        <m:d>
          <m:dPr>
            <m:begChr m:val="("/>
            <m:endChr m:val=")"/>
            <m:ctrlPr/>
          </m:dPr>
          <m:e>
            <m:r>
              <w:rPr>
                <w:rFonts w:ascii="Cambria Math" w:hAnsi="Cambria Math"/>
                <w:color w:val="1F4E9E"/>
              </w:rPr>
              <m:t xml:space="preserve">t</m:t>
            </m:r>
          </m:e>
        </m:d>
        <m:r>
          <m:rPr>
            <m:nor/>
          </m:rPr>
          <w:rPr>
            <w:rFonts w:ascii="Cambria Math" w:hAnsi="Cambria Math"/>
            <w:color w:val="1F4E9E"/>
          </w:rPr>
          <m:t xml:space="preserve">-</m:t>
        </m:r>
        <m:r>
          <w:rPr>
            <w:rFonts w:ascii="Cambria Math" w:hAnsi="Cambria Math"/>
            <w:color w:val="1F4E9E"/>
          </w:rPr>
          <m:t xml:space="preserve">d</m:t>
        </m:r>
        <m:d>
          <m:dPr>
            <m:begChr m:val="("/>
            <m:endChr m:val=")"/>
            <m:ctrlPr/>
          </m:dPr>
          <m:e>
            <m:r>
              <w:rPr>
                <w:rFonts w:ascii="Cambria Math" w:hAnsi="Cambria Math"/>
                <w:color w:val="1F4E9E"/>
              </w:rPr>
              <m:t xml:space="preserve">t</m:t>
            </m:r>
          </m:e>
        </m:d>
      </m:oMath>
      <w:r>
        <w:rPr>
          <w:color w:val="1F4E9E"/>
        </w:rPr>
        <w:t xml:space="preserve">, so that upcrossings of </w:t>
      </w:r>
      <m:oMath>
        <m:r>
          <w:rPr>
            <w:rFonts w:ascii="Cambria Math" w:hAnsi="Cambria Math"/>
            <w:color w:val="1F4E9E"/>
          </w:rPr>
          <m:t xml:space="preserve">d</m:t>
        </m:r>
      </m:oMath>
      <w:r>
        <w:rPr>
          <w:color w:val="1F4E9E"/>
        </w:rPr>
        <w:t xml:space="preserve"> by </w:t>
      </w:r>
      <m:oMath>
        <m:sSub>
          <m:sSubPr>
            <m:ctrlPr/>
          </m:sSubPr>
          <m:e>
            <m:r>
              <w:rPr>
                <w:rFonts w:ascii="Cambria Math" w:hAnsi="Cambria Math"/>
                <w:color w:val="1F4E9E"/>
              </w:rPr>
              <m:t xml:space="preserve">s</m:t>
            </m:r>
          </m:e>
          <m:sub>
            <m:r>
              <m:rPr>
                <m:nor/>
              </m:rPr>
              <w:rPr>
                <w:rFonts w:ascii="Cambria Math" w:hAnsi="Cambria Math"/>
                <w:color w:val="1F4E9E"/>
              </w:rPr>
              <m:t xml:space="preserve">resp</m:t>
            </m:r>
          </m:sub>
        </m:sSub>
        <m:r>
          <w:rPr>
            <w:rFonts w:ascii="Cambria Math" w:hAnsi="Cambria Math"/>
            <w:color w:val="1F4E9E"/>
          </w:rPr>
          <m:t xml:space="preserve">H</m:t>
        </m:r>
      </m:oMath>
      <w:r>
        <w:rPr>
          <w:color w:val="1F4E9E"/>
        </w:rPr>
        <w:t xml:space="preserve"> are upcrossings of zero by </w:t>
      </w:r>
      <m:oMath>
        <m:r>
          <w:rPr>
            <w:rFonts w:ascii="Cambria Math" w:hAnsi="Cambria Math"/>
            <w:color w:val="1F4E9E"/>
          </w:rPr>
          <m:t xml:space="preserve">Z</m:t>
        </m:r>
      </m:oMath>
      <w:r>
        <w:rPr>
          <w:color w:val="1F4E9E"/>
        </w:rPr>
        <w:t xml:space="preserve">, and </w:t>
      </w:r>
      <m:oMath>
        <m:acc>
          <m:accPr>
            <m:chr m:val="̇"/>
            <m:ctrlPr/>
          </m:accPr>
          <m:e>
            <m:r>
              <w:rPr>
                <w:rFonts w:ascii="Cambria Math" w:hAnsi="Cambria Math"/>
                <w:color w:val="1F4E9E"/>
              </w:rPr>
              <m:t xml:space="preserve">Z</m:t>
            </m:r>
          </m:e>
        </m:acc>
        <m:r>
          <m:rPr>
            <m:nor/>
          </m:rPr>
          <w:rPr>
            <w:rFonts w:ascii="Cambria Math" w:hAnsi="Cambria Math"/>
            <w:color w:val="1F4E9E"/>
          </w:rPr>
          <m:t xml:space="preserve">=</m:t>
        </m:r>
        <m:acc>
          <m:accPr>
            <m:chr m:val="̇"/>
            <m:ctrlPr/>
          </m:accPr>
          <m:e>
            <m:r>
              <w:rPr>
                <w:rFonts w:ascii="Cambria Math" w:hAnsi="Cambria Math"/>
                <w:color w:val="1F4E9E"/>
              </w:rPr>
              <m:t xml:space="preserve">H</m:t>
            </m:r>
          </m:e>
        </m:acc>
        <m:r>
          <m:rPr>
            <m:nor/>
          </m:rPr>
          <w:rPr>
            <w:rFonts w:ascii="Cambria Math" w:hAnsi="Cambria Math"/>
            <w:color w:val="1F4E9E"/>
          </w:rPr>
          <m:t xml:space="preserve">+</m:t>
        </m:r>
        <m:r>
          <w:rPr>
            <w:rFonts w:ascii="Cambria Math" w:hAnsi="Cambria Math"/>
            <w:color w:val="1F4E9E"/>
          </w:rPr>
          <m:t xml:space="preserve">β</m:t>
        </m:r>
        <m:r>
          <m:rPr>
            <m:nor/>
          </m:rPr>
          <w:rPr>
            <w:rFonts w:ascii="Cambria Math" w:hAnsi="Cambria Math"/>
            <w:color w:val="1F4E9E"/>
          </w:rPr>
          <m:t xml:space="preserve">/</m:t>
        </m:r>
        <m:r>
          <w:rPr>
            <w:rFonts w:ascii="Cambria Math" w:hAnsi="Cambria Math"/>
            <w:color w:val="1F4E9E"/>
          </w:rPr>
          <m:t xml:space="preserve">δ</m:t>
        </m:r>
      </m:oMath>
      <w:r>
        <w:rPr>
          <w:color w:val="1F4E9E"/>
        </w:rPr>
        <w:t xml:space="preserve">. Trajectories that reach the response criterion before the end of the delay are neglected; they are premature responses, excluded from the empirical analysis and held to a small fraction of trials by the admissibility screen. Since </w:t>
      </w:r>
      <m:oMath>
        <m:r>
          <w:rPr>
            <w:rFonts w:ascii="Cambria Math" w:hAnsi="Cambria Math"/>
            <w:color w:val="1F4E9E"/>
          </w:rPr>
          <m:t xml:space="preserve">H</m:t>
        </m:r>
      </m:oMath>
      <w:r>
        <w:rPr>
          <w:color w:val="1F4E9E"/>
        </w:rPr>
        <w:t xml:space="preserve"> is almost surely continuously differentiable and </w:t>
      </w:r>
      <m:oMath>
        <m:d>
          <m:dPr>
            <m:begChr m:val="("/>
            <m:endChr m:val=")"/>
            <m:ctrlPr/>
          </m:dPr>
          <m:e>
            <m:r>
              <w:rPr>
                <w:rFonts w:ascii="Cambria Math" w:hAnsi="Cambria Math"/>
                <w:color w:val="1F4E9E"/>
              </w:rPr>
              <m:t xml:space="preserve">Z</m:t>
            </m:r>
            <m:r>
              <m:rPr>
                <m:nor/>
              </m:rPr>
              <w:rPr>
                <w:rFonts w:ascii="Cambria Math" w:hAnsi="Cambria Math"/>
                <w:color w:val="1F4E9E"/>
              </w:rPr>
              <m:t xml:space="preserve">,</m:t>
            </m:r>
            <m:acc>
              <m:accPr>
                <m:chr m:val="̇"/>
                <m:ctrlPr/>
              </m:accPr>
              <m:e>
                <m:r>
                  <w:rPr>
                    <w:rFonts w:ascii="Cambria Math" w:hAnsi="Cambria Math"/>
                    <w:color w:val="1F4E9E"/>
                  </w:rPr>
                  <m:t xml:space="preserve">Z</m:t>
                </m:r>
              </m:e>
            </m:acc>
          </m:e>
        </m:d>
      </m:oMath>
      <w:r>
        <w:rPr>
          <w:color w:val="1F4E9E"/>
        </w:rPr>
        <w:t xml:space="preserve"> is jointly Gaussian and non-degenerate for </w:t>
      </w:r>
      <m:oMath>
        <m:r>
          <w:rPr>
            <w:rFonts w:ascii="Cambria Math" w:hAnsi="Cambria Math"/>
            <w:color w:val="1F4E9E"/>
          </w:rPr>
          <m:t xml:space="preserve">ρ</m:t>
        </m:r>
        <m:r>
          <m:rPr>
            <m:nor/>
          </m:rPr>
          <w:rPr>
            <w:rFonts w:ascii="Cambria Math" w:hAnsi="Cambria Math"/>
            <w:color w:val="1F4E9E"/>
          </w:rPr>
          <m:t xml:space="preserve">&gt;</m:t>
        </m:r>
        <m:r>
          <m:rPr>
            <m:nor/>
          </m:rPr>
          <w:rPr>
            <w:rFonts w:ascii="Cambria Math" w:hAnsi="Cambria Math"/>
            <w:color w:val="1F4E9E"/>
          </w:rPr>
          <m:t xml:space="preserve">0</m:t>
        </m:r>
      </m:oMath>
      <w:r>
        <w:rPr>
          <w:color w:val="1F4E9E"/>
        </w:rPr>
        <w:t xml:space="preserve">, the Kac–Rice formula gives the expected upcrossing rate (Azaïs &amp; Wschebor, 2009, ch. 3):</w:t>
      </w:r>
    </w:p>
    <w:p w14:paraId="73212C5D" w14:textId="77777777" w:rsidR="00205CBC" w:rsidRDefault="00000000">
      <m:oMathPara>
        <m:oMath>
          <m:eqArr>
            <m:eqArrPr>
              <m:maxDist m:val="1"/>
              <m:ctrlPr/>
            </m:eqArrPr>
            <m:e>
              <m:r>
                <w:rPr>
                  <w:rFonts w:ascii="Cambria Math" w:hAnsi="Cambria Math"/>
                  <w:color w:val="1F4E9E"/>
                </w:rPr>
                <m:t xml:space="preserve">ν</m:t>
              </m:r>
              <m:d>
                <m:dPr>
                  <m:begChr m:val="("/>
                  <m:endChr m:val=")"/>
                  <m:ctrlPr/>
                </m:dPr>
                <m:e>
                  <m:r>
                    <w:rPr>
                      <w:rFonts w:ascii="Cambria Math" w:hAnsi="Cambria Math"/>
                      <w:color w:val="1F4E9E"/>
                    </w:rPr>
                    <m:t xml:space="preserve">t</m:t>
                  </m:r>
                </m:e>
              </m:d>
              <m:r>
                <m:rPr>
                  <m:nor/>
                </m:rPr>
                <w:rPr>
                  <w:rFonts w:ascii="Cambria Math" w:hAnsi="Cambria Math"/>
                  <w:color w:val="1F4E9E"/>
                </w:rPr>
                <m:t xml:space="preserve">=</m:t>
              </m:r>
              <m:sSub>
                <m:sSubPr>
                  <m:ctrlPr/>
                </m:sSubPr>
                <m:e>
                  <m:r>
                    <w:rPr>
                      <w:rFonts w:ascii="Cambria Math" w:hAnsi="Cambria Math"/>
                      <w:color w:val="1F4E9E"/>
                    </w:rPr>
                    <m:t xml:space="preserve">p</m:t>
                  </m:r>
                </m:e>
                <m:sub>
                  <m:r>
                    <w:rPr>
                      <w:rFonts w:ascii="Cambria Math" w:hAnsi="Cambria Math"/>
                      <w:color w:val="1F4E9E"/>
                    </w:rPr>
                    <m:t xml:space="preserve">Z</m:t>
                  </m:r>
                  <m:d>
                    <m:dPr>
                      <m:begChr m:val="("/>
                      <m:endChr m:val=")"/>
                      <m:ctrlPr/>
                    </m:dPr>
                    <m:e>
                      <m:r>
                        <w:rPr>
                          <w:rFonts w:ascii="Cambria Math" w:hAnsi="Cambria Math"/>
                          <w:color w:val="1F4E9E"/>
                        </w:rPr>
                        <m:t xml:space="preserve">t</m:t>
                      </m:r>
                    </m:e>
                  </m:d>
                </m:sub>
              </m:sSub>
              <m:d>
                <m:dPr>
                  <m:begChr m:val="("/>
                  <m:endChr m:val=")"/>
                  <m:ctrlPr/>
                </m:dPr>
                <m:e>
                  <m:r>
                    <m:rPr>
                      <m:nor/>
                    </m:rPr>
                    <w:rPr>
                      <w:rFonts w:ascii="Cambria Math" w:hAnsi="Cambria Math"/>
                      <w:color w:val="1F4E9E"/>
                    </w:rPr>
                    <m:t xml:space="preserve">0</m:t>
                  </m:r>
                </m:e>
              </m:d>
              <m:r>
                <m:rPr>
                  <m:nor/>
                </m:rPr>
                <w:rPr>
                  <w:rFonts w:ascii="Cambria Math" w:hAnsi="Cambria Math"/>
                  <w:color w:val="1F4E9E"/>
                </w:rPr>
                <m:t xml:space="preserve"> </m:t>
              </m:r>
              <m:r>
                <m:rPr>
                  <m:nor/>
                </m:rPr>
                <w:rPr>
                  <w:rFonts w:ascii="Cambria Math" w:hAnsi="Cambria Math"/>
                  <w:color w:val="1F4E9E"/>
                </w:rPr>
                <m:t xml:space="preserve">E</m:t>
              </m:r>
              <m:d>
                <m:dPr>
                  <m:begChr m:val="["/>
                  <m:endChr m:val="]"/>
                  <m:ctrlPr/>
                </m:dPr>
                <m:e>
                  <m:acc>
                    <m:accPr>
                      <m:chr m:val="̇"/>
                      <m:ctrlPr/>
                    </m:accPr>
                    <m:e>
                      <m:r>
                        <w:rPr>
                          <w:rFonts w:ascii="Cambria Math" w:hAnsi="Cambria Math"/>
                          <w:color w:val="1F4E9E"/>
                        </w:rPr>
                        <m:t xml:space="preserve">Z</m:t>
                      </m:r>
                    </m:e>
                  </m:acc>
                  <m:d>
                    <m:dPr>
                      <m:begChr m:val="("/>
                      <m:endChr m:val=")"/>
                      <m:ctrlPr/>
                    </m:dPr>
                    <m:e>
                      <m:r>
                        <w:rPr>
                          <w:rFonts w:ascii="Cambria Math" w:hAnsi="Cambria Math"/>
                          <w:color w:val="1F4E9E"/>
                        </w:rPr>
                        <m:t xml:space="preserve">t</m:t>
                      </m:r>
                    </m:e>
                  </m:d>
                  <m:sSub>
                    <m:sSubPr>
                      <m:ctrlPr/>
                    </m:sSubPr>
                    <m:e>
                      <m:r>
                        <m:rPr>
                          <m:nor/>
                        </m:rPr>
                        <w:rPr>
                          <w:rFonts w:ascii="Cambria Math" w:hAnsi="Cambria Math"/>
                          <w:color w:val="1F4E9E"/>
                        </w:rPr>
                        <m:t xml:space="preserve">1</m:t>
                      </m:r>
                    </m:e>
                    <m:sub>
                      <m:r>
                        <m:rPr>
                          <m:nor/>
                        </m:rPr>
                        <w:rPr>
                          <w:rFonts w:ascii="Cambria Math" w:hAnsi="Cambria Math"/>
                          <w:color w:val="1F4E9E"/>
                        </w:rPr>
                        <m:t xml:space="preserve">{</m:t>
                      </m:r>
                      <m:acc>
                        <m:accPr>
                          <m:chr m:val="̇"/>
                          <m:ctrlPr/>
                        </m:accPr>
                        <m:e>
                          <m:r>
                            <w:rPr>
                              <w:rFonts w:ascii="Cambria Math" w:hAnsi="Cambria Math"/>
                              <w:color w:val="1F4E9E"/>
                            </w:rPr>
                            <m:t xml:space="preserve">Z</m:t>
                          </m:r>
                        </m:e>
                      </m:acc>
                      <m:d>
                        <m:dPr>
                          <m:begChr m:val="("/>
                          <m:endChr m:val=")"/>
                          <m:ctrlPr/>
                        </m:dPr>
                        <m:e>
                          <m:r>
                            <w:rPr>
                              <w:rFonts w:ascii="Cambria Math" w:hAnsi="Cambria Math"/>
                              <w:color w:val="1F4E9E"/>
                            </w:rPr>
                            <m:t xml:space="preserve">t</m:t>
                          </m:r>
                        </m:e>
                      </m:d>
                      <m:r>
                        <m:rPr>
                          <m:nor/>
                        </m:rPr>
                        <w:rPr>
                          <w:rFonts w:ascii="Cambria Math" w:hAnsi="Cambria Math"/>
                          <w:color w:val="1F4E9E"/>
                        </w:rPr>
                        <m:t xml:space="preserve">&gt;</m:t>
                      </m:r>
                      <m:r>
                        <m:rPr>
                          <m:nor/>
                        </m:rPr>
                        <w:rPr>
                          <w:rFonts w:ascii="Cambria Math" w:hAnsi="Cambria Math"/>
                          <w:color w:val="1F4E9E"/>
                        </w:rPr>
                        <m:t xml:space="preserve">0</m:t>
                      </m:r>
                      <m:r>
                        <m:rPr>
                          <m:nor/>
                        </m:rPr>
                        <w:rPr>
                          <w:rFonts w:ascii="Cambria Math" w:hAnsi="Cambria Math"/>
                          <w:color w:val="1F4E9E"/>
                        </w:rPr>
                        <m:t xml:space="preserve">}</m:t>
                      </m:r>
                    </m:sub>
                  </m:sSub>
                  <m:r>
                    <m:rPr>
                      <m:nor/>
                    </m:rPr>
                    <w:rPr>
                      <w:rFonts w:ascii="Cambria Math" w:hAnsi="Cambria Math"/>
                      <w:color w:val="1F4E9E"/>
                    </w:rPr>
                    <m:t xml:space="preserve"> | </m:t>
                  </m:r>
                  <m:r>
                    <w:rPr>
                      <w:rFonts w:ascii="Cambria Math" w:hAnsi="Cambria Math"/>
                      <w:color w:val="1F4E9E"/>
                    </w:rPr>
                    <m:t xml:space="preserve">Z</m:t>
                  </m:r>
                  <m:d>
                    <m:dPr>
                      <m:begChr m:val="("/>
                      <m:endChr m:val=")"/>
                      <m:ctrlPr/>
                    </m:dPr>
                    <m:e>
                      <m:r>
                        <w:rPr>
                          <w:rFonts w:ascii="Cambria Math" w:hAnsi="Cambria Math"/>
                          <w:color w:val="1F4E9E"/>
                        </w:rPr>
                        <m:t xml:space="preserve">t</m:t>
                      </m:r>
                    </m:e>
                  </m:d>
                  <m:r>
                    <m:rPr>
                      <m:nor/>
                    </m:rPr>
                    <w:rPr>
                      <w:rFonts w:ascii="Cambria Math" w:hAnsi="Cambria Math"/>
                      <w:color w:val="1F4E9E"/>
                    </w:rPr>
                    <m:t xml:space="preserve">=</m:t>
                  </m:r>
                  <m:r>
                    <m:rPr>
                      <m:nor/>
                    </m:rPr>
                    <w:rPr>
                      <w:rFonts w:ascii="Cambria Math" w:hAnsi="Cambria Math"/>
                      <w:color w:val="1F4E9E"/>
                    </w:rPr>
                    <m:t xml:space="preserve">0</m:t>
                  </m:r>
                </m:e>
              </m:d>
              <m:r>
                <w:rPr>
                  <w:rFonts w:ascii="Cambria Math" w:hAnsi="Cambria Math"/>
                  <w:color w:val="1F4E9E"/>
                </w:rPr>
                <m:t xml:space="preserve">#</m:t>
              </m:r>
              <m:d>
                <m:dPr>
                  <m:begChr m:val="("/>
                  <m:endChr m:val=")"/>
                  <m:ctrlPr/>
                </m:dPr>
                <m:e>
                  <m:r>
                    <m:rPr>
                      <m:nor/>
                    </m:rPr>
                    <w:rPr>
                      <w:rFonts w:ascii="Cambria Math" w:hAnsi="Cambria Math"/>
                      <w:color w:val="1F4E9E"/>
                    </w:rPr>
                    <m:t xml:space="preserve">1</m:t>
                  </m:r>
                  <m:r>
                    <m:rPr>
                      <m:nor/>
                    </m:rPr>
                    <w:rPr>
                      <w:rFonts w:ascii="Cambria Math" w:hAnsi="Cambria Math"/>
                      <w:color w:val="1F4E9E"/>
                    </w:rPr>
                    <m:t xml:space="preserve">9</m:t>
                  </m:r>
                </m:e>
              </m:d>
            </m:e>
          </m:eqArr>
        </m:oMath>
      </m:oMathPara>
    </w:p>
    <w:p w14:paraId="73212C5D" w14:textId="77777777" w:rsidR="00205CBC" w:rsidRDefault="00000000">
      <w:r>
        <w:rPr>
          <w:color w:val="1F4E9E"/>
        </w:rPr>
        <w:t xml:space="preserve">No stationarity is assumed: the formula requires only continuous differentiability and non-degenerate one-dimensional marginals, both of which hold from the moment maintenance begins. Since </w:t>
      </w:r>
      <m:oMath>
        <m:r>
          <w:rPr>
            <w:rFonts w:ascii="Cambria Math" w:hAnsi="Cambria Math"/>
            <w:color w:val="1F4E9E"/>
          </w:rPr>
          <m:t xml:space="preserve">H</m:t>
        </m:r>
      </m:oMath>
      <w:r>
        <w:rPr>
          <w:color w:val="1F4E9E"/>
        </w:rPr>
        <w:t xml:space="preserve"> is centred, </w:t>
      </w:r>
      <m:oMath>
        <m:r>
          <w:rPr>
            <w:rFonts w:ascii="Cambria Math" w:hAnsi="Cambria Math"/>
            <w:color w:val="1F4E9E"/>
          </w:rPr>
          <m:t xml:space="preserve">Z</m:t>
        </m:r>
        <m:d>
          <m:dPr>
            <m:begChr m:val="("/>
            <m:endChr m:val=")"/>
            <m:ctrlPr/>
          </m:dPr>
          <m:e>
            <m:r>
              <w:rPr>
                <w:rFonts w:ascii="Cambria Math" w:hAnsi="Cambria Math"/>
                <w:color w:val="1F4E9E"/>
              </w:rPr>
              <m:t xml:space="preserve">t</m:t>
            </m:r>
          </m:e>
        </m:d>
        <m:r>
          <m:rPr>
            <m:nor/>
          </m:rPr>
          <w:rPr>
            <w:rFonts w:ascii="Cambria Math" w:hAnsi="Cambria Math"/>
            <w:color w:val="1F4E9E"/>
          </w:rPr>
          <m:t xml:space="preserve">∼</m:t>
        </m:r>
        <m:r>
          <m:rPr>
            <m:nor/>
          </m:rPr>
          <w:rPr>
            <w:rFonts w:ascii="Cambria Math" w:hAnsi="Cambria Math"/>
            <w:color w:val="1F4E9E"/>
          </w:rPr>
          <m:t xml:space="preserve">N</m:t>
        </m:r>
        <m:d>
          <m:dPr>
            <m:begChr m:val="("/>
            <m:endChr m:val=")"/>
            <m:ctrlPr/>
          </m:dPr>
          <m:e>
            <m:r>
              <m:rPr>
                <m:nor/>
              </m:rPr>
              <w:rPr>
                <w:rFonts w:ascii="Cambria Math" w:hAnsi="Cambria Math"/>
                <w:color w:val="1F4E9E"/>
              </w:rPr>
              <m:t xml:space="preserve">-</m:t>
            </m:r>
            <m:r>
              <w:rPr>
                <w:rFonts w:ascii="Cambria Math" w:hAnsi="Cambria Math"/>
                <w:color w:val="1F4E9E"/>
              </w:rPr>
              <m:t xml:space="preserve">d</m:t>
            </m:r>
            <m:d>
              <m:dPr>
                <m:begChr m:val="("/>
                <m:endChr m:val=")"/>
                <m:ctrlPr/>
              </m:dPr>
              <m:e>
                <m:r>
                  <w:rPr>
                    <w:rFonts w:ascii="Cambria Math" w:hAnsi="Cambria Math"/>
                    <w:color w:val="1F4E9E"/>
                  </w:rPr>
                  <m:t xml:space="preserve">t</m:t>
                </m:r>
              </m:e>
            </m:d>
            <m:r>
              <m:rPr>
                <m:nor/>
              </m:rPr>
              <w:rPr>
                <w:rFonts w:ascii="Cambria Math" w:hAnsi="Cambria Math"/>
                <w:color w:val="1F4E9E"/>
              </w:rPr>
              <m:t xml:space="preserve">,</m:t>
            </m:r>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e>
        </m:d>
      </m:oMath>
      <w:r>
        <w:rPr>
          <w:color w:val="1F4E9E"/>
        </w:rPr>
        <w:t xml:space="preserve"> and </w:t>
      </w:r>
      <m:oMath>
        <m:sSub>
          <m:sSubPr>
            <m:ctrlPr/>
          </m:sSubPr>
          <m:e>
            <m:r>
              <w:rPr>
                <w:rFonts w:ascii="Cambria Math" w:hAnsi="Cambria Math"/>
                <w:color w:val="1F4E9E"/>
              </w:rPr>
              <m:t xml:space="preserve">p</m:t>
            </m:r>
          </m:e>
          <m:sub>
            <m:r>
              <w:rPr>
                <w:rFonts w:ascii="Cambria Math" w:hAnsi="Cambria Math"/>
                <w:color w:val="1F4E9E"/>
              </w:rPr>
              <m:t xml:space="preserve">Z</m:t>
            </m:r>
            <m:d>
              <m:dPr>
                <m:begChr m:val="("/>
                <m:endChr m:val=")"/>
                <m:ctrlPr/>
              </m:dPr>
              <m:e>
                <m:r>
                  <w:rPr>
                    <w:rFonts w:ascii="Cambria Math" w:hAnsi="Cambria Math"/>
                    <w:color w:val="1F4E9E"/>
                  </w:rPr>
                  <m:t xml:space="preserve">t</m:t>
                </m:r>
              </m:e>
            </m:d>
          </m:sub>
        </m:sSub>
        <m:d>
          <m:dPr>
            <m:begChr m:val="("/>
            <m:endChr m:val=")"/>
            <m:ctrlPr/>
          </m:dPr>
          <m:e>
            <m:r>
              <m:rPr>
                <m:nor/>
              </m:rPr>
              <w:rPr>
                <w:rFonts w:ascii="Cambria Math" w:hAnsi="Cambria Math"/>
                <w:color w:val="1F4E9E"/>
              </w:rPr>
              <m:t xml:space="preserve">0</m:t>
            </m:r>
          </m:e>
        </m:d>
        <m:r>
          <m:rPr>
            <m:nor/>
          </m:rPr>
          <w:rPr>
            <w:rFonts w:ascii="Cambria Math" w:hAnsi="Cambria Math"/>
            <w:color w:val="1F4E9E"/>
          </w:rPr>
          <m:t xml:space="preserve">=</m:t>
        </m:r>
        <m:r>
          <w:rPr>
            <w:rFonts w:ascii="Cambria Math" w:hAnsi="Cambria Math"/>
            <w:color w:val="1F4E9E"/>
          </w:rPr>
          <m:t xml:space="preserve">φ</m:t>
        </m:r>
        <m:d>
          <m:dPr>
            <m:begChr m:val="("/>
            <m:endChr m:val=")"/>
            <m:ctrlPr/>
          </m:dPr>
          <m:e>
            <m:r>
              <w:rPr>
                <w:rFonts w:ascii="Cambria Math" w:hAnsi="Cambria Math"/>
                <w:color w:val="1F4E9E"/>
              </w:rPr>
              <m:t xml:space="preserve">d</m:t>
            </m:r>
            <m:d>
              <m:dPr>
                <m:begChr m:val="("/>
                <m:endChr m:val=")"/>
                <m:ctrlPr/>
              </m:dPr>
              <m:e>
                <m:r>
                  <w:rPr>
                    <w:rFonts w:ascii="Cambria Math" w:hAnsi="Cambria Math"/>
                    <w:color w:val="1F4E9E"/>
                  </w:rPr>
                  <m:t xml:space="preserve">t</m:t>
                </m:r>
              </m:e>
            </m:d>
            <m:r>
              <m:rPr>
                <m:nor/>
              </m:rPr>
              <w:rPr>
                <w:rFonts w:ascii="Cambria Math" w:hAnsi="Cambria Math"/>
                <w:color w:val="1F4E9E"/>
              </w:rPr>
              <m:t xml:space="preserve">/</m:t>
            </m:r>
            <m:rad>
              <m:radPr>
                <m:degHide m:val="1"/>
                <m:ctrlPr/>
              </m:radPr>
              <m:deg/>
              <m:e>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e>
            </m:rad>
          </m:e>
        </m:d>
        <m:r>
          <m:rPr>
            <m:nor/>
          </m:rPr>
          <w:rPr>
            <w:rFonts w:ascii="Cambria Math" w:hAnsi="Cambria Math"/>
            <w:color w:val="1F4E9E"/>
          </w:rPr>
          <m:t xml:space="preserve">/</m:t>
        </m:r>
        <m:rad>
          <m:radPr>
            <m:degHide m:val="1"/>
            <m:ctrlPr/>
          </m:radPr>
          <m:deg/>
          <m:e>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e>
        </m:rad>
      </m:oMath>
      <w:r>
        <w:rPr>
          <w:color w:val="1F4E9E"/>
        </w:rPr>
        <w:t xml:space="preserve">. Because </w:t>
      </w:r>
      <m:oMath>
        <m:d>
          <m:dPr>
            <m:begChr m:val="("/>
            <m:endChr m:val=")"/>
            <m:ctrlPr/>
          </m:dPr>
          <m:e>
            <m:r>
              <w:rPr>
                <w:rFonts w:ascii="Cambria Math" w:hAnsi="Cambria Math"/>
                <w:color w:val="1F4E9E"/>
              </w:rPr>
              <m:t xml:space="preserve">Z</m:t>
            </m:r>
            <m:r>
              <m:rPr>
                <m:nor/>
              </m:rPr>
              <w:rPr>
                <w:rFonts w:ascii="Cambria Math" w:hAnsi="Cambria Math"/>
                <w:color w:val="1F4E9E"/>
              </w:rPr>
              <m:t xml:space="preserve">,</m:t>
            </m:r>
            <m:acc>
              <m:accPr>
                <m:chr m:val="̇"/>
                <m:ctrlPr/>
              </m:accPr>
              <m:e>
                <m:r>
                  <w:rPr>
                    <w:rFonts w:ascii="Cambria Math" w:hAnsi="Cambria Math"/>
                    <w:color w:val="1F4E9E"/>
                  </w:rPr>
                  <m:t xml:space="preserve">Z</m:t>
                </m:r>
              </m:e>
            </m:acc>
          </m:e>
        </m:d>
      </m:oMath>
      <w:r>
        <w:rPr>
          <w:color w:val="1F4E9E"/>
        </w:rPr>
        <w:t xml:space="preserve"> is jointly Gaussian, </w:t>
      </w:r>
      <m:oMath>
        <m:acc>
          <m:accPr>
            <m:chr m:val="̇"/>
            <m:ctrlPr/>
          </m:accPr>
          <m:e>
            <m:r>
              <w:rPr>
                <w:rFonts w:ascii="Cambria Math" w:hAnsi="Cambria Math"/>
                <w:color w:val="1F4E9E"/>
              </w:rPr>
              <m:t xml:space="preserve">Z</m:t>
            </m:r>
          </m:e>
        </m:acc>
      </m:oMath>
      <w:r>
        <w:rPr>
          <w:color w:val="1F4E9E"/>
        </w:rPr>
        <w:t xml:space="preserve"> given </w:t>
      </w:r>
      <m:oMath>
        <m:r>
          <w:rPr>
            <w:rFonts w:ascii="Cambria Math" w:hAnsi="Cambria Math"/>
            <w:color w:val="1F4E9E"/>
          </w:rPr>
          <m:t xml:space="preserve">Z</m:t>
        </m:r>
        <m:r>
          <m:rPr>
            <m:nor/>
          </m:rPr>
          <w:rPr>
            <w:rFonts w:ascii="Cambria Math" w:hAnsi="Cambria Math"/>
            <w:color w:val="1F4E9E"/>
          </w:rPr>
          <m:t xml:space="preserve">=</m:t>
        </m:r>
        <m:r>
          <m:rPr>
            <m:nor/>
          </m:rPr>
          <w:rPr>
            <w:rFonts w:ascii="Cambria Math" w:hAnsi="Cambria Math"/>
            <w:color w:val="1F4E9E"/>
          </w:rPr>
          <m:t xml:space="preserve">0</m:t>
        </m:r>
      </m:oMath>
      <w:r>
        <w:rPr>
          <w:color w:val="1F4E9E"/>
        </w:rPr>
        <w:t xml:space="preserve"> is Gaussian with</w:t>
      </w:r>
    </w:p>
    <w:p w14:paraId="73212C5D" w14:textId="77777777" w:rsidR="00205CBC" w:rsidRDefault="00000000">
      <m:oMathPara>
        <m:oMath>
          <m:eqArr>
            <m:eqArrPr>
              <m:maxDist m:val="1"/>
              <m:ctrlPr/>
            </m:eqArrPr>
            <m:e>
              <m:r>
                <w:rPr>
                  <w:rFonts w:ascii="Cambria Math" w:hAnsi="Cambria Math"/>
                  <w:color w:val="1F4E9E"/>
                </w:rPr>
                <m:t xml:space="preserve">M</m:t>
              </m:r>
              <m:d>
                <m:dPr>
                  <m:begChr m:val="("/>
                  <m:endChr m:val=")"/>
                  <m:ctrlPr/>
                </m:dPr>
                <m:e>
                  <m:r>
                    <w:rPr>
                      <w:rFonts w:ascii="Cambria Math" w:hAnsi="Cambria Math"/>
                      <w:color w:val="1F4E9E"/>
                    </w:rPr>
                    <m:t xml:space="preserve">t</m:t>
                  </m:r>
                </m:e>
              </m:d>
              <m:r>
                <m:rPr>
                  <m:nor/>
                </m:rPr>
                <w:rPr>
                  <w:rFonts w:ascii="Cambria Math" w:hAnsi="Cambria Math"/>
                  <w:color w:val="1F4E9E"/>
                </w:rPr>
                <m:t xml:space="preserve">=</m:t>
              </m:r>
              <m:f>
                <m:fPr>
                  <m:ctrlPr/>
                </m:fPr>
                <m:num>
                  <m:r>
                    <w:rPr>
                      <w:rFonts w:ascii="Cambria Math" w:hAnsi="Cambria Math"/>
                      <w:color w:val="1F4E9E"/>
                    </w:rPr>
                    <m:t xml:space="preserve">β</m:t>
                  </m:r>
                </m:num>
                <m:den>
                  <m:r>
                    <w:rPr>
                      <w:rFonts w:ascii="Cambria Math" w:hAnsi="Cambria Math"/>
                      <w:color w:val="1F4E9E"/>
                    </w:rPr>
                    <m:t xml:space="preserve">δ</m:t>
                  </m:r>
                </m:den>
              </m:f>
              <m:r>
                <m:rPr>
                  <m:nor/>
                </m:rPr>
                <w:rPr>
                  <w:rFonts w:ascii="Cambria Math" w:hAnsi="Cambria Math"/>
                  <w:color w:val="1F4E9E"/>
                </w:rPr>
                <m:t xml:space="preserve">+</m:t>
              </m:r>
              <m:f>
                <m:fPr>
                  <m:ctrlPr/>
                </m:fPr>
                <m:num>
                  <m:r>
                    <m:rPr>
                      <m:nor/>
                    </m:rPr>
                    <w:rPr>
                      <w:rFonts w:ascii="Cambria Math" w:hAnsi="Cambria Math"/>
                      <w:color w:val="1F4E9E"/>
                    </w:rPr>
                    <m:t xml:space="preserve">Cov</m:t>
                  </m:r>
                  <m:d>
                    <m:dPr>
                      <m:begChr m:val="("/>
                      <m:endChr m:val=")"/>
                      <m:ctrlPr/>
                    </m:dPr>
                    <m:e>
                      <m:r>
                        <w:rPr>
                          <w:rFonts w:ascii="Cambria Math" w:hAnsi="Cambria Math"/>
                          <w:color w:val="1F4E9E"/>
                        </w:rPr>
                        <m:t xml:space="preserve">H</m:t>
                      </m:r>
                      <m:r>
                        <m:rPr>
                          <m:nor/>
                        </m:rPr>
                        <w:rPr>
                          <w:rFonts w:ascii="Cambria Math" w:hAnsi="Cambria Math"/>
                          <w:color w:val="1F4E9E"/>
                        </w:rPr>
                        <m:t xml:space="preserve">,</m:t>
                      </m:r>
                      <m:acc>
                        <m:accPr>
                          <m:chr m:val="̇"/>
                          <m:ctrlPr/>
                        </m:accPr>
                        <m:e>
                          <m:r>
                            <w:rPr>
                              <w:rFonts w:ascii="Cambria Math" w:hAnsi="Cambria Math"/>
                              <w:color w:val="1F4E9E"/>
                            </w:rPr>
                            <m:t xml:space="preserve">H</m:t>
                          </m:r>
                        </m:e>
                      </m:acc>
                    </m:e>
                  </m:d>
                </m:num>
                <m:den>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den>
              </m:f>
              <m:r>
                <w:rPr>
                  <w:rFonts w:ascii="Cambria Math" w:hAnsi="Cambria Math"/>
                  <w:color w:val="1F4E9E"/>
                </w:rPr>
                <m:t xml:space="preserve">d</m:t>
              </m:r>
              <m:d>
                <m:dPr>
                  <m:begChr m:val="("/>
                  <m:endChr m:val=")"/>
                  <m:ctrlPr/>
                </m:dPr>
                <m:e>
                  <m:r>
                    <w:rPr>
                      <w:rFonts w:ascii="Cambria Math" w:hAnsi="Cambria Math"/>
                      <w:color w:val="1F4E9E"/>
                    </w:rPr>
                    <m:t xml:space="preserve">t</m:t>
                  </m:r>
                </m:e>
              </m:d>
              <m:r>
                <m:rPr>
                  <m:nor/>
                </m:rPr>
                <w:rPr>
                  <w:rFonts w:ascii="Cambria Math" w:hAnsi="Cambria Math"/>
                  <w:color w:val="1F4E9E"/>
                </w:rPr>
                <m:t xml:space="preserve">,</m:t>
              </m:r>
              <m:r>
                <m:rPr>
                  <m:nor/>
                </m:rPr>
                <w:rPr>
                  <w:rFonts w:ascii="Cambria Math" w:hAnsi="Cambria Math"/>
                  <w:color w:val="1F4E9E"/>
                </w:rPr>
                <m:t xml:space="preserve"> </m:t>
              </m:r>
              <m:r>
                <w:rPr>
                  <w:rFonts w:ascii="Cambria Math" w:hAnsi="Cambria Math"/>
                  <w:color w:val="1F4E9E"/>
                </w:rPr>
                <m:t xml:space="preserve">S</m:t>
              </m:r>
              <m:d>
                <m:dPr>
                  <m:begChr m:val="("/>
                  <m:endChr m:val=")"/>
                  <m:ctrlPr/>
                </m:dPr>
                <m:e>
                  <m:r>
                    <w:rPr>
                      <w:rFonts w:ascii="Cambria Math" w:hAnsi="Cambria Math"/>
                      <w:color w:val="1F4E9E"/>
                    </w:rPr>
                    <m:t xml:space="preserve">t</m:t>
                  </m:r>
                </m:e>
              </m:d>
              <m:r>
                <m:rPr>
                  <m:nor/>
                </m:rPr>
                <w:rPr>
                  <w:rFonts w:ascii="Cambria Math" w:hAnsi="Cambria Math"/>
                  <w:color w:val="1F4E9E"/>
                </w:rPr>
                <m:t xml:space="preserve">=</m:t>
              </m:r>
              <m:r>
                <m:rPr>
                  <m:nor/>
                </m:rPr>
                <w:rPr>
                  <w:rFonts w:ascii="Cambria Math" w:hAnsi="Cambria Math"/>
                  <w:color w:val="1F4E9E"/>
                </w:rPr>
                <m:t xml:space="preserve">Var</m:t>
              </m:r>
              <m:r>
                <m:rPr>
                  <m:nor/>
                </m:rPr>
                <w:rPr>
                  <w:rFonts w:ascii="Cambria Math" w:hAnsi="Cambria Math"/>
                  <w:color w:val="1F4E9E"/>
                </w:rPr>
                <m:t xml:space="preserve"> </m:t>
              </m:r>
              <m:acc>
                <m:accPr>
                  <m:chr m:val="̇"/>
                  <m:ctrlPr/>
                </m:accPr>
                <m:e>
                  <m:r>
                    <w:rPr>
                      <w:rFonts w:ascii="Cambria Math" w:hAnsi="Cambria Math"/>
                      <w:color w:val="1F4E9E"/>
                    </w:rPr>
                    <m:t xml:space="preserve">H</m:t>
                  </m:r>
                </m:e>
              </m:acc>
              <m:r>
                <m:rPr>
                  <m:nor/>
                </m:rPr>
                <w:rPr>
                  <w:rFonts w:ascii="Cambria Math" w:hAnsi="Cambria Math"/>
                  <w:color w:val="1F4E9E"/>
                </w:rPr>
                <m:t xml:space="preserve">-</m:t>
              </m:r>
              <m:f>
                <m:fPr>
                  <m:ctrlPr/>
                </m:fPr>
                <m:num>
                  <m:r>
                    <m:rPr>
                      <m:nor/>
                    </m:rPr>
                    <w:rPr>
                      <w:rFonts w:ascii="Cambria Math" w:hAnsi="Cambria Math"/>
                      <w:color w:val="1F4E9E"/>
                    </w:rPr>
                    <m:t xml:space="preserve">Cov</m:t>
                  </m:r>
                  <m:sSup>
                    <m:sSupPr>
                      <m:ctrlPr/>
                    </m:sSupPr>
                    <m:e>
                      <m:d>
                        <m:dPr>
                          <m:begChr m:val="("/>
                          <m:endChr m:val=")"/>
                          <m:ctrlPr/>
                        </m:dPr>
                        <m:e>
                          <m:r>
                            <w:rPr>
                              <w:rFonts w:ascii="Cambria Math" w:hAnsi="Cambria Math"/>
                              <w:color w:val="1F4E9E"/>
                            </w:rPr>
                            <m:t xml:space="preserve">H</m:t>
                          </m:r>
                          <m:r>
                            <m:rPr>
                              <m:nor/>
                            </m:rPr>
                            <w:rPr>
                              <w:rFonts w:ascii="Cambria Math" w:hAnsi="Cambria Math"/>
                              <w:color w:val="1F4E9E"/>
                            </w:rPr>
                            <m:t xml:space="preserve">,</m:t>
                          </m:r>
                          <m:acc>
                            <m:accPr>
                              <m:chr m:val="̇"/>
                              <m:ctrlPr/>
                            </m:accPr>
                            <m:e>
                              <m:r>
                                <w:rPr>
                                  <w:rFonts w:ascii="Cambria Math" w:hAnsi="Cambria Math"/>
                                  <w:color w:val="1F4E9E"/>
                                </w:rPr>
                                <m:t xml:space="preserve">H</m:t>
                              </m:r>
                            </m:e>
                          </m:acc>
                        </m:e>
                      </m:d>
                    </m:e>
                    <m:sup>
                      <m:r>
                        <m:rPr>
                          <m:nor/>
                        </m:rPr>
                        <w:rPr>
                          <w:rFonts w:ascii="Cambria Math" w:hAnsi="Cambria Math"/>
                          <w:color w:val="1F4E9E"/>
                        </w:rPr>
                        <m:t xml:space="preserve">2</m:t>
                      </m:r>
                    </m:sup>
                  </m:sSup>
                </m:num>
                <m:den>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den>
              </m:f>
              <m:r>
                <w:rPr>
                  <w:rFonts w:ascii="Cambria Math" w:hAnsi="Cambria Math"/>
                  <w:color w:val="1F4E9E"/>
                </w:rPr>
                <m:t xml:space="preserve">#</m:t>
              </m:r>
              <m:d>
                <m:dPr>
                  <m:begChr m:val="("/>
                  <m:endChr m:val=")"/>
                  <m:ctrlPr/>
                </m:dPr>
                <m:e>
                  <m:r>
                    <m:rPr>
                      <m:nor/>
                    </m:rPr>
                    <w:rPr>
                      <w:rFonts w:ascii="Cambria Math" w:hAnsi="Cambria Math"/>
                      <w:color w:val="1F4E9E"/>
                    </w:rPr>
                    <m:t xml:space="preserve">2</m:t>
                  </m:r>
                  <m:r>
                    <m:rPr>
                      <m:nor/>
                    </m:rPr>
                    <w:rPr>
                      <w:rFonts w:ascii="Cambria Math" w:hAnsi="Cambria Math"/>
                      <w:color w:val="1F4E9E"/>
                    </w:rPr>
                    <m:t xml:space="preserve">0</m:t>
                  </m:r>
                </m:e>
              </m:d>
            </m:e>
          </m:eqArr>
        </m:oMath>
      </m:oMathPara>
    </w:p>
    <w:p w14:paraId="73212C5D" w14:textId="77777777" w:rsidR="00205CBC" w:rsidRDefault="00000000">
      <w:r>
        <w:rPr>
          <w:color w:val="1F4E9E"/>
        </w:rPr>
        <w:t xml:space="preserve">and for </w:t>
      </w:r>
      <m:oMath>
        <m:r>
          <w:rPr>
            <w:rFonts w:ascii="Cambria Math" w:hAnsi="Cambria Math"/>
            <w:color w:val="1F4E9E"/>
          </w:rPr>
          <m:t xml:space="preserve">X</m:t>
        </m:r>
        <m:r>
          <m:rPr>
            <m:nor/>
          </m:rPr>
          <w:rPr>
            <w:rFonts w:ascii="Cambria Math" w:hAnsi="Cambria Math"/>
            <w:color w:val="1F4E9E"/>
          </w:rPr>
          <m:t xml:space="preserve">∼</m:t>
        </m:r>
        <m:r>
          <m:rPr>
            <m:nor/>
          </m:rPr>
          <w:rPr>
            <w:rFonts w:ascii="Cambria Math" w:hAnsi="Cambria Math"/>
            <w:color w:val="1F4E9E"/>
          </w:rPr>
          <m:t xml:space="preserve">N</m:t>
        </m:r>
        <m:d>
          <m:dPr>
            <m:begChr m:val="("/>
            <m:endChr m:val=")"/>
            <m:ctrlPr/>
          </m:dPr>
          <m:e>
            <m:r>
              <w:rPr>
                <w:rFonts w:ascii="Cambria Math" w:hAnsi="Cambria Math"/>
                <w:color w:val="1F4E9E"/>
              </w:rPr>
              <m:t xml:space="preserve">M</m:t>
            </m:r>
            <m:r>
              <m:rPr>
                <m:nor/>
              </m:rPr>
              <w:rPr>
                <w:rFonts w:ascii="Cambria Math" w:hAnsi="Cambria Math"/>
                <w:color w:val="1F4E9E"/>
              </w:rPr>
              <m:t xml:space="preserve">,</m:t>
            </m:r>
            <m:r>
              <w:rPr>
                <w:rFonts w:ascii="Cambria Math" w:hAnsi="Cambria Math"/>
                <w:color w:val="1F4E9E"/>
              </w:rPr>
              <m:t xml:space="preserve">S</m:t>
            </m:r>
          </m:e>
        </m:d>
      </m:oMath>
      <w:r>
        <w:rPr>
          <w:color w:val="1F4E9E"/>
        </w:rPr>
        <w:t xml:space="preserve"> one has </w:t>
      </w:r>
      <m:oMath>
        <m:r>
          <m:rPr>
            <m:nor/>
          </m:rPr>
          <w:rPr>
            <w:rFonts w:ascii="Cambria Math" w:hAnsi="Cambria Math"/>
            <w:color w:val="1F4E9E"/>
          </w:rPr>
          <m:t xml:space="preserve">E</m:t>
        </m:r>
        <m:d>
          <m:dPr>
            <m:begChr m:val="["/>
            <m:endChr m:val="]"/>
            <m:ctrlPr/>
          </m:dPr>
          <m:e>
            <m:r>
              <w:rPr>
                <w:rFonts w:ascii="Cambria Math" w:hAnsi="Cambria Math"/>
                <w:color w:val="1F4E9E"/>
              </w:rPr>
              <m:t xml:space="preserve">X</m:t>
            </m:r>
            <m:sSub>
              <m:sSubPr>
                <m:ctrlPr/>
              </m:sSubPr>
              <m:e>
                <m:r>
                  <m:rPr>
                    <m:nor/>
                  </m:rPr>
                  <w:rPr>
                    <w:rFonts w:ascii="Cambria Math" w:hAnsi="Cambria Math"/>
                    <w:color w:val="1F4E9E"/>
                  </w:rPr>
                  <m:t xml:space="preserve">1</m:t>
                </m:r>
              </m:e>
              <m:sub>
                <m:r>
                  <m:rPr>
                    <m:nor/>
                  </m:rPr>
                  <w:rPr>
                    <w:rFonts w:ascii="Cambria Math" w:hAnsi="Cambria Math"/>
                    <w:color w:val="1F4E9E"/>
                  </w:rPr>
                  <m:t xml:space="preserve">{</m:t>
                </m:r>
                <m:r>
                  <w:rPr>
                    <w:rFonts w:ascii="Cambria Math" w:hAnsi="Cambria Math"/>
                    <w:color w:val="1F4E9E"/>
                  </w:rPr>
                  <m:t xml:space="preserve">X</m:t>
                </m:r>
                <m:r>
                  <m:rPr>
                    <m:nor/>
                  </m:rPr>
                  <w:rPr>
                    <w:rFonts w:ascii="Cambria Math" w:hAnsi="Cambria Math"/>
                    <w:color w:val="1F4E9E"/>
                  </w:rPr>
                  <m:t xml:space="preserve">&gt;</m:t>
                </m:r>
                <m:r>
                  <m:rPr>
                    <m:nor/>
                  </m:rPr>
                  <w:rPr>
                    <w:rFonts w:ascii="Cambria Math" w:hAnsi="Cambria Math"/>
                    <w:color w:val="1F4E9E"/>
                  </w:rPr>
                  <m:t xml:space="preserve">0</m:t>
                </m:r>
                <m:r>
                  <m:rPr>
                    <m:nor/>
                  </m:rPr>
                  <w:rPr>
                    <w:rFonts w:ascii="Cambria Math" w:hAnsi="Cambria Math"/>
                    <w:color w:val="1F4E9E"/>
                  </w:rPr>
                  <m:t xml:space="preserve">}</m:t>
                </m:r>
              </m:sub>
            </m:sSub>
          </m:e>
        </m:d>
        <m:r>
          <m:rPr>
            <m:nor/>
          </m:rPr>
          <w:rPr>
            <w:rFonts w:ascii="Cambria Math" w:hAnsi="Cambria Math"/>
            <w:color w:val="1F4E9E"/>
          </w:rPr>
          <m:t xml:space="preserve">=</m:t>
        </m:r>
        <m:r>
          <w:rPr>
            <w:rFonts w:ascii="Cambria Math" w:hAnsi="Cambria Math"/>
            <w:color w:val="1F4E9E"/>
          </w:rPr>
          <m:t xml:space="preserve">M</m:t>
        </m:r>
        <m:r>
          <w:rPr>
            <w:rFonts w:ascii="Cambria Math" w:hAnsi="Cambria Math"/>
            <w:color w:val="1F4E9E"/>
          </w:rPr>
          <m:t xml:space="preserve">Φ</m:t>
        </m:r>
        <m:d>
          <m:dPr>
            <m:begChr m:val="("/>
            <m:endChr m:val=")"/>
            <m:ctrlPr/>
          </m:dPr>
          <m:e>
            <m:r>
              <w:rPr>
                <w:rFonts w:ascii="Cambria Math" w:hAnsi="Cambria Math"/>
                <w:color w:val="1F4E9E"/>
              </w:rPr>
              <m:t xml:space="preserve">M</m:t>
            </m:r>
            <m:r>
              <m:rPr>
                <m:nor/>
              </m:rPr>
              <w:rPr>
                <w:rFonts w:ascii="Cambria Math" w:hAnsi="Cambria Math"/>
                <w:color w:val="1F4E9E"/>
              </w:rPr>
              <m:t xml:space="preserve">/</m:t>
            </m:r>
            <m:rad>
              <m:radPr>
                <m:degHide m:val="1"/>
                <m:ctrlPr/>
              </m:radPr>
              <m:deg/>
              <m:e>
                <m:r>
                  <w:rPr>
                    <w:rFonts w:ascii="Cambria Math" w:hAnsi="Cambria Math"/>
                    <w:color w:val="1F4E9E"/>
                  </w:rPr>
                  <m:t xml:space="preserve">S</m:t>
                </m:r>
              </m:e>
            </m:rad>
          </m:e>
        </m:d>
        <m:r>
          <m:rPr>
            <m:nor/>
          </m:rPr>
          <w:rPr>
            <w:rFonts w:ascii="Cambria Math" w:hAnsi="Cambria Math"/>
            <w:color w:val="1F4E9E"/>
          </w:rPr>
          <m:t xml:space="preserve">+</m:t>
        </m:r>
        <m:rad>
          <m:radPr>
            <m:degHide m:val="1"/>
            <m:ctrlPr/>
          </m:radPr>
          <m:deg/>
          <m:e>
            <m:r>
              <w:rPr>
                <w:rFonts w:ascii="Cambria Math" w:hAnsi="Cambria Math"/>
                <w:color w:val="1F4E9E"/>
              </w:rPr>
              <m:t xml:space="preserve">S</m:t>
            </m:r>
          </m:e>
        </m:rad>
        <m:r>
          <w:rPr>
            <w:rFonts w:ascii="Cambria Math" w:hAnsi="Cambria Math"/>
            <w:color w:val="1F4E9E"/>
          </w:rPr>
          <m:t xml:space="preserve">φ</m:t>
        </m:r>
        <m:d>
          <m:dPr>
            <m:begChr m:val="("/>
            <m:endChr m:val=")"/>
            <m:ctrlPr/>
          </m:dPr>
          <m:e>
            <m:r>
              <w:rPr>
                <w:rFonts w:ascii="Cambria Math" w:hAnsi="Cambria Math"/>
                <w:color w:val="1F4E9E"/>
              </w:rPr>
              <m:t xml:space="preserve">M</m:t>
            </m:r>
            <m:r>
              <m:rPr>
                <m:nor/>
              </m:rPr>
              <w:rPr>
                <w:rFonts w:ascii="Cambria Math" w:hAnsi="Cambria Math"/>
                <w:color w:val="1F4E9E"/>
              </w:rPr>
              <m:t xml:space="preserve">/</m:t>
            </m:r>
            <m:rad>
              <m:radPr>
                <m:degHide m:val="1"/>
                <m:ctrlPr/>
              </m:radPr>
              <m:deg/>
              <m:e>
                <m:r>
                  <w:rPr>
                    <w:rFonts w:ascii="Cambria Math" w:hAnsi="Cambria Math"/>
                    <w:color w:val="1F4E9E"/>
                  </w:rPr>
                  <m:t xml:space="preserve">S</m:t>
                </m:r>
              </m:e>
            </m:rad>
          </m:e>
        </m:d>
      </m:oMath>
      <w:r>
        <w:rPr>
          <w:color w:val="1F4E9E"/>
        </w:rPr>
        <w:t xml:space="preserve">. Substituting into (19) gives the rate in general form,</w:t>
      </w:r>
    </w:p>
    <w:p w14:paraId="73212C5D" w14:textId="77777777" w:rsidR="00205CBC" w:rsidRDefault="00000000">
      <m:oMathPara>
        <m:oMath>
          <m:eqArr>
            <m:eqArrPr>
              <m:maxDist m:val="1"/>
              <m:ctrlPr/>
            </m:eqArrPr>
            <m:e>
              <m:r>
                <w:rPr>
                  <w:rFonts w:ascii="Cambria Math" w:hAnsi="Cambria Math"/>
                  <w:color w:val="1F4E9E"/>
                </w:rPr>
                <m:t xml:space="preserve">ν</m:t>
              </m:r>
              <m:d>
                <m:dPr>
                  <m:begChr m:val="("/>
                  <m:endChr m:val=")"/>
                  <m:ctrlPr/>
                </m:dPr>
                <m:e>
                  <m:r>
                    <w:rPr>
                      <w:rFonts w:ascii="Cambria Math" w:hAnsi="Cambria Math"/>
                      <w:color w:val="1F4E9E"/>
                    </w:rPr>
                    <m:t xml:space="preserve">t</m:t>
                  </m:r>
                </m:e>
              </m:d>
              <m:r>
                <m:rPr>
                  <m:nor/>
                </m:rPr>
                <w:rPr>
                  <w:rFonts w:ascii="Cambria Math" w:hAnsi="Cambria Math"/>
                  <w:color w:val="1F4E9E"/>
                </w:rPr>
                <m:t xml:space="preserve">=</m:t>
              </m:r>
              <m:f>
                <m:fPr>
                  <m:ctrlPr/>
                </m:fPr>
                <m:num>
                  <m:r>
                    <w:rPr>
                      <w:rFonts w:ascii="Cambria Math" w:hAnsi="Cambria Math"/>
                      <w:color w:val="1F4E9E"/>
                    </w:rPr>
                    <m:t xml:space="preserve">φ</m:t>
                  </m:r>
                  <m:d>
                    <m:dPr>
                      <m:begChr m:val="("/>
                      <m:endChr m:val=")"/>
                      <m:ctrlPr/>
                    </m:dPr>
                    <m:e>
                      <m:r>
                        <w:rPr>
                          <w:rFonts w:ascii="Cambria Math" w:hAnsi="Cambria Math"/>
                          <w:color w:val="1F4E9E"/>
                        </w:rPr>
                        <m:t xml:space="preserve">d</m:t>
                      </m:r>
                      <m:d>
                        <m:dPr>
                          <m:begChr m:val="("/>
                          <m:endChr m:val=")"/>
                          <m:ctrlPr/>
                        </m:dPr>
                        <m:e>
                          <m:r>
                            <w:rPr>
                              <w:rFonts w:ascii="Cambria Math" w:hAnsi="Cambria Math"/>
                              <w:color w:val="1F4E9E"/>
                            </w:rPr>
                            <m:t xml:space="preserve">t</m:t>
                          </m:r>
                        </m:e>
                      </m:d>
                      <m:r>
                        <m:rPr>
                          <m:nor/>
                        </m:rPr>
                        <w:rPr>
                          <w:rFonts w:ascii="Cambria Math" w:hAnsi="Cambria Math"/>
                          <w:color w:val="1F4E9E"/>
                        </w:rPr>
                        <m:t xml:space="preserve">/</m:t>
                      </m:r>
                      <m:rad>
                        <m:radPr>
                          <m:degHide m:val="1"/>
                          <m:ctrlPr/>
                        </m:radPr>
                        <m:deg/>
                        <m:e>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e>
                      </m:rad>
                    </m:e>
                  </m:d>
                </m:num>
                <m:den>
                  <m:rad>
                    <m:radPr>
                      <m:degHide m:val="1"/>
                      <m:ctrlPr/>
                    </m:radPr>
                    <m:deg/>
                    <m:e>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e>
                  </m:rad>
                </m:den>
              </m:f>
              <m:d>
                <m:dPr>
                  <m:begChr m:val="["/>
                  <m:endChr m:val="]"/>
                  <m:ctrlPr/>
                </m:dPr>
                <m:e>
                  <m:r>
                    <w:rPr>
                      <w:rFonts w:ascii="Cambria Math" w:hAnsi="Cambria Math"/>
                      <w:color w:val="1F4E9E"/>
                    </w:rPr>
                    <m:t xml:space="preserve">M</m:t>
                  </m:r>
                  <m:d>
                    <m:dPr>
                      <m:begChr m:val="("/>
                      <m:endChr m:val=")"/>
                      <m:ctrlPr/>
                    </m:dPr>
                    <m:e>
                      <m:r>
                        <w:rPr>
                          <w:rFonts w:ascii="Cambria Math" w:hAnsi="Cambria Math"/>
                          <w:color w:val="1F4E9E"/>
                        </w:rPr>
                        <m:t xml:space="preserve">t</m:t>
                      </m:r>
                    </m:e>
                  </m:d>
                  <m:r>
                    <w:rPr>
                      <w:rFonts w:ascii="Cambria Math" w:hAnsi="Cambria Math"/>
                      <w:color w:val="1F4E9E"/>
                    </w:rPr>
                    <m:t xml:space="preserve">Φ</m:t>
                  </m:r>
                  <m:d>
                    <m:dPr>
                      <m:begChr m:val="("/>
                      <m:endChr m:val=")"/>
                      <m:ctrlPr/>
                    </m:dPr>
                    <m:e>
                      <m:f>
                        <m:fPr>
                          <m:ctrlPr/>
                        </m:fPr>
                        <m:num>
                          <m:r>
                            <w:rPr>
                              <w:rFonts w:ascii="Cambria Math" w:hAnsi="Cambria Math"/>
                              <w:color w:val="1F4E9E"/>
                            </w:rPr>
                            <m:t xml:space="preserve">M</m:t>
                          </m:r>
                          <m:d>
                            <m:dPr>
                              <m:begChr m:val="("/>
                              <m:endChr m:val=")"/>
                              <m:ctrlPr/>
                            </m:dPr>
                            <m:e>
                              <m:r>
                                <w:rPr>
                                  <w:rFonts w:ascii="Cambria Math" w:hAnsi="Cambria Math"/>
                                  <w:color w:val="1F4E9E"/>
                                </w:rPr>
                                <m:t xml:space="preserve">t</m:t>
                              </m:r>
                            </m:e>
                          </m:d>
                        </m:num>
                        <m:den>
                          <m:rad>
                            <m:radPr>
                              <m:degHide m:val="1"/>
                              <m:ctrlPr/>
                            </m:radPr>
                            <m:deg/>
                            <m:e>
                              <m:r>
                                <w:rPr>
                                  <w:rFonts w:ascii="Cambria Math" w:hAnsi="Cambria Math"/>
                                  <w:color w:val="1F4E9E"/>
                                </w:rPr>
                                <m:t xml:space="preserve">S</m:t>
                              </m:r>
                              <m:d>
                                <m:dPr>
                                  <m:begChr m:val="("/>
                                  <m:endChr m:val=")"/>
                                  <m:ctrlPr/>
                                </m:dPr>
                                <m:e>
                                  <m:r>
                                    <w:rPr>
                                      <w:rFonts w:ascii="Cambria Math" w:hAnsi="Cambria Math"/>
                                      <w:color w:val="1F4E9E"/>
                                    </w:rPr>
                                    <m:t xml:space="preserve">t</m:t>
                                  </m:r>
                                </m:e>
                              </m:d>
                            </m:e>
                          </m:rad>
                        </m:den>
                      </m:f>
                    </m:e>
                  </m:d>
                  <m:r>
                    <m:rPr>
                      <m:nor/>
                    </m:rPr>
                    <w:rPr>
                      <w:rFonts w:ascii="Cambria Math" w:hAnsi="Cambria Math"/>
                      <w:color w:val="1F4E9E"/>
                    </w:rPr>
                    <m:t xml:space="preserve">+</m:t>
                  </m:r>
                  <m:rad>
                    <m:radPr>
                      <m:degHide m:val="1"/>
                      <m:ctrlPr/>
                    </m:radPr>
                    <m:deg/>
                    <m:e>
                      <m:r>
                        <w:rPr>
                          <w:rFonts w:ascii="Cambria Math" w:hAnsi="Cambria Math"/>
                          <w:color w:val="1F4E9E"/>
                        </w:rPr>
                        <m:t xml:space="preserve">S</m:t>
                      </m:r>
                      <m:d>
                        <m:dPr>
                          <m:begChr m:val="("/>
                          <m:endChr m:val=")"/>
                          <m:ctrlPr/>
                        </m:dPr>
                        <m:e>
                          <m:r>
                            <w:rPr>
                              <w:rFonts w:ascii="Cambria Math" w:hAnsi="Cambria Math"/>
                              <w:color w:val="1F4E9E"/>
                            </w:rPr>
                            <m:t xml:space="preserve">t</m:t>
                          </m:r>
                        </m:e>
                      </m:d>
                    </m:e>
                  </m:rad>
                  <m:r>
                    <w:rPr>
                      <w:rFonts w:ascii="Cambria Math" w:hAnsi="Cambria Math"/>
                      <w:color w:val="1F4E9E"/>
                    </w:rPr>
                    <m:t xml:space="preserve">φ</m:t>
                  </m:r>
                  <m:d>
                    <m:dPr>
                      <m:begChr m:val="("/>
                      <m:endChr m:val=")"/>
                      <m:ctrlPr/>
                    </m:dPr>
                    <m:e>
                      <m:f>
                        <m:fPr>
                          <m:ctrlPr/>
                        </m:fPr>
                        <m:num>
                          <m:r>
                            <w:rPr>
                              <w:rFonts w:ascii="Cambria Math" w:hAnsi="Cambria Math"/>
                              <w:color w:val="1F4E9E"/>
                            </w:rPr>
                            <m:t xml:space="preserve">M</m:t>
                          </m:r>
                          <m:d>
                            <m:dPr>
                              <m:begChr m:val="("/>
                              <m:endChr m:val=")"/>
                              <m:ctrlPr/>
                            </m:dPr>
                            <m:e>
                              <m:r>
                                <w:rPr>
                                  <w:rFonts w:ascii="Cambria Math" w:hAnsi="Cambria Math"/>
                                  <w:color w:val="1F4E9E"/>
                                </w:rPr>
                                <m:t xml:space="preserve">t</m:t>
                              </m:r>
                            </m:e>
                          </m:d>
                        </m:num>
                        <m:den>
                          <m:rad>
                            <m:radPr>
                              <m:degHide m:val="1"/>
                              <m:ctrlPr/>
                            </m:radPr>
                            <m:deg/>
                            <m:e>
                              <m:r>
                                <w:rPr>
                                  <w:rFonts w:ascii="Cambria Math" w:hAnsi="Cambria Math"/>
                                  <w:color w:val="1F4E9E"/>
                                </w:rPr>
                                <m:t xml:space="preserve">S</m:t>
                              </m:r>
                              <m:d>
                                <m:dPr>
                                  <m:begChr m:val="("/>
                                  <m:endChr m:val=")"/>
                                  <m:ctrlPr/>
                                </m:dPr>
                                <m:e>
                                  <m:r>
                                    <w:rPr>
                                      <w:rFonts w:ascii="Cambria Math" w:hAnsi="Cambria Math"/>
                                      <w:color w:val="1F4E9E"/>
                                    </w:rPr>
                                    <m:t xml:space="preserve">t</m:t>
                                  </m:r>
                                </m:e>
                              </m:d>
                            </m:e>
                          </m:rad>
                        </m:den>
                      </m:f>
                    </m:e>
                  </m:d>
                </m:e>
              </m:d>
              <m:r>
                <w:rPr>
                  <w:rFonts w:ascii="Cambria Math" w:hAnsi="Cambria Math"/>
                  <w:color w:val="1F4E9E"/>
                </w:rPr>
                <m:t xml:space="preserve">#</m:t>
              </m:r>
              <m:d>
                <m:dPr>
                  <m:begChr m:val="("/>
                  <m:endChr m:val=")"/>
                  <m:ctrlPr/>
                </m:dPr>
                <m:e>
                  <m:r>
                    <m:rPr>
                      <m:nor/>
                    </m:rPr>
                    <w:rPr>
                      <w:rFonts w:ascii="Cambria Math" w:hAnsi="Cambria Math"/>
                      <w:color w:val="1F4E9E"/>
                    </w:rPr>
                    <m:t xml:space="preserve">2</m:t>
                  </m:r>
                  <m:r>
                    <m:rPr>
                      <m:nor/>
                    </m:rPr>
                    <w:rPr>
                      <w:rFonts w:ascii="Cambria Math" w:hAnsi="Cambria Math"/>
                      <w:color w:val="1F4E9E"/>
                    </w:rPr>
                    <m:t xml:space="preserve">1</m:t>
                  </m:r>
                </m:e>
              </m:d>
            </m:e>
          </m:eqArr>
        </m:oMath>
      </m:oMathPara>
    </w:p>
    <w:p w14:paraId="73212C5D" w14:textId="77777777" w:rsidR="00205CBC" w:rsidRDefault="00000000">
      <w:r>
        <w:rPr>
          <w:color w:val="1F4E9E"/>
        </w:rPr>
        <w:t xml:space="preserve">Once the transient has passed the covariance vanishes, so </w:t>
      </w:r>
      <m:oMath>
        <m:r>
          <w:rPr>
            <w:rFonts w:ascii="Cambria Math" w:hAnsi="Cambria Math"/>
            <w:color w:val="1F4E9E"/>
          </w:rPr>
          <m:t xml:space="preserve">M</m:t>
        </m:r>
        <m:r>
          <m:rPr>
            <m:nor/>
          </m:rPr>
          <w:rPr>
            <w:rFonts w:ascii="Cambria Math" w:hAnsi="Cambria Math"/>
            <w:color w:val="1F4E9E"/>
          </w:rPr>
          <m:t xml:space="preserve">=</m:t>
        </m:r>
        <m:r>
          <w:rPr>
            <w:rFonts w:ascii="Cambria Math" w:hAnsi="Cambria Math"/>
            <w:color w:val="1F4E9E"/>
          </w:rPr>
          <m:t xml:space="preserve">β</m:t>
        </m:r>
        <m:r>
          <m:rPr>
            <m:nor/>
          </m:rPr>
          <w:rPr>
            <w:rFonts w:ascii="Cambria Math" w:hAnsi="Cambria Math"/>
            <w:color w:val="1F4E9E"/>
          </w:rPr>
          <m:t xml:space="preserve">/</m:t>
        </m:r>
        <m:r>
          <w:rPr>
            <w:rFonts w:ascii="Cambria Math" w:hAnsi="Cambria Math"/>
            <w:color w:val="1F4E9E"/>
          </w:rPr>
          <m:t xml:space="preserve">δ</m:t>
        </m:r>
      </m:oMath>
      <w:r>
        <w:rPr>
          <w:color w:val="1F4E9E"/>
        </w:rPr>
        <w:t xml:space="preserve"> and </w:t>
      </w:r>
      <m:oMath>
        <m:r>
          <w:rPr>
            <w:rFonts w:ascii="Cambria Math" w:hAnsi="Cambria Math"/>
            <w:color w:val="1F4E9E"/>
          </w:rPr>
          <m:t xml:space="preserve">S</m:t>
        </m:r>
        <m:r>
          <m:rPr>
            <m:nor/>
          </m:rPr>
          <w:rPr>
            <w:rFonts w:ascii="Cambria Math" w:hAnsi="Cambria Math"/>
            <w:color w:val="1F4E9E"/>
          </w:rPr>
          <m:t xml:space="preserve">=</m:t>
        </m:r>
        <m:sSubSup>
          <m:sSubSupPr>
            <m:ctrlPr/>
          </m:sSubSupPr>
          <m:e>
            <m:r>
              <w:rPr>
                <w:rFonts w:ascii="Cambria Math" w:hAnsi="Cambria Math"/>
                <w:color w:val="1F4E9E"/>
              </w:rPr>
              <m:t xml:space="preserve">σ</m:t>
            </m:r>
          </m:e>
          <m:sub>
            <m:acc>
              <m:accPr>
                <m:chr m:val="̇"/>
                <m:ctrlPr/>
              </m:accPr>
              <m:e>
                <m:r>
                  <w:rPr>
                    <w:rFonts w:ascii="Cambria Math" w:hAnsi="Cambria Math"/>
                    <w:color w:val="1F4E9E"/>
                  </w:rPr>
                  <m:t xml:space="preserve">H</m:t>
                </m:r>
              </m:e>
            </m:acc>
          </m:sub>
          <m:sup>
            <m:r>
              <m:rPr>
                <m:nor/>
              </m:rPr>
              <w:rPr>
                <w:rFonts w:ascii="Cambria Math" w:hAnsi="Cambria Math"/>
                <w:color w:val="1F4E9E"/>
              </w:rPr>
              <m:t xml:space="preserve">2</m:t>
            </m:r>
          </m:sup>
        </m:sSubSup>
      </m:oMath>
      <w:r>
        <w:rPr>
          <w:color w:val="1F4E9E"/>
        </w:rPr>
        <w:t xml:space="preserve">. Writing </w:t>
      </w:r>
      <m:oMath>
        <m:r>
          <w:rPr>
            <w:rFonts w:ascii="Cambria Math" w:hAnsi="Cambria Math"/>
            <w:color w:val="1F4E9E"/>
          </w:rPr>
          <m:t xml:space="preserve">a</m:t>
        </m:r>
        <m:d>
          <m:dPr>
            <m:begChr m:val="("/>
            <m:endChr m:val=")"/>
            <m:ctrlPr/>
          </m:dPr>
          <m:e>
            <m:r>
              <w:rPr>
                <w:rFonts w:ascii="Cambria Math" w:hAnsi="Cambria Math"/>
                <w:color w:val="1F4E9E"/>
              </w:rPr>
              <m:t xml:space="preserve">t</m:t>
            </m:r>
          </m:e>
        </m:d>
        <m:r>
          <m:rPr>
            <m:nor/>
          </m:rPr>
          <w:rPr>
            <w:rFonts w:ascii="Cambria Math" w:hAnsi="Cambria Math"/>
            <w:color w:val="1F4E9E"/>
          </w:rPr>
          <m:t xml:space="preserve">:</m:t>
        </m:r>
        <m:r>
          <m:rPr>
            <m:nor/>
          </m:rPr>
          <w:rPr>
            <w:rFonts w:ascii="Cambria Math" w:hAnsi="Cambria Math"/>
            <w:color w:val="1F4E9E"/>
          </w:rPr>
          <m:t xml:space="preserve">=</m:t>
        </m:r>
        <m:r>
          <w:rPr>
            <w:rFonts w:ascii="Cambria Math" w:hAnsi="Cambria Math"/>
            <w:color w:val="1F4E9E"/>
          </w:rPr>
          <m:t xml:space="preserve">d</m:t>
        </m:r>
        <m:d>
          <m:dPr>
            <m:begChr m:val="("/>
            <m:endChr m:val=")"/>
            <m:ctrlPr/>
          </m:dPr>
          <m:e>
            <m:r>
              <w:rPr>
                <w:rFonts w:ascii="Cambria Math" w:hAnsi="Cambria Math"/>
                <w:color w:val="1F4E9E"/>
              </w:rPr>
              <m:t xml:space="preserve">t</m:t>
            </m:r>
          </m:e>
        </m:d>
        <m:r>
          <m:rPr>
            <m:nor/>
          </m:rPr>
          <w:rPr>
            <w:rFonts w:ascii="Cambria Math" w:hAnsi="Cambria Math"/>
            <w:color w:val="1F4E9E"/>
          </w:rPr>
          <m:t xml:space="preserve">/</m:t>
        </m:r>
        <m:sSub>
          <m:sSubPr>
            <m:ctrlPr/>
          </m:sSubPr>
          <m:e>
            <m:r>
              <w:rPr>
                <w:rFonts w:ascii="Cambria Math" w:hAnsi="Cambria Math"/>
                <w:color w:val="1F4E9E"/>
              </w:rPr>
              <m:t xml:space="preserve">σ</m:t>
            </m:r>
          </m:e>
          <m:sub>
            <m:r>
              <w:rPr>
                <w:rFonts w:ascii="Cambria Math" w:hAnsi="Cambria Math"/>
                <w:color w:val="1F4E9E"/>
              </w:rPr>
              <m:t xml:space="preserve">H</m:t>
            </m:r>
          </m:sub>
        </m:sSub>
      </m:oMath>
      <w:r>
        <w:rPr>
          <w:color w:val="1F4E9E"/>
        </w:rPr>
        <w:t xml:space="preserve"> for the standardized distance from the maintained level to the gate — the one abbreviation kept, because it is the quantity every result below turns on — (21) becomes</w:t>
      </w:r>
    </w:p>
    <w:p w14:paraId="73212C5D" w14:textId="77777777" w:rsidR="00205CBC" w:rsidRDefault="00000000">
      <m:oMathPara>
        <m:oMath>
          <m:eqArr>
            <m:eqArrPr>
              <m:maxDist m:val="1"/>
              <m:ctrlPr/>
            </m:eqArrPr>
            <m:e>
              <m:r>
                <w:rPr>
                  <w:rFonts w:ascii="Cambria Math" w:hAnsi="Cambria Math"/>
                  <w:color w:val="1F4E9E"/>
                </w:rPr>
                <m:t xml:space="preserve">ν</m:t>
              </m:r>
              <m:d>
                <m:dPr>
                  <m:begChr m:val="("/>
                  <m:endChr m:val=")"/>
                  <m:ctrlPr/>
                </m:dPr>
                <m:e>
                  <m:r>
                    <w:rPr>
                      <w:rFonts w:ascii="Cambria Math" w:hAnsi="Cambria Math"/>
                      <w:color w:val="1F4E9E"/>
                    </w:rPr>
                    <m:t xml:space="preserve">t</m:t>
                  </m:r>
                </m:e>
              </m:d>
              <m:r>
                <m:rPr>
                  <m:nor/>
                </m:rPr>
                <w:rPr>
                  <w:rFonts w:ascii="Cambria Math" w:hAnsi="Cambria Math"/>
                  <w:color w:val="1F4E9E"/>
                </w:rPr>
                <m:t xml:space="preserve">=</m:t>
              </m:r>
              <m:r>
                <w:rPr>
                  <w:rFonts w:ascii="Cambria Math" w:hAnsi="Cambria Math"/>
                  <w:color w:val="1F4E9E"/>
                </w:rPr>
                <m:t xml:space="preserve">φ</m:t>
              </m:r>
              <m:d>
                <m:dPr>
                  <m:begChr m:val="("/>
                  <m:endChr m:val=")"/>
                  <m:ctrlPr/>
                </m:dPr>
                <m:e>
                  <m:r>
                    <w:rPr>
                      <w:rFonts w:ascii="Cambria Math" w:hAnsi="Cambria Math"/>
                      <w:color w:val="1F4E9E"/>
                    </w:rPr>
                    <m:t xml:space="preserve">a</m:t>
                  </m:r>
                  <m:d>
                    <m:dPr>
                      <m:begChr m:val="("/>
                      <m:endChr m:val=")"/>
                      <m:ctrlPr/>
                    </m:dPr>
                    <m:e>
                      <m:r>
                        <w:rPr>
                          <w:rFonts w:ascii="Cambria Math" w:hAnsi="Cambria Math"/>
                          <w:color w:val="1F4E9E"/>
                        </w:rPr>
                        <m:t xml:space="preserve">t</m:t>
                      </m:r>
                    </m:e>
                  </m:d>
                </m:e>
              </m:d>
              <m:d>
                <m:dPr>
                  <m:begChr m:val="["/>
                  <m:endChr m:val="]"/>
                  <m:ctrlPr/>
                </m:dPr>
                <m:e>
                  <m:f>
                    <m:fPr>
                      <m:ctrlPr/>
                    </m:fPr>
                    <m:num>
                      <m:r>
                        <w:rPr>
                          <w:rFonts w:ascii="Cambria Math" w:hAnsi="Cambria Math"/>
                          <w:color w:val="1F4E9E"/>
                        </w:rPr>
                        <m:t xml:space="preserve">β</m:t>
                      </m:r>
                    </m:num>
                    <m:den>
                      <m:r>
                        <w:rPr>
                          <w:rFonts w:ascii="Cambria Math" w:hAnsi="Cambria Math"/>
                          <w:color w:val="1F4E9E"/>
                        </w:rPr>
                        <m:t xml:space="preserve">δ</m:t>
                      </m:r>
                      <m:sSub>
                        <m:sSubPr>
                          <m:ctrlPr/>
                        </m:sSubPr>
                        <m:e>
                          <m:r>
                            <w:rPr>
                              <w:rFonts w:ascii="Cambria Math" w:hAnsi="Cambria Math"/>
                              <w:color w:val="1F4E9E"/>
                            </w:rPr>
                            <m:t xml:space="preserve">σ</m:t>
                          </m:r>
                        </m:e>
                        <m:sub>
                          <m:r>
                            <w:rPr>
                              <w:rFonts w:ascii="Cambria Math" w:hAnsi="Cambria Math"/>
                              <w:color w:val="1F4E9E"/>
                            </w:rPr>
                            <m:t xml:space="preserve">H</m:t>
                          </m:r>
                        </m:sub>
                      </m:sSub>
                    </m:den>
                  </m:f>
                  <m:r>
                    <w:rPr>
                      <w:rFonts w:ascii="Cambria Math" w:hAnsi="Cambria Math"/>
                      <w:color w:val="1F4E9E"/>
                    </w:rPr>
                    <m:t xml:space="preserve">Φ</m:t>
                  </m:r>
                  <m:d>
                    <m:dPr>
                      <m:begChr m:val="("/>
                      <m:endChr m:val=")"/>
                      <m:ctrlPr/>
                    </m:dPr>
                    <m:e>
                      <m:f>
                        <m:fPr>
                          <m:ctrlPr/>
                        </m:fPr>
                        <m:num>
                          <m:r>
                            <w:rPr>
                              <w:rFonts w:ascii="Cambria Math" w:hAnsi="Cambria Math"/>
                              <w:color w:val="1F4E9E"/>
                            </w:rPr>
                            <m:t xml:space="preserve">β</m:t>
                          </m:r>
                        </m:num>
                        <m:den>
                          <m:r>
                            <w:rPr>
                              <w:rFonts w:ascii="Cambria Math" w:hAnsi="Cambria Math"/>
                              <w:color w:val="1F4E9E"/>
                            </w:rPr>
                            <m:t xml:space="preserve">δ</m:t>
                          </m:r>
                          <m:sSub>
                            <m:sSubPr>
                              <m:ctrlPr/>
                            </m:sSubPr>
                            <m:e>
                              <m:r>
                                <w:rPr>
                                  <w:rFonts w:ascii="Cambria Math" w:hAnsi="Cambria Math"/>
                                  <w:color w:val="1F4E9E"/>
                                </w:rPr>
                                <m:t xml:space="preserve">σ</m:t>
                              </m:r>
                            </m:e>
                            <m:sub>
                              <m:acc>
                                <m:accPr>
                                  <m:chr m:val="̇"/>
                                  <m:ctrlPr/>
                                </m:accPr>
                                <m:e>
                                  <m:r>
                                    <w:rPr>
                                      <w:rFonts w:ascii="Cambria Math" w:hAnsi="Cambria Math"/>
                                      <w:color w:val="1F4E9E"/>
                                    </w:rPr>
                                    <m:t xml:space="preserve">H</m:t>
                                  </m:r>
                                </m:e>
                              </m:acc>
                            </m:sub>
                          </m:sSub>
                        </m:den>
                      </m:f>
                    </m:e>
                  </m:d>
                  <m:r>
                    <m:rPr>
                      <m:nor/>
                    </m:rPr>
                    <w:rPr>
                      <w:rFonts w:ascii="Cambria Math" w:hAnsi="Cambria Math"/>
                      <w:color w:val="1F4E9E"/>
                    </w:rPr>
                    <m:t xml:space="preserve">+</m:t>
                  </m:r>
                  <m:r>
                    <w:rPr>
                      <w:rFonts w:ascii="Cambria Math" w:hAnsi="Cambria Math"/>
                      <w:color w:val="1F4E9E"/>
                    </w:rPr>
                    <m:t xml:space="preserve">ω</m:t>
                  </m:r>
                  <m:r>
                    <w:rPr>
                      <w:rFonts w:ascii="Cambria Math" w:hAnsi="Cambria Math"/>
                      <w:color w:val="1F4E9E"/>
                    </w:rPr>
                    <m:t xml:space="preserve">φ</m:t>
                  </m:r>
                  <m:d>
                    <m:dPr>
                      <m:begChr m:val="("/>
                      <m:endChr m:val=")"/>
                      <m:ctrlPr/>
                    </m:dPr>
                    <m:e>
                      <m:f>
                        <m:fPr>
                          <m:ctrlPr/>
                        </m:fPr>
                        <m:num>
                          <m:r>
                            <w:rPr>
                              <w:rFonts w:ascii="Cambria Math" w:hAnsi="Cambria Math"/>
                              <w:color w:val="1F4E9E"/>
                            </w:rPr>
                            <m:t xml:space="preserve">β</m:t>
                          </m:r>
                        </m:num>
                        <m:den>
                          <m:r>
                            <w:rPr>
                              <w:rFonts w:ascii="Cambria Math" w:hAnsi="Cambria Math"/>
                              <w:color w:val="1F4E9E"/>
                            </w:rPr>
                            <m:t xml:space="preserve">δ</m:t>
                          </m:r>
                          <m:sSub>
                            <m:sSubPr>
                              <m:ctrlPr/>
                            </m:sSubPr>
                            <m:e>
                              <m:r>
                                <w:rPr>
                                  <w:rFonts w:ascii="Cambria Math" w:hAnsi="Cambria Math"/>
                                  <w:color w:val="1F4E9E"/>
                                </w:rPr>
                                <m:t xml:space="preserve">σ</m:t>
                              </m:r>
                            </m:e>
                            <m:sub>
                              <m:acc>
                                <m:accPr>
                                  <m:chr m:val="̇"/>
                                  <m:ctrlPr/>
                                </m:accPr>
                                <m:e>
                                  <m:r>
                                    <w:rPr>
                                      <w:rFonts w:ascii="Cambria Math" w:hAnsi="Cambria Math"/>
                                      <w:color w:val="1F4E9E"/>
                                    </w:rPr>
                                    <m:t xml:space="preserve">H</m:t>
                                  </m:r>
                                </m:e>
                              </m:acc>
                            </m:sub>
                          </m:sSub>
                        </m:den>
                      </m:f>
                    </m:e>
                  </m:d>
                </m:e>
              </m:d>
              <m:r>
                <w:rPr>
                  <w:rFonts w:ascii="Cambria Math" w:hAnsi="Cambria Math"/>
                  <w:color w:val="1F4E9E"/>
                </w:rPr>
                <m:t xml:space="preserve">#</m:t>
              </m:r>
              <m:d>
                <m:dPr>
                  <m:begChr m:val="("/>
                  <m:endChr m:val=")"/>
                  <m:ctrlPr/>
                </m:dPr>
                <m:e>
                  <m:r>
                    <m:rPr>
                      <m:nor/>
                    </m:rPr>
                    <w:rPr>
                      <w:rFonts w:ascii="Cambria Math" w:hAnsi="Cambria Math"/>
                      <w:color w:val="1F4E9E"/>
                    </w:rPr>
                    <m:t xml:space="preserve">2</m:t>
                  </m:r>
                  <m:r>
                    <m:rPr>
                      <m:nor/>
                    </m:rPr>
                    <w:rPr>
                      <w:rFonts w:ascii="Cambria Math" w:hAnsi="Cambria Math"/>
                      <w:color w:val="1F4E9E"/>
                    </w:rPr>
                    <m:t xml:space="preserve">2</m:t>
                  </m:r>
                </m:e>
              </m:d>
            </m:e>
          </m:eqArr>
        </m:oMath>
      </m:oMathPara>
    </w:p>
    <w:p w14:paraId="73212C5D" w14:textId="77777777" w:rsidR="00205CBC" w:rsidRDefault="00000000">
      <w:r>
        <w:rPr>
          <w:color w:val="1F4E9E"/>
        </w:rPr>
        <w:t xml:space="preserve">the expression used in Results (Delay-locked). The bracket does not depend on the distance to the gate, and the ramp enters it only through </w:t>
      </w:r>
      <m:oMath>
        <m:r>
          <w:rPr>
            <w:rFonts w:ascii="Cambria Math" w:hAnsi="Cambria Math"/>
            <w:color w:val="1F4E9E"/>
          </w:rPr>
          <m:t xml:space="preserve">β</m:t>
        </m:r>
        <m:r>
          <m:rPr>
            <m:nor/>
          </m:rPr>
          <w:rPr>
            <w:rFonts w:ascii="Cambria Math" w:hAnsi="Cambria Math"/>
            <w:color w:val="1F4E9E"/>
          </w:rPr>
          <m:t xml:space="preserve">/</m:t>
        </m:r>
        <m:r>
          <w:rPr>
            <w:rFonts w:ascii="Cambria Math" w:hAnsi="Cambria Math"/>
            <w:color w:val="1F4E9E"/>
          </w:rPr>
          <m:t xml:space="preserve">δ</m:t>
        </m:r>
      </m:oMath>
      <w:r>
        <w:rPr>
          <w:color w:val="1F4E9E"/>
        </w:rPr>
        <w:t xml:space="preserve">, the speed at which temporal preparation carries the signal toward the gate.</w:t>
      </w:r>
    </w:p>
    <w:p w14:paraId="73212C5D" w14:textId="77777777" w:rsidR="00205CBC" w:rsidRDefault="00000000">
      <w:r>
        <w:rPr>
          <w:color w:val="1F4E9E"/>
        </w:rPr>
        <w:t xml:space="preserve">Corollary A.1 (the ceiling on Model 1’s delay-period rate, and when it applies). Setting </w:t>
      </w:r>
      <m:oMath>
        <m:r>
          <w:rPr>
            <w:rFonts w:ascii="Cambria Math" w:hAnsi="Cambria Math"/>
            <w:color w:val="1F4E9E"/>
          </w:rPr>
          <m:t xml:space="preserve">β</m:t>
        </m:r>
        <m:r>
          <m:rPr>
            <m:nor/>
          </m:rPr>
          <w:rPr>
            <w:rFonts w:ascii="Cambria Math" w:hAnsi="Cambria Math"/>
            <w:color w:val="1F4E9E"/>
          </w:rPr>
          <m:t xml:space="preserve">=</m:t>
        </m:r>
        <m:r>
          <m:rPr>
            <m:nor/>
          </m:rPr>
          <w:rPr>
            <w:rFonts w:ascii="Cambria Math" w:hAnsi="Cambria Math"/>
            <w:color w:val="1F4E9E"/>
          </w:rPr>
          <m:t xml:space="preserve">0</m:t>
        </m:r>
      </m:oMath>
      <w:r>
        <w:rPr>
          <w:color w:val="1F4E9E"/>
        </w:rPr>
        <w:t xml:space="preserve"> in (22) — Model 1 — gives the classical Rice formula,</w:t>
      </w:r>
    </w:p>
    <w:p w14:paraId="73212C5D" w14:textId="77777777" w:rsidR="00205CBC" w:rsidRDefault="00000000">
      <m:oMathPara>
        <m:oMath>
          <m:eqArr>
            <m:eqArrPr>
              <m:maxDist m:val="1"/>
              <m:ctrlPr/>
            </m:eqArrPr>
            <m:e>
              <m:r>
                <w:rPr>
                  <w:rFonts w:ascii="Cambria Math" w:hAnsi="Cambria Math"/>
                  <w:color w:val="1F4E9E"/>
                </w:rPr>
                <m:t xml:space="preserve">ν</m:t>
              </m:r>
              <m:r>
                <m:rPr>
                  <m:nor/>
                </m:rPr>
                <w:rPr>
                  <w:rFonts w:ascii="Cambria Math" w:hAnsi="Cambria Math"/>
                  <w:color w:val="1F4E9E"/>
                </w:rPr>
                <m:t xml:space="preserve">=</m:t>
              </m:r>
              <m:f>
                <m:fPr>
                  <m:ctrlPr/>
                </m:fPr>
                <m:num>
                  <m:r>
                    <w:rPr>
                      <w:rFonts w:ascii="Cambria Math" w:hAnsi="Cambria Math"/>
                      <w:color w:val="1F4E9E"/>
                    </w:rPr>
                    <m:t xml:space="preserve">ω</m:t>
                  </m:r>
                </m:num>
                <m:den>
                  <m:r>
                    <m:rPr>
                      <m:nor/>
                    </m:rPr>
                    <w:rPr>
                      <w:rFonts w:ascii="Cambria Math" w:hAnsi="Cambria Math"/>
                      <w:color w:val="1F4E9E"/>
                    </w:rPr>
                    <m:t xml:space="preserve">2</m:t>
                  </m:r>
                  <m:r>
                    <w:rPr>
                      <w:rFonts w:ascii="Cambria Math" w:hAnsi="Cambria Math"/>
                      <w:color w:val="1F4E9E"/>
                    </w:rPr>
                    <m:t xml:space="preserve">π</m:t>
                  </m:r>
                </m:den>
              </m:f>
              <m:sSup>
                <m:sSupPr>
                  <m:ctrlPr/>
                </m:sSupPr>
                <m:e>
                  <m:r>
                    <w:rPr>
                      <w:rFonts w:ascii="Cambria Math" w:hAnsi="Cambria Math"/>
                      <w:color w:val="1F4E9E"/>
                    </w:rPr>
                    <m:t xml:space="preserve">e</m:t>
                  </m:r>
                </m:e>
                <m:sup>
                  <m:r>
                    <m:rPr>
                      <m:nor/>
                    </m:rPr>
                    <w:rPr>
                      <w:rFonts w:ascii="Cambria Math" w:hAnsi="Cambria Math"/>
                      <w:color w:val="1F4E9E"/>
                    </w:rPr>
                    <m:t xml:space="preserve">-</m:t>
                  </m:r>
                  <m:sSup>
                    <m:sSupPr>
                      <m:ctrlPr/>
                    </m:sSupPr>
                    <m:e>
                      <m:r>
                        <w:rPr>
                          <w:rFonts w:ascii="Cambria Math" w:hAnsi="Cambria Math"/>
                          <w:color w:val="1F4E9E"/>
                        </w:rPr>
                        <m:t xml:space="preserve">a</m:t>
                      </m:r>
                    </m:e>
                    <m:sup>
                      <m:r>
                        <m:rPr>
                          <m:nor/>
                        </m:rPr>
                        <w:rPr>
                          <w:rFonts w:ascii="Cambria Math" w:hAnsi="Cambria Math"/>
                          <w:color w:val="1F4E9E"/>
                        </w:rPr>
                        <m:t xml:space="preserve">2</m:t>
                      </m:r>
                    </m:sup>
                  </m:sSup>
                  <m:r>
                    <m:rPr>
                      <m:nor/>
                    </m:rPr>
                    <w:rPr>
                      <w:rFonts w:ascii="Cambria Math" w:hAnsi="Cambria Math"/>
                      <w:color w:val="1F4E9E"/>
                    </w:rPr>
                    <m:t xml:space="preserve">/</m:t>
                  </m:r>
                  <m:r>
                    <m:rPr>
                      <m:nor/>
                    </m:rPr>
                    <w:rPr>
                      <w:rFonts w:ascii="Cambria Math" w:hAnsi="Cambria Math"/>
                      <w:color w:val="1F4E9E"/>
                    </w:rPr>
                    <m:t xml:space="preserve">2</m:t>
                  </m:r>
                </m:sup>
              </m:sSup>
              <m:r>
                <w:rPr>
                  <w:rFonts w:ascii="Cambria Math" w:hAnsi="Cambria Math"/>
                  <w:color w:val="1F4E9E"/>
                </w:rPr>
                <m:t xml:space="preserve">#</m:t>
              </m:r>
              <m:d>
                <m:dPr>
                  <m:begChr m:val="("/>
                  <m:endChr m:val=")"/>
                  <m:ctrlPr/>
                </m:dPr>
                <m:e>
                  <m:r>
                    <m:rPr>
                      <m:nor/>
                    </m:rPr>
                    <w:rPr>
                      <w:rFonts w:ascii="Cambria Math" w:hAnsi="Cambria Math"/>
                      <w:color w:val="1F4E9E"/>
                    </w:rPr>
                    <m:t xml:space="preserve">2</m:t>
                  </m:r>
                  <m:r>
                    <m:rPr>
                      <m:nor/>
                    </m:rPr>
                    <w:rPr>
                      <w:rFonts w:ascii="Cambria Math" w:hAnsi="Cambria Math"/>
                      <w:color w:val="1F4E9E"/>
                    </w:rPr>
                    <m:t xml:space="preserve">3</m:t>
                  </m:r>
                </m:e>
              </m:d>
            </m:e>
          </m:eqArr>
        </m:oMath>
      </m:oMathPara>
    </w:p>
    <w:p w14:paraId="73212C5D" w14:textId="77777777" w:rsidR="00205CBC" w:rsidRDefault="00000000">
      <w:r>
        <w:rPr>
          <w:color w:val="1F4E9E"/>
        </w:rPr>
        <w:t xml:space="preserve">whose maximum over the standardized distance is </w:t>
      </w:r>
      <m:oMath>
        <m:r>
          <w:rPr>
            <w:rFonts w:ascii="Cambria Math" w:hAnsi="Cambria Math"/>
            <w:color w:val="1F4E9E"/>
          </w:rPr>
          <m:t xml:space="preserve">ω</m:t>
        </m:r>
        <m:r>
          <m:rPr>
            <m:nor/>
          </m:rPr>
          <w:rPr>
            <w:rFonts w:ascii="Cambria Math" w:hAnsi="Cambria Math"/>
            <w:color w:val="1F4E9E"/>
          </w:rPr>
          <m:t xml:space="preserve">/</m:t>
        </m:r>
        <m:r>
          <m:rPr>
            <m:nor/>
          </m:rPr>
          <w:rPr>
            <w:rFonts w:ascii="Cambria Math" w:hAnsi="Cambria Math"/>
            <w:color w:val="1F4E9E"/>
          </w:rPr>
          <m:t xml:space="preserve">2</m:t>
        </m:r>
        <m:r>
          <w:rPr>
            <w:rFonts w:ascii="Cambria Math" w:hAnsi="Cambria Math"/>
            <w:color w:val="1F4E9E"/>
          </w:rPr>
          <m:t xml:space="preserve">π</m:t>
        </m:r>
        <m:r>
          <m:rPr>
            <m:nor/>
          </m:rPr>
          <w:rPr>
            <w:rFonts w:ascii="Cambria Math" w:hAnsi="Cambria Math"/>
            <w:color w:val="1F4E9E"/>
          </w:rPr>
          <m:t xml:space="preserve">=</m:t>
        </m:r>
        <m:rad>
          <m:radPr>
            <m:degHide m:val="1"/>
            <m:ctrlPr/>
          </m:radPr>
          <m:deg/>
          <m:e>
            <m:r>
              <w:rPr>
                <w:rFonts w:ascii="Cambria Math" w:hAnsi="Cambria Math"/>
                <w:color w:val="1F4E9E"/>
              </w:rPr>
              <m:t xml:space="preserve">λ</m:t>
            </m:r>
            <m:r>
              <w:rPr>
                <w:rFonts w:ascii="Cambria Math" w:hAnsi="Cambria Math"/>
                <w:color w:val="1F4E9E"/>
              </w:rPr>
              <m:t xml:space="preserve">κ</m:t>
            </m:r>
          </m:e>
        </m:rad>
        <m:r>
          <m:rPr>
            <m:nor/>
          </m:rPr>
          <w:rPr>
            <w:rFonts w:ascii="Cambria Math" w:hAnsi="Cambria Math"/>
            <w:color w:val="1F4E9E"/>
          </w:rPr>
          <m:t xml:space="preserve">/</m:t>
        </m:r>
        <m:r>
          <m:rPr>
            <m:nor/>
          </m:rPr>
          <w:rPr>
            <w:rFonts w:ascii="Cambria Math" w:hAnsi="Cambria Math"/>
            <w:color w:val="1F4E9E"/>
          </w:rPr>
          <m:t xml:space="preserve">2</m:t>
        </m:r>
        <m:r>
          <w:rPr>
            <w:rFonts w:ascii="Cambria Math" w:hAnsi="Cambria Math"/>
            <w:color w:val="1F4E9E"/>
          </w:rPr>
          <m:t xml:space="preserve">π</m:t>
        </m:r>
      </m:oMath>
      <w:r>
        <w:rPr>
          <w:color w:val="1F4E9E"/>
        </w:rPr>
        <w:t xml:space="preserve">, attained when the gate sits at the maintained level. That bound holds only once the fluctuation is stationary. Before then, setting </w:t>
      </w:r>
      <m:oMath>
        <m:r>
          <w:rPr>
            <w:rFonts w:ascii="Cambria Math" w:hAnsi="Cambria Math"/>
            <w:color w:val="1F4E9E"/>
          </w:rPr>
          <m:t xml:space="preserve">β</m:t>
        </m:r>
        <m:r>
          <m:rPr>
            <m:nor/>
          </m:rPr>
          <w:rPr>
            <w:rFonts w:ascii="Cambria Math" w:hAnsi="Cambria Math"/>
            <w:color w:val="1F4E9E"/>
          </w:rPr>
          <m:t xml:space="preserve">=</m:t>
        </m:r>
        <m:r>
          <m:rPr>
            <m:nor/>
          </m:rPr>
          <w:rPr>
            <w:rFonts w:ascii="Cambria Math" w:hAnsi="Cambria Math"/>
            <w:color w:val="1F4E9E"/>
          </w:rPr>
          <m:t xml:space="preserve">0</m:t>
        </m:r>
      </m:oMath>
      <w:r>
        <w:rPr>
          <w:color w:val="1F4E9E"/>
        </w:rPr>
        <w:t xml:space="preserve"> and </w:t>
      </w:r>
      <m:oMath>
        <m:r>
          <w:rPr>
            <w:rFonts w:ascii="Cambria Math" w:hAnsi="Cambria Math"/>
            <w:color w:val="1F4E9E"/>
          </w:rPr>
          <m:t xml:space="preserve">d</m:t>
        </m:r>
        <m:r>
          <m:rPr>
            <m:nor/>
          </m:rPr>
          <w:rPr>
            <w:rFonts w:ascii="Cambria Math" w:hAnsi="Cambria Math"/>
            <w:color w:val="1F4E9E"/>
          </w:rPr>
          <m:t xml:space="preserve">=</m:t>
        </m:r>
        <m:r>
          <m:rPr>
            <m:nor/>
          </m:rPr>
          <w:rPr>
            <w:rFonts w:ascii="Cambria Math" w:hAnsi="Cambria Math"/>
            <w:color w:val="1F4E9E"/>
          </w:rPr>
          <m:t xml:space="preserve">0</m:t>
        </m:r>
      </m:oMath>
      <w:r>
        <w:rPr>
          <w:color w:val="1F4E9E"/>
        </w:rPr>
        <w:t xml:space="preserve"> in (21) gives </w:t>
      </w:r>
      <m:oMath>
        <m:r>
          <w:rPr>
            <w:rFonts w:ascii="Cambria Math" w:hAnsi="Cambria Math"/>
            <w:color w:val="1F4E9E"/>
          </w:rPr>
          <m:t xml:space="preserve">M</m:t>
        </m:r>
        <m:r>
          <m:rPr>
            <m:nor/>
          </m:rPr>
          <w:rPr>
            <w:rFonts w:ascii="Cambria Math" w:hAnsi="Cambria Math"/>
            <w:color w:val="1F4E9E"/>
          </w:rPr>
          <m:t xml:space="preserve">=</m:t>
        </m:r>
        <m:r>
          <m:rPr>
            <m:nor/>
          </m:rPr>
          <w:rPr>
            <w:rFonts w:ascii="Cambria Math" w:hAnsi="Cambria Math"/>
            <w:color w:val="1F4E9E"/>
          </w:rPr>
          <m:t xml:space="preserve">0</m:t>
        </m:r>
      </m:oMath>
      <w:r>
        <w:rPr>
          <w:color w:val="1F4E9E"/>
        </w:rPr>
        <w:t xml:space="preserve"> and the exact ceiling</w:t>
      </w:r>
    </w:p>
    <w:p w14:paraId="73212C5D" w14:textId="77777777" w:rsidR="00205CBC" w:rsidRDefault="00000000">
      <m:oMathPara>
        <m:oMath>
          <m:eqArr>
            <m:eqArrPr>
              <m:maxDist m:val="1"/>
              <m:ctrlPr/>
            </m:eqArrPr>
            <m:e>
              <m:f>
                <m:fPr>
                  <m:ctrlPr/>
                </m:fPr>
                <m:num>
                  <m:r>
                    <m:rPr>
                      <m:nor/>
                    </m:rPr>
                    <w:rPr>
                      <w:rFonts w:ascii="Cambria Math" w:hAnsi="Cambria Math"/>
                      <w:color w:val="1F4E9E"/>
                    </w:rPr>
                    <m:t xml:space="preserve">1</m:t>
                  </m:r>
                </m:num>
                <m:den>
                  <m:r>
                    <m:rPr>
                      <m:nor/>
                    </m:rPr>
                    <w:rPr>
                      <w:rFonts w:ascii="Cambria Math" w:hAnsi="Cambria Math"/>
                      <w:color w:val="1F4E9E"/>
                    </w:rPr>
                    <m:t xml:space="preserve">2</m:t>
                  </m:r>
                  <m:r>
                    <w:rPr>
                      <w:rFonts w:ascii="Cambria Math" w:hAnsi="Cambria Math"/>
                      <w:color w:val="1F4E9E"/>
                    </w:rPr>
                    <m:t xml:space="preserve">π</m:t>
                  </m:r>
                </m:den>
              </m:f>
              <m:rad>
                <m:radPr>
                  <m:degHide m:val="1"/>
                  <m:ctrlPr/>
                </m:radPr>
                <m:deg/>
                <m:e>
                  <m:f>
                    <m:fPr>
                      <m:ctrlPr/>
                    </m:fPr>
                    <m:num>
                      <m:r>
                        <m:rPr>
                          <m:nor/>
                        </m:rPr>
                        <w:rPr>
                          <w:rFonts w:ascii="Cambria Math" w:hAnsi="Cambria Math"/>
                          <w:color w:val="1F4E9E"/>
                        </w:rPr>
                        <m:t xml:space="preserve">Var</m:t>
                      </m:r>
                      <m:r>
                        <m:rPr>
                          <m:nor/>
                        </m:rPr>
                        <w:rPr>
                          <w:rFonts w:ascii="Cambria Math" w:hAnsi="Cambria Math"/>
                          <w:color w:val="1F4E9E"/>
                        </w:rPr>
                        <m:t xml:space="preserve"> </m:t>
                      </m:r>
                      <m:acc>
                        <m:accPr>
                          <m:chr m:val="̇"/>
                          <m:ctrlPr/>
                        </m:accPr>
                        <m:e>
                          <m:r>
                            <w:rPr>
                              <w:rFonts w:ascii="Cambria Math" w:hAnsi="Cambria Math"/>
                              <w:color w:val="1F4E9E"/>
                            </w:rPr>
                            <m:t xml:space="preserve">H</m:t>
                          </m:r>
                        </m:e>
                      </m:acc>
                    </m:num>
                    <m:den>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den>
                  </m:f>
                  <m:r>
                    <m:rPr>
                      <m:nor/>
                    </m:rPr>
                    <w:rPr>
                      <w:rFonts w:ascii="Cambria Math" w:hAnsi="Cambria Math"/>
                      <w:color w:val="1F4E9E"/>
                    </w:rPr>
                    <m:t xml:space="preserve">-</m:t>
                  </m:r>
                  <m:f>
                    <m:fPr>
                      <m:ctrlPr/>
                    </m:fPr>
                    <m:num>
                      <m:r>
                        <m:rPr>
                          <m:nor/>
                        </m:rPr>
                        <w:rPr>
                          <w:rFonts w:ascii="Cambria Math" w:hAnsi="Cambria Math"/>
                          <w:color w:val="1F4E9E"/>
                        </w:rPr>
                        <m:t xml:space="preserve">Cov</m:t>
                      </m:r>
                      <m:sSup>
                        <m:sSupPr>
                          <m:ctrlPr/>
                        </m:sSupPr>
                        <m:e>
                          <m:d>
                            <m:dPr>
                              <m:begChr m:val="("/>
                              <m:endChr m:val=")"/>
                              <m:ctrlPr/>
                            </m:dPr>
                            <m:e>
                              <m:r>
                                <w:rPr>
                                  <w:rFonts w:ascii="Cambria Math" w:hAnsi="Cambria Math"/>
                                  <w:color w:val="1F4E9E"/>
                                </w:rPr>
                                <m:t xml:space="preserve">H</m:t>
                              </m:r>
                              <m:r>
                                <m:rPr>
                                  <m:nor/>
                                </m:rPr>
                                <w:rPr>
                                  <w:rFonts w:ascii="Cambria Math" w:hAnsi="Cambria Math"/>
                                  <w:color w:val="1F4E9E"/>
                                </w:rPr>
                                <m:t xml:space="preserve">,</m:t>
                              </m:r>
                              <m:acc>
                                <m:accPr>
                                  <m:chr m:val="̇"/>
                                  <m:ctrlPr/>
                                </m:accPr>
                                <m:e>
                                  <m:r>
                                    <w:rPr>
                                      <w:rFonts w:ascii="Cambria Math" w:hAnsi="Cambria Math"/>
                                      <w:color w:val="1F4E9E"/>
                                    </w:rPr>
                                    <m:t xml:space="preserve">H</m:t>
                                  </m:r>
                                </m:e>
                              </m:acc>
                            </m:e>
                          </m:d>
                        </m:e>
                        <m:sup>
                          <m:r>
                            <m:rPr>
                              <m:nor/>
                            </m:rPr>
                            <w:rPr>
                              <w:rFonts w:ascii="Cambria Math" w:hAnsi="Cambria Math"/>
                              <w:color w:val="1F4E9E"/>
                            </w:rPr>
                            <m:t xml:space="preserve">2</m:t>
                          </m:r>
                        </m:sup>
                      </m:sSup>
                    </m:num>
                    <m:den>
                      <m:sSup>
                        <m:sSupPr>
                          <m:ctrlPr/>
                        </m:sSupPr>
                        <m:e>
                          <m:d>
                            <m:dPr>
                              <m:begChr m:val="("/>
                              <m:endChr m:val=")"/>
                              <m:ctrlPr/>
                            </m:dPr>
                            <m:e>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e>
                          </m:d>
                        </m:e>
                        <m:sup>
                          <m:r>
                            <m:rPr>
                              <m:nor/>
                            </m:rPr>
                            <w:rPr>
                              <w:rFonts w:ascii="Cambria Math" w:hAnsi="Cambria Math"/>
                              <w:color w:val="1F4E9E"/>
                            </w:rPr>
                            <m:t xml:space="preserve">2</m:t>
                          </m:r>
                        </m:sup>
                      </m:sSup>
                    </m:den>
                  </m:f>
                </m:e>
              </m:rad>
              <m:r>
                <w:rPr>
                  <w:rFonts w:ascii="Cambria Math" w:hAnsi="Cambria Math"/>
                  <w:color w:val="1F4E9E"/>
                </w:rPr>
                <m:t xml:space="preserve">#</m:t>
              </m:r>
              <m:d>
                <m:dPr>
                  <m:begChr m:val="("/>
                  <m:endChr m:val=")"/>
                  <m:ctrlPr/>
                </m:dPr>
                <m:e>
                  <m:r>
                    <m:rPr>
                      <m:nor/>
                    </m:rPr>
                    <w:rPr>
                      <w:rFonts w:ascii="Cambria Math" w:hAnsi="Cambria Math"/>
                      <w:color w:val="1F4E9E"/>
                    </w:rPr>
                    <m:t xml:space="preserve">2</m:t>
                  </m:r>
                  <m:r>
                    <m:rPr>
                      <m:nor/>
                    </m:rPr>
                    <w:rPr>
                      <w:rFonts w:ascii="Cambria Math" w:hAnsi="Cambria Math"/>
                      <w:color w:val="1F4E9E"/>
                    </w:rPr>
                    <m:t xml:space="preserve">4</m:t>
                  </m:r>
                </m:e>
              </m:d>
            </m:e>
          </m:eqArr>
        </m:oMath>
      </m:oMathPara>
    </w:p>
    <w:p w14:paraId="73212C5D" w14:textId="77777777" w:rsidR="00205CBC" w:rsidRDefault="00000000">
      <w:r>
        <w:rPr>
          <w:color w:val="1F4E9E"/>
        </w:rPr>
        <w:t xml:space="preserve">which exceeds </w:t>
      </w:r>
      <m:oMath>
        <m:r>
          <w:rPr>
            <w:rFonts w:ascii="Cambria Math" w:hAnsi="Cambria Math"/>
            <w:color w:val="1F4E9E"/>
          </w:rPr>
          <m:t xml:space="preserve">ω</m:t>
        </m:r>
        <m:r>
          <m:rPr>
            <m:nor/>
          </m:rPr>
          <w:rPr>
            <w:rFonts w:ascii="Cambria Math" w:hAnsi="Cambria Math"/>
            <w:color w:val="1F4E9E"/>
          </w:rPr>
          <m:t xml:space="preserve">/</m:t>
        </m:r>
        <m:r>
          <m:rPr>
            <m:nor/>
          </m:rPr>
          <w:rPr>
            <w:rFonts w:ascii="Cambria Math" w:hAnsi="Cambria Math"/>
            <w:color w:val="1F4E9E"/>
          </w:rPr>
          <m:t xml:space="preserve">2</m:t>
        </m:r>
        <m:r>
          <w:rPr>
            <w:rFonts w:ascii="Cambria Math" w:hAnsi="Cambria Math"/>
            <w:color w:val="1F4E9E"/>
          </w:rPr>
          <m:t xml:space="preserve">π</m:t>
        </m:r>
      </m:oMath>
      <w:r>
        <w:rPr>
          <w:color w:val="1F4E9E"/>
        </w:rPr>
        <w:t xml:space="preserve"> while the variance is still filling in, and diverges as </w:t>
      </w:r>
      <m:oMath>
        <m:r>
          <w:rPr>
            <w:rFonts w:ascii="Cambria Math" w:hAnsi="Cambria Math"/>
            <w:color w:val="1F4E9E"/>
          </w:rPr>
          <m:t xml:space="preserve">ρ</m:t>
        </m:r>
        <m:r>
          <m:rPr>
            <m:nor/>
          </m:rPr>
          <w:rPr>
            <w:rFonts w:ascii="Cambria Math" w:hAnsi="Cambria Math"/>
            <w:color w:val="1F4E9E"/>
          </w:rPr>
          <m:t xml:space="preserve">→</m:t>
        </m:r>
        <m:r>
          <m:rPr>
            <m:nor/>
          </m:rPr>
          <w:rPr>
            <w:rFonts w:ascii="Cambria Math" w:hAnsi="Cambria Math"/>
            <w:color w:val="1F4E9E"/>
          </w:rPr>
          <m:t xml:space="preserve">0</m:t>
        </m:r>
      </m:oMath>
      <w:r>
        <w:rPr>
          <w:color w:val="1F4E9E"/>
        </w:rPr>
        <w:t xml:space="preserve">: at the very start of maintenance the fluctuation is smooth but its variance is small, so a gate placed at the maintained level is crossed very often. Non-stationarity therefore RAISES the ceiling rather than lowering it, and the covariance term subtracted in (24) offsets only a small part of that. The bound used in Results is (24), evaluated in the analyzed window. ∎</w:t>
      </w:r>
    </w:p>
    <w:p w14:paraId="73212C5D" w14:textId="77777777" w:rsidR="00205CBC" w:rsidRDefault="00000000">
      <w:r>
        <w:rPr>
          <w:color w:val="1F4E9E"/>
        </w:rPr>
        <w:t xml:space="preserve">Corollary A.2 (the log-rate slope). Under Model 2 the barrier moves at constant speed, so by (12) the standardized distance falls linearly, </w:t>
      </w:r>
      <m:oMath>
        <m:r>
          <w:rPr>
            <w:rFonts w:ascii="Cambria Math" w:hAnsi="Cambria Math"/>
            <w:color w:val="1F4E9E"/>
          </w:rPr>
          <m:t xml:space="preserve">a</m:t>
        </m:r>
        <m:d>
          <m:dPr>
            <m:begChr m:val="("/>
            <m:endChr m:val=")"/>
            <m:ctrlPr/>
          </m:dPr>
          <m:e>
            <m:r>
              <w:rPr>
                <w:rFonts w:ascii="Cambria Math" w:hAnsi="Cambria Math"/>
                <w:color w:val="1F4E9E"/>
              </w:rPr>
              <m:t xml:space="preserve">τ</m:t>
            </m:r>
          </m:e>
        </m:d>
        <m:r>
          <m:rPr>
            <m:nor/>
          </m:rPr>
          <w:rPr>
            <w:rFonts w:ascii="Cambria Math" w:hAnsi="Cambria Math"/>
            <w:color w:val="1F4E9E"/>
          </w:rPr>
          <m:t xml:space="preserve">=</m:t>
        </m:r>
        <m:r>
          <w:rPr>
            <w:rFonts w:ascii="Cambria Math" w:hAnsi="Cambria Math"/>
            <w:color w:val="1F4E9E"/>
          </w:rPr>
          <m:t xml:space="preserve">a</m:t>
        </m:r>
        <m:d>
          <m:dPr>
            <m:begChr m:val="("/>
            <m:endChr m:val=")"/>
            <m:ctrlPr/>
          </m:dPr>
          <m:e>
            <m:sSub>
              <m:sSubPr>
                <m:ctrlPr/>
              </m:sSubPr>
              <m:e>
                <m:r>
                  <w:rPr>
                    <w:rFonts w:ascii="Cambria Math" w:hAnsi="Cambria Math"/>
                    <w:color w:val="1F4E9E"/>
                  </w:rPr>
                  <m:t xml:space="preserve">τ</m:t>
                </m:r>
              </m:e>
              <m:sub>
                <m:r>
                  <m:rPr>
                    <m:nor/>
                  </m:rPr>
                  <w:rPr>
                    <w:rFonts w:ascii="Cambria Math" w:hAnsi="Cambria Math"/>
                    <w:color w:val="1F4E9E"/>
                  </w:rPr>
                  <m:t xml:space="preserve">0</m:t>
                </m:r>
              </m:sub>
            </m:sSub>
          </m:e>
        </m:d>
        <m:r>
          <m:rPr>
            <m:nor/>
          </m:rPr>
          <w:rPr>
            <w:rFonts w:ascii="Cambria Math" w:hAnsi="Cambria Math"/>
            <w:color w:val="1F4E9E"/>
          </w:rPr>
          <m:t xml:space="preserve">-</m:t>
        </m:r>
        <m:r>
          <w:rPr>
            <w:rFonts w:ascii="Cambria Math" w:hAnsi="Cambria Math"/>
            <w:color w:val="1F4E9E"/>
          </w:rPr>
          <m:t xml:space="preserve">β</m:t>
        </m:r>
        <m:r>
          <w:rPr>
            <w:rFonts w:ascii="Cambria Math" w:hAnsi="Cambria Math"/>
            <w:color w:val="1F4E9E"/>
          </w:rPr>
          <m:t xml:space="preserve">τ</m:t>
        </m:r>
        <m:r>
          <m:rPr>
            <m:nor/>
          </m:rPr>
          <w:rPr>
            <w:rFonts w:ascii="Cambria Math" w:hAnsi="Cambria Math"/>
            <w:color w:val="1F4E9E"/>
          </w:rPr>
          <m:t xml:space="preserve">/</m:t>
        </m:r>
        <m:d>
          <m:dPr>
            <m:begChr m:val="("/>
            <m:endChr m:val=")"/>
            <m:ctrlPr/>
          </m:dPr>
          <m:e>
            <m:r>
              <w:rPr>
                <w:rFonts w:ascii="Cambria Math" w:hAnsi="Cambria Math"/>
                <w:color w:val="1F4E9E"/>
              </w:rPr>
              <m:t xml:space="preserve">δ</m:t>
            </m:r>
            <m:sSub>
              <m:sSubPr>
                <m:ctrlPr/>
              </m:sSubPr>
              <m:e>
                <m:r>
                  <w:rPr>
                    <w:rFonts w:ascii="Cambria Math" w:hAnsi="Cambria Math"/>
                    <w:color w:val="1F4E9E"/>
                  </w:rPr>
                  <m:t xml:space="preserve">σ</m:t>
                </m:r>
              </m:e>
              <m:sub>
                <m:r>
                  <w:rPr>
                    <w:rFonts w:ascii="Cambria Math" w:hAnsi="Cambria Math"/>
                    <w:color w:val="1F4E9E"/>
                  </w:rPr>
                  <m:t xml:space="preserve">H</m:t>
                </m:r>
              </m:sub>
            </m:sSub>
          </m:e>
        </m:d>
      </m:oMath>
      <w:r>
        <w:rPr>
          <w:color w:val="1F4E9E"/>
        </w:rPr>
        <w:t xml:space="preserve">. Taking logarithms in (22), the bracket is constant in </w:t>
      </w:r>
      <m:oMath>
        <m:r>
          <w:rPr>
            <w:rFonts w:ascii="Cambria Math" w:hAnsi="Cambria Math"/>
            <w:color w:val="1F4E9E"/>
          </w:rPr>
          <m:t xml:space="preserve">τ</m:t>
        </m:r>
      </m:oMath>
      <w:r>
        <w:rPr>
          <w:color w:val="1F4E9E"/>
        </w:rPr>
        <w:t xml:space="preserve"> and </w:t>
      </w:r>
      <m:oMath>
        <m:r>
          <m:rPr>
            <m:nor/>
          </m:rPr>
          <w:rPr>
            <w:rFonts w:ascii="Cambria Math" w:hAnsi="Cambria Math"/>
            <w:color w:val="1F4E9E"/>
          </w:rPr>
          <m:t xml:space="preserve">ln</m:t>
        </m:r>
        <m:r>
          <w:rPr>
            <w:rFonts w:ascii="Cambria Math" w:hAnsi="Cambria Math"/>
            <w:color w:val="1F4E9E"/>
          </w:rPr>
          <m:t xml:space="preserve">φ</m:t>
        </m:r>
        <m:d>
          <m:dPr>
            <m:begChr m:val="("/>
            <m:endChr m:val=")"/>
            <m:ctrlPr/>
          </m:dPr>
          <m:e>
            <m:r>
              <w:rPr>
                <w:rFonts w:ascii="Cambria Math" w:hAnsi="Cambria Math"/>
                <w:color w:val="1F4E9E"/>
              </w:rPr>
              <m:t xml:space="preserve">a</m:t>
            </m:r>
          </m:e>
        </m:d>
        <m:r>
          <m:rPr>
            <m:nor/>
          </m:rPr>
          <w:rPr>
            <w:rFonts w:ascii="Cambria Math" w:hAnsi="Cambria Math"/>
            <w:color w:val="1F4E9E"/>
          </w:rPr>
          <m:t xml:space="preserve">=</m:t>
        </m:r>
        <m:r>
          <m:rPr>
            <m:nor/>
          </m:rPr>
          <w:rPr>
            <w:rFonts w:ascii="Cambria Math" w:hAnsi="Cambria Math"/>
            <w:color w:val="1F4E9E"/>
          </w:rPr>
          <m:t xml:space="preserve">-</m:t>
        </m:r>
        <m:sSup>
          <m:sSupPr>
            <m:ctrlPr/>
          </m:sSupPr>
          <m:e>
            <m:r>
              <w:rPr>
                <w:rFonts w:ascii="Cambria Math" w:hAnsi="Cambria Math"/>
                <w:color w:val="1F4E9E"/>
              </w:rPr>
              <m:t xml:space="preserve">a</m:t>
            </m:r>
          </m:e>
          <m:sup>
            <m:r>
              <m:rPr>
                <m:nor/>
              </m:rPr>
              <w:rPr>
                <w:rFonts w:ascii="Cambria Math" w:hAnsi="Cambria Math"/>
                <w:color w:val="1F4E9E"/>
              </w:rPr>
              <m:t xml:space="preserve">2</m:t>
            </m:r>
          </m:sup>
        </m:sSup>
        <m:r>
          <m:rPr>
            <m:nor/>
          </m:rPr>
          <w:rPr>
            <w:rFonts w:ascii="Cambria Math" w:hAnsi="Cambria Math"/>
            <w:color w:val="1F4E9E"/>
          </w:rPr>
          <m:t xml:space="preserve">/</m:t>
        </m:r>
        <m:r>
          <m:rPr>
            <m:nor/>
          </m:rPr>
          <w:rPr>
            <w:rFonts w:ascii="Cambria Math" w:hAnsi="Cambria Math"/>
            <w:color w:val="1F4E9E"/>
          </w:rPr>
          <m:t xml:space="preserve">2</m:t>
        </m:r>
        <m:r>
          <m:rPr>
            <m:nor/>
          </m:rPr>
          <w:rPr>
            <w:rFonts w:ascii="Cambria Math" w:hAnsi="Cambria Math"/>
            <w:color w:val="1F4E9E"/>
          </w:rPr>
          <m:t xml:space="preserve">-</m:t>
        </m:r>
        <m:r>
          <m:rPr>
            <m:nor/>
          </m:rPr>
          <w:rPr>
            <w:rFonts w:ascii="Cambria Math" w:hAnsi="Cambria Math"/>
            <w:color w:val="1F4E9E"/>
          </w:rPr>
          <m:t xml:space="preserve">ln</m:t>
        </m:r>
        <m:rad>
          <m:radPr>
            <m:degHide m:val="1"/>
            <m:ctrlPr/>
          </m:radPr>
          <m:deg/>
          <m:e>
            <m:r>
              <m:rPr>
                <m:nor/>
              </m:rPr>
              <w:rPr>
                <w:rFonts w:ascii="Cambria Math" w:hAnsi="Cambria Math"/>
                <w:color w:val="1F4E9E"/>
              </w:rPr>
              <m:t xml:space="preserve">2</m:t>
            </m:r>
            <m:r>
              <w:rPr>
                <w:rFonts w:ascii="Cambria Math" w:hAnsi="Cambria Math"/>
                <w:color w:val="1F4E9E"/>
              </w:rPr>
              <m:t xml:space="preserve">π</m:t>
            </m:r>
          </m:e>
        </m:rad>
      </m:oMath>
      <w:r>
        <w:rPr>
          <w:color w:val="1F4E9E"/>
        </w:rPr>
        <w:t xml:space="preserve">, so</w:t>
      </w:r>
    </w:p>
    <w:p w14:paraId="73212C5D" w14:textId="77777777" w:rsidR="00205CBC" w:rsidRDefault="00000000">
      <m:oMathPara>
        <m:oMath>
          <m:eqArr>
            <m:eqArrPr>
              <m:maxDist m:val="1"/>
              <m:ctrlPr/>
            </m:eqArrPr>
            <m:e>
              <m:f>
                <m:fPr>
                  <m:ctrlPr/>
                </m:fPr>
                <m:num>
                  <m:r>
                    <m:rPr>
                      <m:nor/>
                    </m:rPr>
                    <w:rPr>
                      <w:rFonts w:ascii="Cambria Math" w:hAnsi="Cambria Math"/>
                      <w:color w:val="1F4E9E"/>
                    </w:rPr>
                    <m:t xml:space="preserve">d</m:t>
                  </m:r>
                  <m:d>
                    <m:dPr>
                      <m:begChr m:val="("/>
                      <m:endChr m:val=")"/>
                      <m:ctrlPr/>
                    </m:dPr>
                    <m:e>
                      <m:r>
                        <m:rPr>
                          <m:nor/>
                        </m:rPr>
                        <w:rPr>
                          <w:rFonts w:ascii="Cambria Math" w:hAnsi="Cambria Math"/>
                          <w:color w:val="1F4E9E"/>
                        </w:rPr>
                        <m:t xml:space="preserve">ln</m:t>
                      </m:r>
                      <m:r>
                        <w:rPr>
                          <w:rFonts w:ascii="Cambria Math" w:hAnsi="Cambria Math"/>
                          <w:color w:val="1F4E9E"/>
                        </w:rPr>
                        <m:t xml:space="preserve">ν</m:t>
                      </m:r>
                    </m:e>
                  </m:d>
                </m:num>
                <m:den>
                  <m:r>
                    <m:rPr>
                      <m:nor/>
                    </m:rPr>
                    <w:rPr>
                      <w:rFonts w:ascii="Cambria Math" w:hAnsi="Cambria Math"/>
                      <w:color w:val="1F4E9E"/>
                    </w:rPr>
                    <m:t xml:space="preserve">d</m:t>
                  </m:r>
                  <m:r>
                    <w:rPr>
                      <w:rFonts w:ascii="Cambria Math" w:hAnsi="Cambria Math"/>
                      <w:color w:val="1F4E9E"/>
                    </w:rPr>
                    <m:t xml:space="preserve">τ</m:t>
                  </m:r>
                </m:den>
              </m:f>
              <m:r>
                <m:rPr>
                  <m:nor/>
                </m:rPr>
                <w:rPr>
                  <w:rFonts w:ascii="Cambria Math" w:hAnsi="Cambria Math"/>
                  <w:color w:val="1F4E9E"/>
                </w:rPr>
                <m:t xml:space="preserve">=</m:t>
              </m:r>
              <m:f>
                <m:fPr>
                  <m:ctrlPr/>
                </m:fPr>
                <m:num>
                  <m:r>
                    <w:rPr>
                      <w:rFonts w:ascii="Cambria Math" w:hAnsi="Cambria Math"/>
                      <w:color w:val="1F4E9E"/>
                    </w:rPr>
                    <m:t xml:space="preserve">β</m:t>
                  </m:r>
                </m:num>
                <m:den>
                  <m:r>
                    <w:rPr>
                      <w:rFonts w:ascii="Cambria Math" w:hAnsi="Cambria Math"/>
                      <w:color w:val="1F4E9E"/>
                    </w:rPr>
                    <m:t xml:space="preserve">δ</m:t>
                  </m:r>
                  <m:sSub>
                    <m:sSubPr>
                      <m:ctrlPr/>
                    </m:sSubPr>
                    <m:e>
                      <m:r>
                        <w:rPr>
                          <w:rFonts w:ascii="Cambria Math" w:hAnsi="Cambria Math"/>
                          <w:color w:val="1F4E9E"/>
                        </w:rPr>
                        <m:t xml:space="preserve">σ</m:t>
                      </m:r>
                    </m:e>
                    <m:sub>
                      <m:r>
                        <w:rPr>
                          <w:rFonts w:ascii="Cambria Math" w:hAnsi="Cambria Math"/>
                          <w:color w:val="1F4E9E"/>
                        </w:rPr>
                        <m:t xml:space="preserve">H</m:t>
                      </m:r>
                    </m:sub>
                  </m:sSub>
                </m:den>
              </m:f>
              <m:r>
                <w:rPr>
                  <w:rFonts w:ascii="Cambria Math" w:hAnsi="Cambria Math"/>
                  <w:color w:val="1F4E9E"/>
                </w:rPr>
                <m:t xml:space="preserve">a</m:t>
              </m:r>
              <m:d>
                <m:dPr>
                  <m:begChr m:val="("/>
                  <m:endChr m:val=")"/>
                  <m:ctrlPr/>
                </m:dPr>
                <m:e>
                  <m:r>
                    <w:rPr>
                      <w:rFonts w:ascii="Cambria Math" w:hAnsi="Cambria Math"/>
                      <w:color w:val="1F4E9E"/>
                    </w:rPr>
                    <m:t xml:space="preserve">τ</m:t>
                  </m:r>
                </m:e>
              </m:d>
              <m:r>
                <m:rPr>
                  <m:nor/>
                </m:rPr>
                <w:rPr>
                  <w:rFonts w:ascii="Cambria Math" w:hAnsi="Cambria Math"/>
                  <w:color w:val="1F4E9E"/>
                </w:rPr>
                <m:t xml:space="preserve">,</m:t>
              </m:r>
              <m:r>
                <m:rPr>
                  <m:nor/>
                </m:rPr>
                <w:rPr>
                  <w:rFonts w:ascii="Cambria Math" w:hAnsi="Cambria Math"/>
                  <w:color w:val="1F4E9E"/>
                </w:rPr>
                <m:t xml:space="preserve">  </m:t>
              </m:r>
              <m:f>
                <m:fPr>
                  <m:ctrlPr/>
                </m:fPr>
                <m:num>
                  <m:sSup>
                    <m:sSupPr>
                      <m:ctrlPr/>
                    </m:sSupPr>
                    <m:e>
                      <m:r>
                        <m:rPr>
                          <m:nor/>
                        </m:rPr>
                        <w:rPr>
                          <w:rFonts w:ascii="Cambria Math" w:hAnsi="Cambria Math"/>
                          <w:color w:val="1F4E9E"/>
                        </w:rPr>
                        <m:t xml:space="preserve">d</m:t>
                      </m:r>
                    </m:e>
                    <m:sup>
                      <m:r>
                        <m:rPr>
                          <m:nor/>
                        </m:rPr>
                        <w:rPr>
                          <w:rFonts w:ascii="Cambria Math" w:hAnsi="Cambria Math"/>
                          <w:color w:val="1F4E9E"/>
                        </w:rPr>
                        <m:t xml:space="preserve">2</m:t>
                      </m:r>
                    </m:sup>
                  </m:sSup>
                  <m:d>
                    <m:dPr>
                      <m:begChr m:val="("/>
                      <m:endChr m:val=")"/>
                      <m:ctrlPr/>
                    </m:dPr>
                    <m:e>
                      <m:r>
                        <m:rPr>
                          <m:nor/>
                        </m:rPr>
                        <w:rPr>
                          <w:rFonts w:ascii="Cambria Math" w:hAnsi="Cambria Math"/>
                          <w:color w:val="1F4E9E"/>
                        </w:rPr>
                        <m:t xml:space="preserve">ln</m:t>
                      </m:r>
                      <m:r>
                        <w:rPr>
                          <w:rFonts w:ascii="Cambria Math" w:hAnsi="Cambria Math"/>
                          <w:color w:val="1F4E9E"/>
                        </w:rPr>
                        <m:t xml:space="preserve">ν</m:t>
                      </m:r>
                    </m:e>
                  </m:d>
                </m:num>
                <m:den>
                  <m:r>
                    <m:rPr>
                      <m:nor/>
                    </m:rPr>
                    <w:rPr>
                      <w:rFonts w:ascii="Cambria Math" w:hAnsi="Cambria Math"/>
                      <w:color w:val="1F4E9E"/>
                    </w:rPr>
                    <m:t xml:space="preserve">d</m:t>
                  </m:r>
                  <m:sSup>
                    <m:sSupPr>
                      <m:ctrlPr/>
                    </m:sSupPr>
                    <m:e>
                      <m:r>
                        <w:rPr>
                          <w:rFonts w:ascii="Cambria Math" w:hAnsi="Cambria Math"/>
                          <w:color w:val="1F4E9E"/>
                        </w:rPr>
                        <m:t xml:space="preserve">τ</m:t>
                      </m:r>
                    </m:e>
                    <m:sup>
                      <m:r>
                        <m:rPr>
                          <m:nor/>
                        </m:rPr>
                        <w:rPr>
                          <w:rFonts w:ascii="Cambria Math" w:hAnsi="Cambria Math"/>
                          <w:color w:val="1F4E9E"/>
                        </w:rPr>
                        <m:t xml:space="preserve">2</m:t>
                      </m:r>
                    </m:sup>
                  </m:sSup>
                </m:den>
              </m:f>
              <m:r>
                <m:rPr>
                  <m:nor/>
                </m:rPr>
                <w:rPr>
                  <w:rFonts w:ascii="Cambria Math" w:hAnsi="Cambria Math"/>
                  <w:color w:val="1F4E9E"/>
                </w:rPr>
                <m:t xml:space="preserve">=</m:t>
              </m:r>
              <m:r>
                <m:rPr>
                  <m:nor/>
                </m:rPr>
                <w:rPr>
                  <w:rFonts w:ascii="Cambria Math" w:hAnsi="Cambria Math"/>
                  <w:color w:val="1F4E9E"/>
                </w:rPr>
                <m:t xml:space="preserve">-</m:t>
              </m:r>
              <m:sSup>
                <m:sSupPr>
                  <m:ctrlPr/>
                </m:sSupPr>
                <m:e>
                  <m:d>
                    <m:dPr>
                      <m:begChr m:val="("/>
                      <m:endChr m:val=")"/>
                      <m:ctrlPr/>
                    </m:dPr>
                    <m:e>
                      <m:f>
                        <m:fPr>
                          <m:ctrlPr/>
                        </m:fPr>
                        <m:num>
                          <m:r>
                            <w:rPr>
                              <w:rFonts w:ascii="Cambria Math" w:hAnsi="Cambria Math"/>
                              <w:color w:val="1F4E9E"/>
                            </w:rPr>
                            <m:t xml:space="preserve">β</m:t>
                          </m:r>
                        </m:num>
                        <m:den>
                          <m:r>
                            <w:rPr>
                              <w:rFonts w:ascii="Cambria Math" w:hAnsi="Cambria Math"/>
                              <w:color w:val="1F4E9E"/>
                            </w:rPr>
                            <m:t xml:space="preserve">δ</m:t>
                          </m:r>
                          <m:sSub>
                            <m:sSubPr>
                              <m:ctrlPr/>
                            </m:sSubPr>
                            <m:e>
                              <m:r>
                                <w:rPr>
                                  <w:rFonts w:ascii="Cambria Math" w:hAnsi="Cambria Math"/>
                                  <w:color w:val="1F4E9E"/>
                                </w:rPr>
                                <m:t xml:space="preserve">σ</m:t>
                              </m:r>
                            </m:e>
                            <m:sub>
                              <m:r>
                                <w:rPr>
                                  <w:rFonts w:ascii="Cambria Math" w:hAnsi="Cambria Math"/>
                                  <w:color w:val="1F4E9E"/>
                                </w:rPr>
                                <m:t xml:space="preserve">H</m:t>
                              </m:r>
                            </m:sub>
                          </m:sSub>
                        </m:den>
                      </m:f>
                    </m:e>
                  </m:d>
                </m:e>
                <m:sup>
                  <m:r>
                    <m:rPr>
                      <m:nor/>
                    </m:rPr>
                    <w:rPr>
                      <w:rFonts w:ascii="Cambria Math" w:hAnsi="Cambria Math"/>
                      <w:color w:val="1F4E9E"/>
                    </w:rPr>
                    <m:t xml:space="preserve">2</m:t>
                  </m:r>
                </m:sup>
              </m:sSup>
              <m:r>
                <w:rPr>
                  <w:rFonts w:ascii="Cambria Math" w:hAnsi="Cambria Math"/>
                  <w:color w:val="1F4E9E"/>
                </w:rPr>
                <m:t xml:space="preserve">#</m:t>
              </m:r>
              <m:d>
                <m:dPr>
                  <m:begChr m:val="("/>
                  <m:endChr m:val=")"/>
                  <m:ctrlPr/>
                </m:dPr>
                <m:e>
                  <m:r>
                    <m:rPr>
                      <m:nor/>
                    </m:rPr>
                    <w:rPr>
                      <w:rFonts w:ascii="Cambria Math" w:hAnsi="Cambria Math"/>
                      <w:color w:val="1F4E9E"/>
                    </w:rPr>
                    <m:t xml:space="preserve">2</m:t>
                  </m:r>
                  <m:r>
                    <m:rPr>
                      <m:nor/>
                    </m:rPr>
                    <w:rPr>
                      <w:rFonts w:ascii="Cambria Math" w:hAnsi="Cambria Math"/>
                      <w:color w:val="1F4E9E"/>
                    </w:rPr>
                    <m:t xml:space="preserve">5</m:t>
                  </m:r>
                </m:e>
              </m:d>
            </m:e>
          </m:eqArr>
        </m:oMath>
      </m:oMathPara>
    </w:p>
    <w:p w14:paraId="73212C5D" w14:textId="77777777" w:rsidR="00205CBC" w:rsidRDefault="00000000">
      <w:r>
        <w:rPr>
          <w:color w:val="1F4E9E"/>
        </w:rPr>
        <w:t xml:space="preserve">The log rate rises at a rate proportional to the current standardized distance to the gate. Its curvature is negative, and constant in time — the log rate is exactly a downward parabola — with the same value in all six conditions, since </w:t>
      </w:r>
      <m:oMath>
        <m:r>
          <w:rPr>
            <w:rFonts w:ascii="Cambria Math" w:hAnsi="Cambria Math"/>
            <w:color w:val="1F4E9E"/>
          </w:rPr>
          <m:t xml:space="preserve">β</m:t>
        </m:r>
      </m:oMath>
      <w:r>
        <w:rPr>
          <w:color w:val="1F4E9E"/>
        </w:rPr>
        <w:t xml:space="preserve">, </w:t>
      </w:r>
      <m:oMath>
        <m:r>
          <w:rPr>
            <w:rFonts w:ascii="Cambria Math" w:hAnsi="Cambria Math"/>
            <w:color w:val="1F4E9E"/>
          </w:rPr>
          <m:t xml:space="preserve">δ</m:t>
        </m:r>
      </m:oMath>
      <w:r>
        <w:rPr>
          <w:color w:val="1F4E9E"/>
        </w:rPr>
        <w:t xml:space="preserve"> and </w:t>
      </w:r>
      <m:oMath>
        <m:sSub>
          <m:sSubPr>
            <m:ctrlPr/>
          </m:sSubPr>
          <m:e>
            <m:r>
              <w:rPr>
                <w:rFonts w:ascii="Cambria Math" w:hAnsi="Cambria Math"/>
                <w:color w:val="1F4E9E"/>
              </w:rPr>
              <m:t xml:space="preserve">σ</m:t>
            </m:r>
          </m:e>
          <m:sub>
            <m:r>
              <w:rPr>
                <w:rFonts w:ascii="Cambria Math" w:hAnsi="Cambria Math"/>
                <w:color w:val="1F4E9E"/>
              </w:rPr>
              <m:t xml:space="preserve">H</m:t>
            </m:r>
          </m:sub>
        </m:sSub>
      </m:oMath>
      <w:r>
        <w:rPr>
          <w:color w:val="1F4E9E"/>
        </w:rPr>
        <w:t xml:space="preserve"> are properties of the participant and not of the condition. A cell with a higher rate has a smaller standardized distance and so a shallower predicted log-rate slope. ∎</w:t>
      </w:r>
    </w:p>
    <w:p w14:paraId="73212C5D" w14:textId="77777777" w:rsidR="00205CBC" w:rsidRDefault="00000000">
      <w:r>
        <w:rPr>
          <w:color w:val="1F4E9E"/>
        </w:rPr>
        <w:t xml:space="preserve">Proposition A.3 (saturation and the coherence × duration interaction). The model predicts the effect of coherence on the delay-period rate to be smaller, not larger, after a long stimulus. Proof. The maintained TARGET is capped pathwise at </w:t>
      </w:r>
      <m:oMath>
        <m:r>
          <w:rPr>
            <w:rFonts w:ascii="Cambria Math" w:hAnsi="Cambria Math"/>
            <w:color w:val="1F4E9E"/>
          </w:rPr>
          <m:t xml:space="preserve">θ</m:t>
        </m:r>
      </m:oMath>
      <w:r>
        <w:rPr>
          <w:color w:val="1F4E9E"/>
        </w:rPr>
        <w:t xml:space="preserve">: a trial that reaches the threshold has its target pinned there for the rest of the delay, though its signal continues to fluctuate about that target. On such a trial the distance </w:t>
      </w:r>
      <m:oMath>
        <m:r>
          <w:rPr>
            <w:rFonts w:ascii="Cambria Math" w:hAnsi="Cambria Math"/>
            <w:color w:val="1F4E9E"/>
          </w:rPr>
          <m:t xml:space="preserve">d</m:t>
        </m:r>
      </m:oMath>
      <w:r>
        <w:rPr>
          <w:color w:val="1F4E9E"/>
        </w:rPr>
        <w:t xml:space="preserve"> entering (21) is </w:t>
      </w:r>
      <m:oMath>
        <m:r>
          <w:rPr>
            <w:rFonts w:ascii="Cambria Math" w:hAnsi="Cambria Math"/>
            <w:color w:val="1F4E9E"/>
          </w:rPr>
          <m:t xml:space="preserve">g</m:t>
        </m:r>
        <m:r>
          <m:rPr>
            <m:nor/>
          </m:rPr>
          <w:rPr>
            <w:rFonts w:ascii="Cambria Math" w:hAnsi="Cambria Math"/>
            <w:color w:val="1F4E9E"/>
          </w:rPr>
          <m:t xml:space="preserve">-</m:t>
        </m:r>
        <m:r>
          <w:rPr>
            <w:rFonts w:ascii="Cambria Math" w:hAnsi="Cambria Math"/>
            <w:color w:val="1F4E9E"/>
          </w:rPr>
          <m:t xml:space="preserve">θ</m:t>
        </m:r>
      </m:oMath>
      <w:r>
        <w:rPr>
          <w:color w:val="1F4E9E"/>
        </w:rPr>
        <w:t xml:space="preserve"> less the ramp, the same in every condition, and the law of </w:t>
      </w:r>
      <m:oMath>
        <m:r>
          <w:rPr>
            <w:rFonts w:ascii="Cambria Math" w:hAnsi="Cambria Math"/>
            <w:color w:val="1F4E9E"/>
          </w:rPr>
          <m:t xml:space="preserve">H</m:t>
        </m:r>
      </m:oMath>
      <w:r>
        <w:rPr>
          <w:color w:val="1F4E9E"/>
        </w:rPr>
        <w:t xml:space="preserve"> does not depend on coherence either, so the rate is coherence-independent. Writing </w:t>
      </w:r>
      <m:oMath>
        <m:r>
          <w:rPr>
            <w:rFonts w:ascii="Cambria Math" w:hAnsi="Cambria Math"/>
            <w:color w:val="1F4E9E"/>
          </w:rPr>
          <m:t xml:space="preserve">F</m:t>
        </m:r>
        <m:d>
          <m:dPr>
            <m:begChr m:val="("/>
            <m:endChr m:val=")"/>
            <m:ctrlPr/>
          </m:dPr>
          <m:e>
            <m:r>
              <w:rPr>
                <w:rFonts w:ascii="Cambria Math" w:hAnsi="Cambria Math"/>
                <w:color w:val="1F4E9E"/>
              </w:rPr>
              <m:t xml:space="preserve">D</m:t>
            </m:r>
            <m:r>
              <m:rPr>
                <m:nor/>
              </m:rPr>
              <w:rPr>
                <w:rFonts w:ascii="Cambria Math" w:hAnsi="Cambria Math"/>
                <w:color w:val="1F4E9E"/>
              </w:rPr>
              <m:t xml:space="preserve">,</m:t>
            </m:r>
            <m:r>
              <w:rPr>
                <w:rFonts w:ascii="Cambria Math" w:hAnsi="Cambria Math"/>
                <w:color w:val="1F4E9E"/>
              </w:rPr>
              <m:t xml:space="preserve">c</m:t>
            </m:r>
          </m:e>
        </m:d>
      </m:oMath>
      <w:r>
        <w:rPr>
          <w:color w:val="1F4E9E"/>
        </w:rPr>
        <w:t xml:space="preserve"> for the fraction of trials at duration </w:t>
      </w:r>
      <m:oMath>
        <m:r>
          <w:rPr>
            <w:rFonts w:ascii="Cambria Math" w:hAnsi="Cambria Math"/>
            <w:color w:val="1F4E9E"/>
          </w:rPr>
          <m:t xml:space="preserve">D</m:t>
        </m:r>
      </m:oMath>
      <w:r>
        <w:rPr>
          <w:color w:val="1F4E9E"/>
        </w:rPr>
        <w:t xml:space="preserve"> and coherence </w:t>
      </w:r>
      <m:oMath>
        <m:r>
          <w:rPr>
            <w:rFonts w:ascii="Cambria Math" w:hAnsi="Cambria Math"/>
            <w:color w:val="1F4E9E"/>
          </w:rPr>
          <m:t xml:space="preserve">c</m:t>
        </m:r>
      </m:oMath>
      <w:r>
        <w:rPr>
          <w:color w:val="1F4E9E"/>
        </w:rPr>
        <w:t xml:space="preserve"> whose target has reached </w:t>
      </w:r>
      <m:oMath>
        <m:r>
          <w:rPr>
            <w:rFonts w:ascii="Cambria Math" w:hAnsi="Cambria Math"/>
            <w:color w:val="1F4E9E"/>
          </w:rPr>
          <m:t xml:space="preserve">θ</m:t>
        </m:r>
      </m:oMath>
      <w:r>
        <w:rPr>
          <w:color w:val="1F4E9E"/>
        </w:rPr>
        <w:t xml:space="preserve">, the coherence levels therefore converge on a common value as </w:t>
      </w:r>
      <m:oMath>
        <m:r>
          <w:rPr>
            <w:rFonts w:ascii="Cambria Math" w:hAnsi="Cambria Math"/>
            <w:color w:val="1F4E9E"/>
          </w:rPr>
          <m:t xml:space="preserve">F</m:t>
        </m:r>
        <m:d>
          <m:dPr>
            <m:begChr m:val="("/>
            <m:endChr m:val=")"/>
            <m:ctrlPr/>
          </m:dPr>
          <m:e>
            <m:r>
              <w:rPr>
                <w:rFonts w:ascii="Cambria Math" w:hAnsi="Cambria Math"/>
                <w:color w:val="1F4E9E"/>
              </w:rPr>
              <m:t xml:space="preserve">D</m:t>
            </m:r>
            <m:r>
              <m:rPr>
                <m:nor/>
              </m:rPr>
              <w:rPr>
                <w:rFonts w:ascii="Cambria Math" w:hAnsi="Cambria Math"/>
                <w:color w:val="1F4E9E"/>
              </w:rPr>
              <m:t xml:space="preserve">,</m:t>
            </m:r>
            <m:r>
              <w:rPr>
                <w:rFonts w:ascii="Cambria Math" w:hAnsi="Cambria Math"/>
                <w:color w:val="1F4E9E"/>
              </w:rPr>
              <m:t xml:space="preserve">c</m:t>
            </m:r>
          </m:e>
        </m:d>
        <m:r>
          <m:rPr>
            <m:nor/>
          </m:rPr>
          <w:rPr>
            <w:rFonts w:ascii="Cambria Math" w:hAnsi="Cambria Math"/>
            <w:color w:val="1F4E9E"/>
          </w:rPr>
          <m:t xml:space="preserve">→</m:t>
        </m:r>
        <m:r>
          <m:rPr>
            <m:nor/>
          </m:rPr>
          <w:rPr>
            <w:rFonts w:ascii="Cambria Math" w:hAnsi="Cambria Math"/>
            <w:color w:val="1F4E9E"/>
          </w:rPr>
          <m:t xml:space="preserve">1</m:t>
        </m:r>
      </m:oMath>
      <w:r>
        <w:rPr>
          <w:color w:val="1F4E9E"/>
        </w:rPr>
        <w:t xml:space="preserve">, and a longer stimulus raises </w:t>
      </w:r>
      <m:oMath>
        <m:r>
          <w:rPr>
            <w:rFonts w:ascii="Cambria Math" w:hAnsi="Cambria Math"/>
            <w:color w:val="1F4E9E"/>
          </w:rPr>
          <m:t xml:space="preserve">F</m:t>
        </m:r>
      </m:oMath>
      <w:r>
        <w:rPr>
          <w:color w:val="1F4E9E"/>
        </w:rPr>
        <w:t xml:space="preserve"> at every coherence, moving every cell closer to it.</w:t>
      </w:r>
    </w:p>
    <w:p w14:paraId="73212C5D" w14:textId="77777777" w:rsidR="00205CBC" w:rsidRDefault="00000000">
      <w:r>
        <w:rPr>
          <w:color w:val="1F4E9E"/>
        </w:rPr>
        <w:t xml:space="preserve">The argument is a limit argument, and the prediction holds only as the limit is approached. It requires the LOWEST-coherence long-duration cell to be near the cap: the effect is a difference between coherences, and the cap can shrink that difference only once both of its terms are capped. Where that fails the prediction reverses, for the converse reason: below the cap the target is free, its mean grows about as </w:t>
      </w:r>
      <m:oMath>
        <m:r>
          <w:rPr>
            <w:rFonts w:ascii="Cambria Math" w:hAnsi="Cambria Math"/>
            <w:color w:val="1F4E9E"/>
          </w:rPr>
          <m:t xml:space="preserve">k</m:t>
        </m:r>
        <m:r>
          <w:rPr>
            <w:rFonts w:ascii="Cambria Math" w:hAnsi="Cambria Math"/>
            <w:color w:val="1F4E9E"/>
          </w:rPr>
          <m:t xml:space="preserve">c</m:t>
        </m:r>
        <m:d>
          <m:dPr>
            <m:begChr m:val="("/>
            <m:endChr m:val=")"/>
            <m:ctrlPr/>
          </m:dPr>
          <m:e>
            <m:r>
              <w:rPr>
                <w:rFonts w:ascii="Cambria Math" w:hAnsi="Cambria Math"/>
                <w:color w:val="1F4E9E"/>
              </w:rPr>
              <m:t xml:space="preserve">t</m:t>
            </m:r>
            <m:r>
              <m:rPr>
                <m:nor/>
              </m:rPr>
              <w:rPr>
                <w:rFonts w:ascii="Cambria Math" w:hAnsi="Cambria Math"/>
                <w:color w:val="1F4E9E"/>
              </w:rPr>
              <m:t xml:space="preserve">-</m:t>
            </m:r>
            <m:r>
              <m:rPr>
                <m:nor/>
              </m:rPr>
              <w:rPr>
                <w:rFonts w:ascii="Cambria Math" w:hAnsi="Cambria Math"/>
                <w:color w:val="1F4E9E"/>
              </w:rPr>
              <m:t xml:space="preserve">1</m:t>
            </m:r>
            <m:r>
              <m:rPr>
                <m:nor/>
              </m:rPr>
              <w:rPr>
                <w:rFonts w:ascii="Cambria Math" w:hAnsi="Cambria Math"/>
                <w:color w:val="1F4E9E"/>
              </w:rPr>
              <m:t xml:space="preserve">/</m:t>
            </m:r>
            <m:r>
              <w:rPr>
                <w:rFonts w:ascii="Cambria Math" w:hAnsi="Cambria Math"/>
                <w:color w:val="1F4E9E"/>
              </w:rPr>
              <m:t xml:space="preserve">λ</m:t>
            </m:r>
          </m:e>
        </m:d>
      </m:oMath>
      <w:r>
        <w:rPr>
          <w:color w:val="1F4E9E"/>
        </w:rPr>
        <w:t xml:space="preserve">, and its coherence derivative </w:t>
      </w:r>
      <m:oMath>
        <m:r>
          <w:rPr>
            <w:rFonts w:ascii="Cambria Math" w:hAnsi="Cambria Math"/>
            <w:color w:val="1F4E9E"/>
          </w:rPr>
          <m:t xml:space="preserve">k</m:t>
        </m:r>
        <m:d>
          <m:dPr>
            <m:begChr m:val="("/>
            <m:endChr m:val=")"/>
            <m:ctrlPr/>
          </m:dPr>
          <m:e>
            <m:r>
              <w:rPr>
                <w:rFonts w:ascii="Cambria Math" w:hAnsi="Cambria Math"/>
                <w:color w:val="1F4E9E"/>
              </w:rPr>
              <m:t xml:space="preserve">t</m:t>
            </m:r>
            <m:r>
              <m:rPr>
                <m:nor/>
              </m:rPr>
              <w:rPr>
                <w:rFonts w:ascii="Cambria Math" w:hAnsi="Cambria Math"/>
                <w:color w:val="1F4E9E"/>
              </w:rPr>
              <m:t xml:space="preserve">-</m:t>
            </m:r>
            <m:r>
              <m:rPr>
                <m:nor/>
              </m:rPr>
              <w:rPr>
                <w:rFonts w:ascii="Cambria Math" w:hAnsi="Cambria Math"/>
                <w:color w:val="1F4E9E"/>
              </w:rPr>
              <m:t xml:space="preserve">1</m:t>
            </m:r>
            <m:r>
              <m:rPr>
                <m:nor/>
              </m:rPr>
              <w:rPr>
                <w:rFonts w:ascii="Cambria Math" w:hAnsi="Cambria Math"/>
                <w:color w:val="1F4E9E"/>
              </w:rPr>
              <m:t xml:space="preserve">/</m:t>
            </m:r>
            <m:r>
              <w:rPr>
                <w:rFonts w:ascii="Cambria Math" w:hAnsi="Cambria Math"/>
                <w:color w:val="1F4E9E"/>
              </w:rPr>
              <m:t xml:space="preserve">λ</m:t>
            </m:r>
          </m:e>
        </m:d>
      </m:oMath>
      <w:r>
        <w:rPr>
          <w:color w:val="1F4E9E"/>
        </w:rPr>
        <w:t xml:space="preserve"> grows with duration. Saturation is what turns that growth into a shrinkage. The condition cannot be enforced through accuracy, because the contrast is taken against the zero-coherence cell, whose accuracy is one half by symmetry at every parameter setting.</w:t>
      </w:r>
    </w:p>
    <w:p w14:paraId="73212C5D" w14:textId="77777777" w:rsidR="00205CBC" w:rsidRDefault="00000000">
      <w:r>
        <w:rPr>
          <w:color w:val="1F4E9E"/>
        </w:rPr>
        <w:t xml:space="preserve">A second channel works in the same direction and is not covered by the argument above. The delay window is timed from stimulus offset, not from the crossing of </w:t>
      </w:r>
      <m:oMath>
        <m:r>
          <w:rPr>
            <w:rFonts w:ascii="Cambria Math" w:hAnsi="Cambria Math"/>
            <w:color w:val="1F4E9E"/>
          </w:rPr>
          <m:t xml:space="preserve">θ</m:t>
        </m:r>
      </m:oMath>
      <w:r>
        <w:rPr>
          <w:color w:val="1F4E9E"/>
        </w:rPr>
        <w:t xml:space="preserve">, and the crossing occurs earlier at higher coherence. Capped trials at high coherence have therefore been in maintenance longer when the window opens, their variance has filled in further, and their rate is correspondingly higher — a residual coherence effect among capped trials, larger after the long stimulus than after the short one. It vanishes once the fluctuation is stationary well before the window opens, and so bites only at small </w:t>
      </w:r>
      <m:oMath>
        <m:r>
          <w:rPr>
            <w:rFonts w:ascii="Cambria Math" w:hAnsi="Cambria Math"/>
            <w:color w:val="1F4E9E"/>
          </w:rPr>
          <m:t xml:space="preserve">κ</m:t>
        </m:r>
      </m:oMath>
      <w:r>
        <w:rPr>
          <w:color w:val="1F4E9E"/>
        </w:rPr>
        <w:t xml:space="preserve">, which is the regime in which Model 1 can produce any ramp at all. Its size, and the frequency with which either failure occurs over the admissible space, are reported in Results (Delay-locked). ∎</w:t>
      </w:r>
    </w:p>
    <w:p w14:paraId="73212C5D" w14:textId="77777777" w:rsidR="00205CBC" w:rsidRDefault="00000000">
      <w:r>
        <w:rPr>
          <w:color w:val="1F4E9E"/>
        </w:rPr>
        <w:t xml:space="preserve">Remark A.4. Corollary A.2 and Proposition A.3 pull in opposite directions on the coherence dependence of the delay-period rate, and are consistent. A.3 concerns the rate itself, whose coherence dependence saturates; A.2 concerns the slope of its logarithm, which remains coherence-dependent — shallower where the rate is higher — precisely because the distance to the gate is smaller there. A residual coherence dependence of the log-rate slope is a signature of saturated maintenance, not of continued evidence accumulation.</w:t>
      </w:r>
    </w:p>
    <w:p w14:paraId="73212C5D" w14:textId="77777777" w:rsidR="00205CBC" w:rsidRDefault="00000000">
      <w:r>
        <w:rPr>
          <w:color w:val="1F4E9E"/>
        </w:rPr>
        <w:t xml:space="preserve">Corollary A.5 (Model 1 cannot ramp and activate at the same rate). Under Model 1 any delay-period ramp exists only by virtue of the non-stationarity of </w:t>
      </w:r>
      <m:oMath>
        <m:r>
          <w:rPr>
            <w:rFonts w:ascii="Cambria Math" w:hAnsi="Cambria Math"/>
            <w:color w:val="1F4E9E"/>
          </w:rPr>
          <m:t xml:space="preserve">H</m:t>
        </m:r>
      </m:oMath>
      <w:r>
        <w:rPr>
          <w:color w:val="1F4E9E"/>
        </w:rPr>
        <w:t xml:space="preserve">, and it is traded off against the rate itself, the trade-off being carried by the standardized distance. Proof. Maintenance begins with the filtered signal exactly at its target and the Ornstein–Uhlenbeck input at its own mean, so </w:t>
      </w:r>
      <m:oMath>
        <m:r>
          <w:rPr>
            <w:rFonts w:ascii="Cambria Math" w:hAnsi="Cambria Math"/>
            <w:color w:val="1F4E9E"/>
          </w:rPr>
          <m:t xml:space="preserve">H</m:t>
        </m:r>
        <m:d>
          <m:dPr>
            <m:begChr m:val="("/>
            <m:endChr m:val=")"/>
            <m:ctrlPr/>
          </m:dPr>
          <m:e>
            <m:sSub>
              <m:sSubPr>
                <m:ctrlPr/>
              </m:sSubPr>
              <m:e>
                <m:r>
                  <w:rPr>
                    <w:rFonts w:ascii="Cambria Math" w:hAnsi="Cambria Math"/>
                    <w:color w:val="1F4E9E"/>
                  </w:rPr>
                  <m:t xml:space="preserve">τ</m:t>
                </m:r>
              </m:e>
              <m:sub>
                <m:r>
                  <m:rPr>
                    <m:nor/>
                  </m:rPr>
                  <w:rPr>
                    <w:rFonts w:ascii="Cambria Math" w:hAnsi="Cambria Math"/>
                    <w:color w:val="1F4E9E"/>
                  </w:rPr>
                  <m:t xml:space="preserve">0</m:t>
                </m:r>
              </m:sub>
            </m:sSub>
          </m:e>
        </m:d>
        <m:r>
          <m:rPr>
            <m:nor/>
          </m:rPr>
          <w:rPr>
            <w:rFonts w:ascii="Cambria Math" w:hAnsi="Cambria Math"/>
            <w:color w:val="1F4E9E"/>
          </w:rPr>
          <m:t xml:space="preserve">=</m:t>
        </m:r>
        <m:r>
          <m:rPr>
            <m:nor/>
          </m:rPr>
          <w:rPr>
            <w:rFonts w:ascii="Cambria Math" w:hAnsi="Cambria Math"/>
            <w:color w:val="1F4E9E"/>
          </w:rPr>
          <m:t xml:space="preserve">0</m:t>
        </m:r>
      </m:oMath>
      <w:r>
        <w:rPr>
          <w:color w:val="1F4E9E"/>
        </w:rPr>
        <w:t xml:space="preserve"> with zero variance and the moments (15) and (16) relax to their stationary limits from below. Set </w:t>
      </w:r>
      <m:oMath>
        <m:r>
          <w:rPr>
            <w:rFonts w:ascii="Cambria Math" w:hAnsi="Cambria Math"/>
            <w:color w:val="1F4E9E"/>
          </w:rPr>
          <m:t xml:space="preserve">β</m:t>
        </m:r>
        <m:r>
          <m:rPr>
            <m:nor/>
          </m:rPr>
          <w:rPr>
            <w:rFonts w:ascii="Cambria Math" w:hAnsi="Cambria Math"/>
            <w:color w:val="1F4E9E"/>
          </w:rPr>
          <m:t xml:space="preserve">=</m:t>
        </m:r>
        <m:r>
          <m:rPr>
            <m:nor/>
          </m:rPr>
          <w:rPr>
            <w:rFonts w:ascii="Cambria Math" w:hAnsi="Cambria Math"/>
            <w:color w:val="1F4E9E"/>
          </w:rPr>
          <m:t xml:space="preserve">0</m:t>
        </m:r>
      </m:oMath>
      <w:r>
        <w:rPr>
          <w:color w:val="1F4E9E"/>
        </w:rPr>
        <w:t xml:space="preserve"> in (21) and drop the covariance term — take </w:t>
      </w:r>
      <m:oMath>
        <m:r>
          <w:rPr>
            <w:rFonts w:ascii="Cambria Math" w:hAnsi="Cambria Math"/>
            <w:color w:val="1F4E9E"/>
          </w:rPr>
          <m:t xml:space="preserve">M</m:t>
        </m:r>
        <m:r>
          <m:rPr>
            <m:nor/>
          </m:rPr>
          <w:rPr>
            <w:rFonts w:ascii="Cambria Math" w:hAnsi="Cambria Math"/>
            <w:color w:val="1F4E9E"/>
          </w:rPr>
          <m:t xml:space="preserve">=</m:t>
        </m:r>
        <m:r>
          <m:rPr>
            <m:nor/>
          </m:rPr>
          <w:rPr>
            <w:rFonts w:ascii="Cambria Math" w:hAnsi="Cambria Math"/>
            <w:color w:val="1F4E9E"/>
          </w:rPr>
          <m:t xml:space="preserve">0</m:t>
        </m:r>
      </m:oMath>
      <w:r>
        <w:rPr>
          <w:color w:val="1F4E9E"/>
        </w:rPr>
        <w:t xml:space="preserve"> and </w:t>
      </w:r>
      <m:oMath>
        <m:r>
          <w:rPr>
            <w:rFonts w:ascii="Cambria Math" w:hAnsi="Cambria Math"/>
            <w:color w:val="1F4E9E"/>
          </w:rPr>
          <m:t xml:space="preserve">S</m:t>
        </m:r>
        <m:r>
          <m:rPr>
            <m:nor/>
          </m:rPr>
          <w:rPr>
            <w:rFonts w:ascii="Cambria Math" w:hAnsi="Cambria Math"/>
            <w:color w:val="1F4E9E"/>
          </w:rPr>
          <m:t xml:space="preserve">=</m:t>
        </m:r>
        <m:r>
          <m:rPr>
            <m:nor/>
          </m:rPr>
          <w:rPr>
            <w:rFonts w:ascii="Cambria Math" w:hAnsi="Cambria Math"/>
            <w:color w:val="1F4E9E"/>
          </w:rPr>
          <m:t xml:space="preserve">Var</m:t>
        </m:r>
        <m:r>
          <m:rPr>
            <m:nor/>
          </m:rPr>
          <w:rPr>
            <w:rFonts w:ascii="Cambria Math" w:hAnsi="Cambria Math"/>
            <w:color w:val="1F4E9E"/>
          </w:rPr>
          <m:t xml:space="preserve"> </m:t>
        </m:r>
        <m:acc>
          <m:accPr>
            <m:chr m:val="̇"/>
            <m:ctrlPr/>
          </m:accPr>
          <m:e>
            <m:r>
              <w:rPr>
                <w:rFonts w:ascii="Cambria Math" w:hAnsi="Cambria Math"/>
                <w:color w:val="1F4E9E"/>
              </w:rPr>
              <m:t xml:space="preserve">H</m:t>
            </m:r>
          </m:e>
        </m:acc>
      </m:oMath>
      <w:r>
        <w:rPr>
          <w:color w:val="1F4E9E"/>
        </w:rPr>
        <w:t xml:space="preserve"> in (20), which is exact at stationarity. Writing </w:t>
      </w:r>
      <m:oMath>
        <m:r>
          <w:rPr>
            <w:rFonts w:ascii="Cambria Math" w:hAnsi="Cambria Math"/>
            <w:color w:val="1F4E9E"/>
          </w:rPr>
          <m:t xml:space="preserve">ω</m:t>
        </m:r>
        <m:d>
          <m:dPr>
            <m:begChr m:val="("/>
            <m:endChr m:val=")"/>
            <m:ctrlPr/>
          </m:dPr>
          <m:e>
            <m:r>
              <w:rPr>
                <w:rFonts w:ascii="Cambria Math" w:hAnsi="Cambria Math"/>
                <w:color w:val="1F4E9E"/>
              </w:rPr>
              <m:t xml:space="preserve">τ</m:t>
            </m:r>
          </m:e>
        </m:d>
        <m:r>
          <m:rPr>
            <m:nor/>
          </m:rPr>
          <w:rPr>
            <w:rFonts w:ascii="Cambria Math" w:hAnsi="Cambria Math"/>
            <w:color w:val="1F4E9E"/>
          </w:rPr>
          <m:t xml:space="preserve">=</m:t>
        </m:r>
        <m:rad>
          <m:radPr>
            <m:degHide m:val="1"/>
            <m:ctrlPr/>
          </m:radPr>
          <m:deg/>
          <m:e>
            <m:r>
              <m:rPr>
                <m:nor/>
              </m:rPr>
              <w:rPr>
                <w:rFonts w:ascii="Cambria Math" w:hAnsi="Cambria Math"/>
                <w:color w:val="1F4E9E"/>
              </w:rPr>
              <m:t xml:space="preserve">Var</m:t>
            </m:r>
            <m:r>
              <m:rPr>
                <m:nor/>
              </m:rPr>
              <w:rPr>
                <w:rFonts w:ascii="Cambria Math" w:hAnsi="Cambria Math"/>
                <w:color w:val="1F4E9E"/>
              </w:rPr>
              <m:t xml:space="preserve"> </m:t>
            </m:r>
            <m:acc>
              <m:accPr>
                <m:chr m:val="̇"/>
                <m:ctrlPr/>
              </m:accPr>
              <m:e>
                <m:r>
                  <w:rPr>
                    <w:rFonts w:ascii="Cambria Math" w:hAnsi="Cambria Math"/>
                    <w:color w:val="1F4E9E"/>
                  </w:rPr>
                  <m:t xml:space="preserve">H</m:t>
                </m:r>
              </m:e>
            </m:acc>
            <m:r>
              <m:rPr>
                <m:nor/>
              </m:rPr>
              <w:rPr>
                <w:rFonts w:ascii="Cambria Math" w:hAnsi="Cambria Math"/>
                <w:color w:val="1F4E9E"/>
              </w:rPr>
              <m:t xml:space="preserve">/</m:t>
            </m:r>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e>
        </m:rad>
      </m:oMath>
      <w:r>
        <w:rPr>
          <w:color w:val="1F4E9E"/>
        </w:rPr>
        <w:t xml:space="preserve"> and </w:t>
      </w:r>
      <m:oMath>
        <m:r>
          <w:rPr>
            <w:rFonts w:ascii="Cambria Math" w:hAnsi="Cambria Math"/>
            <w:color w:val="1F4E9E"/>
          </w:rPr>
          <m:t xml:space="preserve">a</m:t>
        </m:r>
        <m:d>
          <m:dPr>
            <m:begChr m:val="("/>
            <m:endChr m:val=")"/>
            <m:ctrlPr/>
          </m:dPr>
          <m:e>
            <m:r>
              <w:rPr>
                <w:rFonts w:ascii="Cambria Math" w:hAnsi="Cambria Math"/>
                <w:color w:val="1F4E9E"/>
              </w:rPr>
              <m:t xml:space="preserve">τ</m:t>
            </m:r>
          </m:e>
        </m:d>
        <m:r>
          <m:rPr>
            <m:nor/>
          </m:rPr>
          <w:rPr>
            <w:rFonts w:ascii="Cambria Math" w:hAnsi="Cambria Math"/>
            <w:color w:val="1F4E9E"/>
          </w:rPr>
          <m:t xml:space="preserve">=</m:t>
        </m:r>
        <m:r>
          <w:rPr>
            <w:rFonts w:ascii="Cambria Math" w:hAnsi="Cambria Math"/>
            <w:color w:val="1F4E9E"/>
          </w:rPr>
          <m:t xml:space="preserve">d</m:t>
        </m:r>
        <m:r>
          <m:rPr>
            <m:nor/>
          </m:rPr>
          <w:rPr>
            <w:rFonts w:ascii="Cambria Math" w:hAnsi="Cambria Math"/>
            <w:color w:val="1F4E9E"/>
          </w:rPr>
          <m:t xml:space="preserve">/</m:t>
        </m:r>
        <m:rad>
          <m:radPr>
            <m:degHide m:val="1"/>
            <m:ctrlPr/>
          </m:radPr>
          <m:deg/>
          <m:e>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e>
        </m:rad>
      </m:oMath>
      <w:r>
        <w:rPr>
          <w:color w:val="1F4E9E"/>
        </w:rPr>
        <w:t xml:space="preserve"> with </w:t>
      </w:r>
      <m:oMath>
        <m:r>
          <w:rPr>
            <w:rFonts w:ascii="Cambria Math" w:hAnsi="Cambria Math"/>
            <w:color w:val="1F4E9E"/>
          </w:rPr>
          <m:t xml:space="preserve">d</m:t>
        </m:r>
      </m:oMath>
      <w:r>
        <w:rPr>
          <w:color w:val="1F4E9E"/>
        </w:rPr>
        <w:t xml:space="preserve"> constant, </w:t>
      </w:r>
      <m:oMath>
        <m:r>
          <m:rPr>
            <m:nor/>
          </m:rPr>
          <w:rPr>
            <w:rFonts w:ascii="Cambria Math" w:hAnsi="Cambria Math"/>
            <w:color w:val="1F4E9E"/>
          </w:rPr>
          <m:t xml:space="preserve">ln</m:t>
        </m:r>
        <m:r>
          <w:rPr>
            <w:rFonts w:ascii="Cambria Math" w:hAnsi="Cambria Math"/>
            <w:color w:val="1F4E9E"/>
          </w:rPr>
          <m:t xml:space="preserve">ν</m:t>
        </m:r>
        <m:r>
          <m:rPr>
            <m:nor/>
          </m:rPr>
          <w:rPr>
            <w:rFonts w:ascii="Cambria Math" w:hAnsi="Cambria Math"/>
            <w:color w:val="1F4E9E"/>
          </w:rPr>
          <m:t xml:space="preserve">=</m:t>
        </m:r>
        <m:r>
          <m:rPr>
            <m:nor/>
          </m:rPr>
          <w:rPr>
            <w:rFonts w:ascii="Cambria Math" w:hAnsi="Cambria Math"/>
            <w:color w:val="1F4E9E"/>
          </w:rPr>
          <m:t xml:space="preserve">ln</m:t>
        </m:r>
        <m:d>
          <m:dPr>
            <m:begChr m:val="["/>
            <m:endChr m:val="]"/>
            <m:ctrlPr/>
          </m:dPr>
          <m:e>
            <m:r>
              <w:rPr>
                <w:rFonts w:ascii="Cambria Math" w:hAnsi="Cambria Math"/>
                <w:color w:val="1F4E9E"/>
              </w:rPr>
              <m:t xml:space="preserve">ω</m:t>
            </m:r>
            <m:d>
              <m:dPr>
                <m:begChr m:val="("/>
                <m:endChr m:val=")"/>
                <m:ctrlPr/>
              </m:dPr>
              <m:e>
                <m:r>
                  <w:rPr>
                    <w:rFonts w:ascii="Cambria Math" w:hAnsi="Cambria Math"/>
                    <w:color w:val="1F4E9E"/>
                  </w:rPr>
                  <m:t xml:space="preserve">τ</m:t>
                </m:r>
              </m:e>
            </m:d>
            <m:r>
              <m:rPr>
                <m:nor/>
              </m:rPr>
              <w:rPr>
                <w:rFonts w:ascii="Cambria Math" w:hAnsi="Cambria Math"/>
                <w:color w:val="1F4E9E"/>
              </w:rPr>
              <m:t xml:space="preserve">/</m:t>
            </m:r>
            <m:r>
              <m:rPr>
                <m:nor/>
              </m:rPr>
              <w:rPr>
                <w:rFonts w:ascii="Cambria Math" w:hAnsi="Cambria Math"/>
                <w:color w:val="1F4E9E"/>
              </w:rPr>
              <m:t xml:space="preserve">2</m:t>
            </m:r>
            <m:r>
              <w:rPr>
                <w:rFonts w:ascii="Cambria Math" w:hAnsi="Cambria Math"/>
                <w:color w:val="1F4E9E"/>
              </w:rPr>
              <m:t xml:space="preserve">π</m:t>
            </m:r>
          </m:e>
        </m:d>
        <m:r>
          <m:rPr>
            <m:nor/>
          </m:rPr>
          <w:rPr>
            <w:rFonts w:ascii="Cambria Math" w:hAnsi="Cambria Math"/>
            <w:color w:val="1F4E9E"/>
          </w:rPr>
          <m:t xml:space="preserve">-</m:t>
        </m:r>
        <m:r>
          <w:rPr>
            <w:rFonts w:ascii="Cambria Math" w:hAnsi="Cambria Math"/>
            <w:color w:val="1F4E9E"/>
          </w:rPr>
          <m:t xml:space="preserve">a</m:t>
        </m:r>
        <m:sSup>
          <m:sSupPr>
            <m:ctrlPr/>
          </m:sSupPr>
          <m:e>
            <m:d>
              <m:dPr>
                <m:begChr m:val="("/>
                <m:endChr m:val=")"/>
                <m:ctrlPr/>
              </m:dPr>
              <m:e>
                <m:r>
                  <w:rPr>
                    <w:rFonts w:ascii="Cambria Math" w:hAnsi="Cambria Math"/>
                    <w:color w:val="1F4E9E"/>
                  </w:rPr>
                  <m:t xml:space="preserve">τ</m:t>
                </m:r>
              </m:e>
            </m:d>
          </m:e>
          <m:sup>
            <m:r>
              <m:rPr>
                <m:nor/>
              </m:rPr>
              <w:rPr>
                <w:rFonts w:ascii="Cambria Math" w:hAnsi="Cambria Math"/>
                <w:color w:val="1F4E9E"/>
              </w:rPr>
              <m:t xml:space="preserve">2</m:t>
            </m:r>
          </m:sup>
        </m:sSup>
        <m:r>
          <m:rPr>
            <m:nor/>
          </m:rPr>
          <w:rPr>
            <w:rFonts w:ascii="Cambria Math" w:hAnsi="Cambria Math"/>
            <w:color w:val="1F4E9E"/>
          </w:rPr>
          <m:t xml:space="preserve">/</m:t>
        </m:r>
        <m:r>
          <m:rPr>
            <m:nor/>
          </m:rPr>
          <w:rPr>
            <w:rFonts w:ascii="Cambria Math" w:hAnsi="Cambria Math"/>
            <w:color w:val="1F4E9E"/>
          </w:rPr>
          <m:t xml:space="preserve">2</m:t>
        </m:r>
      </m:oMath>
      <w:r>
        <w:rPr>
          <w:color w:val="1F4E9E"/>
        </w:rPr>
        <w:t xml:space="preserve"> and</w:t>
      </w:r>
    </w:p>
    <w:p w14:paraId="73212C5D" w14:textId="77777777" w:rsidR="00205CBC" w:rsidRDefault="00000000">
      <m:oMathPara>
        <m:oMath>
          <m:eqArr>
            <m:eqArrPr>
              <m:maxDist m:val="1"/>
              <m:ctrlPr/>
            </m:eqArrPr>
            <m:e>
              <m:f>
                <m:fPr>
                  <m:ctrlPr/>
                </m:fPr>
                <m:num>
                  <m:r>
                    <m:rPr>
                      <m:nor/>
                    </m:rPr>
                    <w:rPr>
                      <w:rFonts w:ascii="Cambria Math" w:hAnsi="Cambria Math"/>
                      <w:color w:val="1F4E9E"/>
                    </w:rPr>
                    <m:t xml:space="preserve">d</m:t>
                  </m:r>
                  <m:d>
                    <m:dPr>
                      <m:begChr m:val="("/>
                      <m:endChr m:val=")"/>
                      <m:ctrlPr/>
                    </m:dPr>
                    <m:e>
                      <m:r>
                        <m:rPr>
                          <m:nor/>
                        </m:rPr>
                        <w:rPr>
                          <w:rFonts w:ascii="Cambria Math" w:hAnsi="Cambria Math"/>
                          <w:color w:val="1F4E9E"/>
                        </w:rPr>
                        <m:t xml:space="preserve">ln</m:t>
                      </m:r>
                      <m:r>
                        <w:rPr>
                          <w:rFonts w:ascii="Cambria Math" w:hAnsi="Cambria Math"/>
                          <w:color w:val="1F4E9E"/>
                        </w:rPr>
                        <m:t xml:space="preserve">ν</m:t>
                      </m:r>
                    </m:e>
                  </m:d>
                </m:num>
                <m:den>
                  <m:r>
                    <m:rPr>
                      <m:nor/>
                    </m:rPr>
                    <w:rPr>
                      <w:rFonts w:ascii="Cambria Math" w:hAnsi="Cambria Math"/>
                      <w:color w:val="1F4E9E"/>
                    </w:rPr>
                    <m:t xml:space="preserve">d</m:t>
                  </m:r>
                  <m:r>
                    <w:rPr>
                      <w:rFonts w:ascii="Cambria Math" w:hAnsi="Cambria Math"/>
                      <w:color w:val="1F4E9E"/>
                    </w:rPr>
                    <m:t xml:space="preserve">τ</m:t>
                  </m:r>
                </m:den>
              </m:f>
              <m:r>
                <m:rPr>
                  <m:nor/>
                </m:rPr>
                <w:rPr>
                  <w:rFonts w:ascii="Cambria Math" w:hAnsi="Cambria Math"/>
                  <w:color w:val="1F4E9E"/>
                </w:rPr>
                <m:t xml:space="preserve">=</m:t>
              </m:r>
              <m:f>
                <m:fPr>
                  <m:ctrlPr/>
                </m:fPr>
                <m:num>
                  <m:r>
                    <m:rPr>
                      <m:nor/>
                    </m:rPr>
                    <w:rPr>
                      <w:rFonts w:ascii="Cambria Math" w:hAnsi="Cambria Math"/>
                      <w:color w:val="1F4E9E"/>
                    </w:rPr>
                    <m:t xml:space="preserve">1</m:t>
                  </m:r>
                </m:num>
                <m:den>
                  <m:r>
                    <m:rPr>
                      <m:nor/>
                    </m:rPr>
                    <w:rPr>
                      <w:rFonts w:ascii="Cambria Math" w:hAnsi="Cambria Math"/>
                      <w:color w:val="1F4E9E"/>
                    </w:rPr>
                    <m:t xml:space="preserve">2</m:t>
                  </m:r>
                </m:den>
              </m:f>
              <m:d>
                <m:dPr>
                  <m:begChr m:val="["/>
                  <m:endChr m:val="]"/>
                  <m:ctrlPr/>
                </m:dPr>
                <m:e>
                  <m:f>
                    <m:fPr>
                      <m:ctrlPr/>
                    </m:fPr>
                    <m:num>
                      <m:sSup>
                        <m:sSupPr>
                          <m:ctrlPr/>
                        </m:sSupPr>
                        <m:e>
                          <m:d>
                            <m:dPr>
                              <m:begChr m:val="("/>
                              <m:endChr m:val=")"/>
                              <m:ctrlPr/>
                            </m:dPr>
                            <m:e>
                              <m:r>
                                <m:rPr>
                                  <m:nor/>
                                </m:rPr>
                                <w:rPr>
                                  <w:rFonts w:ascii="Cambria Math" w:hAnsi="Cambria Math"/>
                                  <w:color w:val="1F4E9E"/>
                                </w:rPr>
                                <m:t xml:space="preserve">Var</m:t>
                              </m:r>
                              <m:r>
                                <m:rPr>
                                  <m:nor/>
                                </m:rPr>
                                <w:rPr>
                                  <w:rFonts w:ascii="Cambria Math" w:hAnsi="Cambria Math"/>
                                  <w:color w:val="1F4E9E"/>
                                </w:rPr>
                                <m:t xml:space="preserve"> </m:t>
                              </m:r>
                              <m:acc>
                                <m:accPr>
                                  <m:chr m:val="̇"/>
                                  <m:ctrlPr/>
                                </m:accPr>
                                <m:e>
                                  <m:r>
                                    <w:rPr>
                                      <w:rFonts w:ascii="Cambria Math" w:hAnsi="Cambria Math"/>
                                      <w:color w:val="1F4E9E"/>
                                    </w:rPr>
                                    <m:t xml:space="preserve">H</m:t>
                                  </m:r>
                                </m:e>
                              </m:acc>
                            </m:e>
                          </m:d>
                        </m:e>
                        <m:sup>
                          <m:r>
                            <m:rPr>
                              <m:nor/>
                            </m:rPr>
                            <w:rPr>
                              <w:rFonts w:ascii="Cambria Math" w:hAnsi="Cambria Math"/>
                              <w:color w:val="1F4E9E"/>
                            </w:rPr>
                            <m:t xml:space="preserve">′</m:t>
                          </m:r>
                        </m:sup>
                      </m:sSup>
                    </m:num>
                    <m:den>
                      <m:r>
                        <m:rPr>
                          <m:nor/>
                        </m:rPr>
                        <w:rPr>
                          <w:rFonts w:ascii="Cambria Math" w:hAnsi="Cambria Math"/>
                          <w:color w:val="1F4E9E"/>
                        </w:rPr>
                        <m:t xml:space="preserve">Var</m:t>
                      </m:r>
                      <m:r>
                        <m:rPr>
                          <m:nor/>
                        </m:rPr>
                        <w:rPr>
                          <w:rFonts w:ascii="Cambria Math" w:hAnsi="Cambria Math"/>
                          <w:color w:val="1F4E9E"/>
                        </w:rPr>
                        <m:t xml:space="preserve"> </m:t>
                      </m:r>
                      <m:acc>
                        <m:accPr>
                          <m:chr m:val="̇"/>
                          <m:ctrlPr/>
                        </m:accPr>
                        <m:e>
                          <m:r>
                            <w:rPr>
                              <w:rFonts w:ascii="Cambria Math" w:hAnsi="Cambria Math"/>
                              <w:color w:val="1F4E9E"/>
                            </w:rPr>
                            <m:t xml:space="preserve">H</m:t>
                          </m:r>
                        </m:e>
                      </m:acc>
                    </m:den>
                  </m:f>
                  <m:r>
                    <m:rPr>
                      <m:nor/>
                    </m:rPr>
                    <w:rPr>
                      <w:rFonts w:ascii="Cambria Math" w:hAnsi="Cambria Math"/>
                      <w:color w:val="1F4E9E"/>
                    </w:rPr>
                    <m:t xml:space="preserve">-</m:t>
                  </m:r>
                  <m:f>
                    <m:fPr>
                      <m:ctrlPr/>
                    </m:fPr>
                    <m:num>
                      <m:sSup>
                        <m:sSupPr>
                          <m:ctrlPr/>
                        </m:sSupPr>
                        <m:e>
                          <m:d>
                            <m:dPr>
                              <m:begChr m:val="("/>
                              <m:endChr m:val=")"/>
                              <m:ctrlPr/>
                            </m:dPr>
                            <m:e>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e>
                          </m:d>
                        </m:e>
                        <m:sup>
                          <m:r>
                            <m:rPr>
                              <m:nor/>
                            </m:rPr>
                            <w:rPr>
                              <w:rFonts w:ascii="Cambria Math" w:hAnsi="Cambria Math"/>
                              <w:color w:val="1F4E9E"/>
                            </w:rPr>
                            <m:t xml:space="preserve">′</m:t>
                          </m:r>
                        </m:sup>
                      </m:sSup>
                    </m:num>
                    <m:den>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den>
                  </m:f>
                </m:e>
              </m:d>
              <m:r>
                <m:rPr>
                  <m:nor/>
                </m:rPr>
                <w:rPr>
                  <w:rFonts w:ascii="Cambria Math" w:hAnsi="Cambria Math"/>
                  <w:color w:val="1F4E9E"/>
                </w:rPr>
                <m:t xml:space="preserve">+</m:t>
              </m:r>
              <m:f>
                <m:fPr>
                  <m:ctrlPr/>
                </m:fPr>
                <m:num>
                  <m:sSup>
                    <m:sSupPr>
                      <m:ctrlPr/>
                    </m:sSupPr>
                    <m:e>
                      <m:r>
                        <w:rPr>
                          <w:rFonts w:ascii="Cambria Math" w:hAnsi="Cambria Math"/>
                          <w:color w:val="1F4E9E"/>
                        </w:rPr>
                        <m:t xml:space="preserve">a</m:t>
                      </m:r>
                    </m:e>
                    <m:sup>
                      <m:r>
                        <m:rPr>
                          <m:nor/>
                        </m:rPr>
                        <w:rPr>
                          <w:rFonts w:ascii="Cambria Math" w:hAnsi="Cambria Math"/>
                          <w:color w:val="1F4E9E"/>
                        </w:rPr>
                        <m:t xml:space="preserve">2</m:t>
                      </m:r>
                    </m:sup>
                  </m:sSup>
                </m:num>
                <m:den>
                  <m:r>
                    <m:rPr>
                      <m:nor/>
                    </m:rPr>
                    <w:rPr>
                      <w:rFonts w:ascii="Cambria Math" w:hAnsi="Cambria Math"/>
                      <w:color w:val="1F4E9E"/>
                    </w:rPr>
                    <m:t xml:space="preserve">2</m:t>
                  </m:r>
                </m:den>
              </m:f>
              <m:f>
                <m:fPr>
                  <m:ctrlPr/>
                </m:fPr>
                <m:num>
                  <m:sSup>
                    <m:sSupPr>
                      <m:ctrlPr/>
                    </m:sSupPr>
                    <m:e>
                      <m:d>
                        <m:dPr>
                          <m:begChr m:val="("/>
                          <m:endChr m:val=")"/>
                          <m:ctrlPr/>
                        </m:dPr>
                        <m:e>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e>
                      </m:d>
                    </m:e>
                    <m:sup>
                      <m:r>
                        <m:rPr>
                          <m:nor/>
                        </m:rPr>
                        <w:rPr>
                          <w:rFonts w:ascii="Cambria Math" w:hAnsi="Cambria Math"/>
                          <w:color w:val="1F4E9E"/>
                        </w:rPr>
                        <m:t xml:space="preserve">′</m:t>
                      </m:r>
                    </m:sup>
                  </m:sSup>
                </m:num>
                <m:den>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den>
              </m:f>
              <m:r>
                <w:rPr>
                  <w:rFonts w:ascii="Cambria Math" w:hAnsi="Cambria Math"/>
                  <w:color w:val="1F4E9E"/>
                </w:rPr>
                <m:t xml:space="preserve">#</m:t>
              </m:r>
              <m:d>
                <m:dPr>
                  <m:begChr m:val="("/>
                  <m:endChr m:val=")"/>
                  <m:ctrlPr/>
                </m:dPr>
                <m:e>
                  <m:r>
                    <m:rPr>
                      <m:nor/>
                    </m:rPr>
                    <w:rPr>
                      <w:rFonts w:ascii="Cambria Math" w:hAnsi="Cambria Math"/>
                      <w:color w:val="1F4E9E"/>
                    </w:rPr>
                    <m:t xml:space="preserve">2</m:t>
                  </m:r>
                  <m:r>
                    <m:rPr>
                      <m:nor/>
                    </m:rPr>
                    <w:rPr>
                      <w:rFonts w:ascii="Cambria Math" w:hAnsi="Cambria Math"/>
                      <w:color w:val="1F4E9E"/>
                    </w:rPr>
                    <m:t xml:space="preserve">6</m:t>
                  </m:r>
                </m:e>
              </m:d>
            </m:e>
          </m:eqArr>
        </m:oMath>
      </m:oMathPara>
    </w:p>
    <w:p w14:paraId="73212C5D" w14:textId="77777777" w:rsidR="00205CBC" w:rsidRDefault="00000000">
      <w:r>
        <w:rPr>
          <w:color w:val="1F4E9E"/>
        </w:rPr>
        <w:t xml:space="preserve">The second term is positive — the variance is still filling in — and is what produces the ramp. The first is negative throughout the analyzed window, and by a margin that can be read off (15) and (16): both variances carry both modes, but the slow mode enters </w:t>
      </w:r>
      <m:oMath>
        <m:r>
          <m:rPr>
            <m:nor/>
          </m:rPr>
          <w:rPr>
            <w:rFonts w:ascii="Cambria Math" w:hAnsi="Cambria Math"/>
            <w:color w:val="1F4E9E"/>
          </w:rPr>
          <m:t xml:space="preserve">Var</m:t>
        </m:r>
        <m:r>
          <m:rPr>
            <m:nor/>
          </m:rPr>
          <w:rPr>
            <w:rFonts w:ascii="Cambria Math" w:hAnsi="Cambria Math"/>
            <w:color w:val="1F4E9E"/>
          </w:rPr>
          <m:t xml:space="preserve"> </m:t>
        </m:r>
        <m:acc>
          <m:accPr>
            <m:chr m:val="̇"/>
            <m:ctrlPr/>
          </m:accPr>
          <m:e>
            <m:r>
              <w:rPr>
                <w:rFonts w:ascii="Cambria Math" w:hAnsi="Cambria Math"/>
                <w:color w:val="1F4E9E"/>
              </w:rPr>
              <m:t xml:space="preserve">H</m:t>
            </m:r>
          </m:e>
        </m:acc>
      </m:oMath>
      <w:r>
        <w:rPr>
          <w:color w:val="1F4E9E"/>
        </w:rPr>
        <w:t xml:space="preserve"> with relative weight </w:t>
      </w:r>
      <m:oMath>
        <m:r>
          <w:rPr>
            <w:rFonts w:ascii="Cambria Math" w:hAnsi="Cambria Math"/>
            <w:color w:val="1F4E9E"/>
          </w:rPr>
          <m:t xml:space="preserve">κ</m:t>
        </m:r>
        <m:r>
          <m:rPr>
            <m:nor/>
          </m:rPr>
          <w:rPr>
            <w:rFonts w:ascii="Cambria Math" w:hAnsi="Cambria Math"/>
            <w:color w:val="1F4E9E"/>
          </w:rPr>
          <m:t xml:space="preserve">/</m:t>
        </m:r>
        <m:d>
          <m:dPr>
            <m:begChr m:val="("/>
            <m:endChr m:val=")"/>
            <m:ctrlPr/>
          </m:dPr>
          <m:e>
            <m:r>
              <w:rPr>
                <w:rFonts w:ascii="Cambria Math" w:hAnsi="Cambria Math"/>
                <w:color w:val="1F4E9E"/>
              </w:rPr>
              <m:t xml:space="preserve">λ</m:t>
            </m:r>
            <m:r>
              <m:rPr>
                <m:nor/>
              </m:rPr>
              <w:rPr>
                <w:rFonts w:ascii="Cambria Math" w:hAnsi="Cambria Math"/>
                <w:color w:val="1F4E9E"/>
              </w:rPr>
              <m:t xml:space="preserve">+</m:t>
            </m:r>
            <m:r>
              <w:rPr>
                <w:rFonts w:ascii="Cambria Math" w:hAnsi="Cambria Math"/>
                <w:color w:val="1F4E9E"/>
              </w:rPr>
              <m:t xml:space="preserve">κ</m:t>
            </m:r>
          </m:e>
        </m:d>
      </m:oMath>
      <w:r>
        <w:rPr>
          <w:color w:val="1F4E9E"/>
        </w:rPr>
        <w:t xml:space="preserve"> and </w:t>
      </w:r>
      <m:oMath>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oMath>
      <w:r>
        <w:rPr>
          <w:color w:val="1F4E9E"/>
        </w:rPr>
        <w:t xml:space="preserve"> with relative weight of order one, so once the fast mode has died the first bracket is smaller than the second by about </w:t>
      </w:r>
      <m:oMath>
        <m:r>
          <w:rPr>
            <w:rFonts w:ascii="Cambria Math" w:hAnsi="Cambria Math"/>
            <w:color w:val="1F4E9E"/>
          </w:rPr>
          <m:t xml:space="preserve">κ</m:t>
        </m:r>
        <m:r>
          <m:rPr>
            <m:nor/>
          </m:rPr>
          <w:rPr>
            <w:rFonts w:ascii="Cambria Math" w:hAnsi="Cambria Math"/>
            <w:color w:val="1F4E9E"/>
          </w:rPr>
          <m:t xml:space="preserve">/</m:t>
        </m:r>
        <m:r>
          <w:rPr>
            <w:rFonts w:ascii="Cambria Math" w:hAnsi="Cambria Math"/>
            <w:color w:val="1F4E9E"/>
          </w:rPr>
          <m:t xml:space="preserve">λ</m:t>
        </m:r>
      </m:oMath>
      <w:r>
        <w:rPr>
          <w:color w:val="1F4E9E"/>
        </w:rPr>
        <w:t xml:space="preserve">. Two consequences follow. At </w:t>
      </w:r>
      <m:oMath>
        <m:r>
          <w:rPr>
            <w:rFonts w:ascii="Cambria Math" w:hAnsi="Cambria Math"/>
            <w:color w:val="1F4E9E"/>
          </w:rPr>
          <m:t xml:space="preserve">a</m:t>
        </m:r>
        <m:r>
          <m:rPr>
            <m:nor/>
          </m:rPr>
          <w:rPr>
            <w:rFonts w:ascii="Cambria Math" w:hAnsi="Cambria Math"/>
            <w:color w:val="1F4E9E"/>
          </w:rPr>
          <m:t xml:space="preserve">=</m:t>
        </m:r>
        <m:r>
          <m:rPr>
            <m:nor/>
          </m:rPr>
          <w:rPr>
            <w:rFonts w:ascii="Cambria Math" w:hAnsi="Cambria Math"/>
            <w:color w:val="1F4E9E"/>
          </w:rPr>
          <m:t xml:space="preserve">0</m:t>
        </m:r>
      </m:oMath>
      <w:r>
        <w:rPr>
          <w:color w:val="1F4E9E"/>
        </w:rPr>
        <w:t xml:space="preserve"> — where the ceiling of A.1 is attained — the slope is strictly negative: the configuration that maximizes Model 1’s delay-period rate is one in which that rate declines, so the ceiling is not the binding constraint. And a positive slope requires </w:t>
      </w:r>
      <m:oMath>
        <m:r>
          <w:rPr>
            <w:rFonts w:ascii="Cambria Math" w:hAnsi="Cambria Math"/>
            <w:color w:val="1F4E9E"/>
          </w:rPr>
          <m:t xml:space="preserve">a</m:t>
        </m:r>
        <m:r>
          <m:rPr>
            <m:nor/>
          </m:rPr>
          <w:rPr>
            <w:rFonts w:ascii="Cambria Math" w:hAnsi="Cambria Math"/>
            <w:color w:val="1F4E9E"/>
          </w:rPr>
          <m:t xml:space="preserve">&gt;</m:t>
        </m:r>
        <m:r>
          <m:rPr>
            <m:nor/>
          </m:rPr>
          <w:rPr>
            <w:rFonts w:ascii="Cambria Math" w:hAnsi="Cambria Math"/>
            <w:color w:val="1F4E9E"/>
          </w:rPr>
          <m:t xml:space="preserve">1</m:t>
        </m:r>
      </m:oMath>
      <w:r>
        <w:rPr>
          <w:color w:val="1F4E9E"/>
        </w:rPr>
        <w:t xml:space="preserve"> to good approximation, while by (23) every further unit of standardized distance costs a factor </w:t>
      </w:r>
      <m:oMath>
        <m:sSup>
          <m:sSupPr>
            <m:ctrlPr/>
          </m:sSupPr>
          <m:e>
            <m:r>
              <w:rPr>
                <w:rFonts w:ascii="Cambria Math" w:hAnsi="Cambria Math"/>
                <w:color w:val="1F4E9E"/>
              </w:rPr>
              <m:t xml:space="preserve">e</m:t>
            </m:r>
          </m:e>
          <m:sup>
            <m:r>
              <m:rPr>
                <m:nor/>
              </m:rPr>
              <w:rPr>
                <w:rFonts w:ascii="Cambria Math" w:hAnsi="Cambria Math"/>
                <w:color w:val="1F4E9E"/>
              </w:rPr>
              <m:t xml:space="preserve">-</m:t>
            </m:r>
            <m:sSup>
              <m:sSupPr>
                <m:ctrlPr/>
              </m:sSupPr>
              <m:e>
                <m:r>
                  <w:rPr>
                    <w:rFonts w:ascii="Cambria Math" w:hAnsi="Cambria Math"/>
                    <w:color w:val="1F4E9E"/>
                  </w:rPr>
                  <m:t xml:space="preserve">a</m:t>
                </m:r>
              </m:e>
              <m:sup>
                <m:r>
                  <m:rPr>
                    <m:nor/>
                  </m:rPr>
                  <w:rPr>
                    <w:rFonts w:ascii="Cambria Math" w:hAnsi="Cambria Math"/>
                    <w:color w:val="1F4E9E"/>
                  </w:rPr>
                  <m:t xml:space="preserve">2</m:t>
                </m:r>
              </m:sup>
            </m:sSup>
            <m:r>
              <m:rPr>
                <m:nor/>
              </m:rPr>
              <w:rPr>
                <w:rFonts w:ascii="Cambria Math" w:hAnsi="Cambria Math"/>
                <w:color w:val="1F4E9E"/>
              </w:rPr>
              <m:t xml:space="preserve">/</m:t>
            </m:r>
            <m:r>
              <m:rPr>
                <m:nor/>
              </m:rPr>
              <w:rPr>
                <w:rFonts w:ascii="Cambria Math" w:hAnsi="Cambria Math"/>
                <w:color w:val="1F4E9E"/>
              </w:rPr>
              <m:t xml:space="preserve">2</m:t>
            </m:r>
          </m:sup>
        </m:sSup>
      </m:oMath>
      <w:r>
        <w:rPr>
          <w:color w:val="1F4E9E"/>
        </w:rPr>
        <w:t xml:space="preserve"> in the rate. Ramp and rate are governed by the same quantity in opposite directions. The covariance term dropped above is non-negative, so it raises the rate at every distance without changing which distances give a rising one, and it is retained in the numerical evaluation. Where </w:t>
      </w:r>
      <m:oMath>
        <m:r>
          <w:rPr>
            <w:rFonts w:ascii="Cambria Math" w:hAnsi="Cambria Math"/>
            <w:color w:val="1F4E9E"/>
          </w:rPr>
          <m:t xml:space="preserve">κ</m:t>
        </m:r>
        <m:r>
          <m:rPr>
            <m:nor/>
          </m:rPr>
          <w:rPr>
            <w:rFonts w:ascii="Cambria Math" w:hAnsi="Cambria Math"/>
            <w:color w:val="1F4E9E"/>
          </w:rPr>
          <m:t xml:space="preserve">=</m:t>
        </m:r>
        <m:r>
          <w:rPr>
            <w:rFonts w:ascii="Cambria Math" w:hAnsi="Cambria Math"/>
            <w:color w:val="1F4E9E"/>
          </w:rPr>
          <m:t xml:space="preserve">λ</m:t>
        </m:r>
      </m:oMath>
      <w:r>
        <w:rPr>
          <w:color w:val="1F4E9E"/>
        </w:rPr>
        <w:t xml:space="preserve"> the margin argued above is absent, both terms being of the same order; but there the fluctuation is stationary long before the window opens, both terms are negligible, and the slope is flat. ∎</w:t>
      </w:r>
    </w:p>
    <w:p w14:paraId="73212C5D" w14:textId="77777777" w:rsidR="00205CBC" w:rsidRDefault="00000000">
      <w:r>
        <w:rPr>
          <w:color w:val="1F4E9E"/>
        </w:rPr>
        <w:t xml:space="preserve">Remark A.6 (the same trade-off for Model 2). Temporal preparation moves the barrier: with </w:t>
      </w:r>
      <m:oMath>
        <m:r>
          <w:rPr>
            <w:rFonts w:ascii="Cambria Math" w:hAnsi="Cambria Math"/>
            <w:color w:val="1F4E9E"/>
          </w:rPr>
          <m:t xml:space="preserve">d</m:t>
        </m:r>
        <m:d>
          <m:dPr>
            <m:begChr m:val="("/>
            <m:endChr m:val=")"/>
            <m:ctrlPr/>
          </m:dPr>
          <m:e>
            <m:r>
              <w:rPr>
                <w:rFonts w:ascii="Cambria Math" w:hAnsi="Cambria Math"/>
                <w:color w:val="1F4E9E"/>
              </w:rPr>
              <m:t xml:space="preserve">τ</m:t>
            </m:r>
          </m:e>
        </m:d>
      </m:oMath>
      <w:r>
        <w:rPr>
          <w:color w:val="1F4E9E"/>
        </w:rPr>
        <w:t xml:space="preserve"> falling at the constant speed </w:t>
      </w:r>
      <m:oMath>
        <m:r>
          <w:rPr>
            <w:rFonts w:ascii="Cambria Math" w:hAnsi="Cambria Math"/>
            <w:color w:val="1F4E9E"/>
          </w:rPr>
          <m:t xml:space="preserve">β</m:t>
        </m:r>
        <m:r>
          <m:rPr>
            <m:nor/>
          </m:rPr>
          <w:rPr>
            <w:rFonts w:ascii="Cambria Math" w:hAnsi="Cambria Math"/>
            <w:color w:val="1F4E9E"/>
          </w:rPr>
          <m:t xml:space="preserve">/</m:t>
        </m:r>
        <m:r>
          <w:rPr>
            <w:rFonts w:ascii="Cambria Math" w:hAnsi="Cambria Math"/>
            <w:color w:val="1F4E9E"/>
          </w:rPr>
          <m:t xml:space="preserve">δ</m:t>
        </m:r>
      </m:oMath>
      <w:r>
        <w:rPr>
          <w:color w:val="1F4E9E"/>
        </w:rPr>
        <w:t xml:space="preserve"> by (12), the Kac–Rice formula (19) is unchanged except that the relevant derivative is </w:t>
      </w:r>
      <m:oMath>
        <m:acc>
          <m:accPr>
            <m:chr m:val="̇"/>
            <m:ctrlPr/>
          </m:accPr>
          <m:e>
            <m:r>
              <w:rPr>
                <w:rFonts w:ascii="Cambria Math" w:hAnsi="Cambria Math"/>
                <w:color w:val="1F4E9E"/>
              </w:rPr>
              <m:t xml:space="preserve">H</m:t>
            </m:r>
          </m:e>
        </m:acc>
        <m:r>
          <m:rPr>
            <m:nor/>
          </m:rPr>
          <w:rPr>
            <w:rFonts w:ascii="Cambria Math" w:hAnsi="Cambria Math"/>
            <w:color w:val="1F4E9E"/>
          </w:rPr>
          <m:t xml:space="preserve">-</m:t>
        </m:r>
        <m:acc>
          <m:accPr>
            <m:chr m:val="̇"/>
            <m:ctrlPr/>
          </m:accPr>
          <m:e>
            <m:r>
              <w:rPr>
                <w:rFonts w:ascii="Cambria Math" w:hAnsi="Cambria Math"/>
                <w:color w:val="1F4E9E"/>
              </w:rPr>
              <m:t xml:space="preserve">d</m:t>
            </m:r>
          </m:e>
        </m:acc>
        <m:r>
          <m:rPr>
            <m:nor/>
          </m:rPr>
          <w:rPr>
            <w:rFonts w:ascii="Cambria Math" w:hAnsi="Cambria Math"/>
            <w:color w:val="1F4E9E"/>
          </w:rPr>
          <m:t xml:space="preserve">=</m:t>
        </m:r>
        <m:acc>
          <m:accPr>
            <m:chr m:val="̇"/>
            <m:ctrlPr/>
          </m:accPr>
          <m:e>
            <m:r>
              <w:rPr>
                <w:rFonts w:ascii="Cambria Math" w:hAnsi="Cambria Math"/>
                <w:color w:val="1F4E9E"/>
              </w:rPr>
              <m:t xml:space="preserve">H</m:t>
            </m:r>
          </m:e>
        </m:acc>
        <m:r>
          <m:rPr>
            <m:nor/>
          </m:rPr>
          <w:rPr>
            <w:rFonts w:ascii="Cambria Math" w:hAnsi="Cambria Math"/>
            <w:color w:val="1F4E9E"/>
          </w:rPr>
          <m:t xml:space="preserve">+</m:t>
        </m:r>
        <m:r>
          <w:rPr>
            <w:rFonts w:ascii="Cambria Math" w:hAnsi="Cambria Math"/>
            <w:color w:val="1F4E9E"/>
          </w:rPr>
          <m:t xml:space="preserve">β</m:t>
        </m:r>
        <m:r>
          <m:rPr>
            <m:nor/>
          </m:rPr>
          <w:rPr>
            <w:rFonts w:ascii="Cambria Math" w:hAnsi="Cambria Math"/>
            <w:color w:val="1F4E9E"/>
          </w:rPr>
          <m:t xml:space="preserve">/</m:t>
        </m:r>
        <m:r>
          <w:rPr>
            <w:rFonts w:ascii="Cambria Math" w:hAnsi="Cambria Math"/>
            <w:color w:val="1F4E9E"/>
          </w:rPr>
          <m:t xml:space="preserve">δ</m:t>
        </m:r>
      </m:oMath>
      <w:r>
        <w:rPr>
          <w:color w:val="1F4E9E"/>
        </w:rPr>
        <w:t xml:space="preserve">, which shifts the conditional mean </w:t>
      </w:r>
      <m:oMath>
        <m:r>
          <w:rPr>
            <w:rFonts w:ascii="Cambria Math" w:hAnsi="Cambria Math"/>
            <w:color w:val="1F4E9E"/>
          </w:rPr>
          <m:t xml:space="preserve">M</m:t>
        </m:r>
      </m:oMath>
      <w:r>
        <w:rPr>
          <w:color w:val="1F4E9E"/>
        </w:rPr>
        <w:t xml:space="preserve"> of (20) and leaves the density at the barrier alone. The same computation therefore gives Model 2’s attainable region, with one addition: the calculation knows nothing of admissibility, and an unbounded ramp would give an unbounded slope, whereas in the model a ramp large enough to carry the signal past the response criterion during the delay produces premature responses and is rejected. The ramp must therefore be bounded by hand; the bound used, and what it excludes, are stated in Results.</w:t>
      </w:r>
    </w:p>
    <w:p w14:paraId="73212C5D" w14:textId="77777777" w:rsidR="00205CBC" w:rsidRDefault="00000000">
      <w:r>
        <w:rPr>
          <w:color w:val="1F4E9E"/>
        </w:rPr>
        <w:t xml:space="preserve">Remark A.7 (the slope must be estimated as the data’s slope is estimated). A comparison between a model quantity and an observed one requires the two to be the same functional of the rate curve. The observed slope is the coefficient of an offset-Poisson regression of the partial-activation counts on time over the bins of the window; the model quantity is therefore obtained by evaluating </w:t>
      </w:r>
      <m:oMath>
        <m:r>
          <w:rPr>
            <w:rFonts w:ascii="Cambria Math" w:hAnsi="Cambria Math"/>
            <w:color w:val="1F4E9E"/>
          </w:rPr>
          <m:t xml:space="preserve">ν</m:t>
        </m:r>
      </m:oMath>
      <w:r>
        <w:rPr>
          <w:color w:val="1F4E9E"/>
        </w:rPr>
        <w:t xml:space="preserve"> at those same bins and fitting the same regression, not by taking the secant between the ends of the window. The distinction matters under Model 1, whose log-rate is strongly concave by (26): the regression weights the late, event-rich bins, where the variance transient has already flattened. Using the secant would credit Model 1 with a ramp its own data analysis would not have measured.</w:t>
      </w:r>
    </w:p>
    <w:p w14:paraId="73212C5D" w14:textId="77777777" w:rsidR="00205CBC" w:rsidRDefault="00000000">
      <w:r>
        <w:rPr>
          <w:color w:val="1F4E9E"/>
        </w:rPr>
        <w:t xml:space="preserve">Corollary A.8 (a bound at one distance bounds a mixture of distances). Within a participant </w:t>
      </w:r>
      <m:oMath>
        <m:r>
          <w:rPr>
            <w:rFonts w:ascii="Cambria Math" w:hAnsi="Cambria Math"/>
            <w:color w:val="1F4E9E"/>
          </w:rPr>
          <m:t xml:space="preserve">κ</m:t>
        </m:r>
      </m:oMath>
      <w:r>
        <w:rPr>
          <w:color w:val="1F4E9E"/>
        </w:rPr>
        <w:t xml:space="preserve">, </w:t>
      </w:r>
      <m:oMath>
        <m:r>
          <w:rPr>
            <w:rFonts w:ascii="Cambria Math" w:hAnsi="Cambria Math"/>
            <w:color w:val="1F4E9E"/>
          </w:rPr>
          <m:t xml:space="preserve">λ</m:t>
        </m:r>
      </m:oMath>
      <w:r>
        <w:rPr>
          <w:color w:val="1F4E9E"/>
        </w:rPr>
        <w:t xml:space="preserve"> and </w:t>
      </w:r>
      <m:oMath>
        <m:sSub>
          <m:sSubPr>
            <m:ctrlPr/>
          </m:sSubPr>
          <m:e>
            <m:r>
              <w:rPr>
                <w:rFonts w:ascii="Cambria Math" w:hAnsi="Cambria Math"/>
                <w:color w:val="1F4E9E"/>
              </w:rPr>
              <m:t xml:space="preserve">σ</m:t>
            </m:r>
          </m:e>
          <m:sub>
            <m:r>
              <w:rPr>
                <w:rFonts w:ascii="Cambria Math" w:hAnsi="Cambria Math"/>
                <w:color w:val="1F4E9E"/>
              </w:rPr>
              <m:t xml:space="preserve">H</m:t>
            </m:r>
          </m:sub>
        </m:sSub>
      </m:oMath>
      <w:r>
        <w:rPr>
          <w:color w:val="1F4E9E"/>
        </w:rPr>
        <w:t xml:space="preserve"> are the same on every trial, but the maintained level is not — it is </w:t>
      </w:r>
      <m:oMath>
        <m:r>
          <w:rPr>
            <w:rFonts w:ascii="Cambria Math" w:hAnsi="Cambria Math"/>
            <w:color w:val="1F4E9E"/>
          </w:rPr>
          <m:t xml:space="preserve">θ</m:t>
        </m:r>
      </m:oMath>
      <w:r>
        <w:rPr>
          <w:color w:val="1F4E9E"/>
        </w:rPr>
        <w:t xml:space="preserve"> on trials that reached the internal threshold and </w:t>
      </w:r>
      <m:oMath>
        <m:r>
          <w:rPr>
            <w:rFonts w:ascii="Cambria Math" w:hAnsi="Cambria Math"/>
            <w:color w:val="1F4E9E"/>
          </w:rPr>
          <m:t xml:space="preserve">y</m:t>
        </m:r>
        <m:d>
          <m:dPr>
            <m:begChr m:val="("/>
            <m:endChr m:val=")"/>
            <m:ctrlPr/>
          </m:dPr>
          <m:e>
            <m:sSub>
              <m:sSubPr>
                <m:ctrlPr/>
              </m:sSubPr>
              <m:e>
                <m:r>
                  <w:rPr>
                    <w:rFonts w:ascii="Cambria Math" w:hAnsi="Cambria Math"/>
                    <w:color w:val="1F4E9E"/>
                  </w:rPr>
                  <m:t xml:space="preserve">t</m:t>
                </m:r>
              </m:e>
              <m:sub>
                <m:r>
                  <m:rPr>
                    <m:nor/>
                  </m:rPr>
                  <w:rPr>
                    <w:rFonts w:ascii="Cambria Math" w:hAnsi="Cambria Math"/>
                    <w:color w:val="1F4E9E"/>
                  </w:rPr>
                  <m:t xml:space="preserve">offset</m:t>
                </m:r>
              </m:sub>
            </m:sSub>
          </m:e>
        </m:d>
      </m:oMath>
      <w:r>
        <w:rPr>
          <w:color w:val="1F4E9E"/>
        </w:rPr>
        <w:t xml:space="preserve"> on the rest — so the measured rate is a mixture over the distance </w:t>
      </w:r>
      <m:oMath>
        <m:r>
          <w:rPr>
            <w:rFonts w:ascii="Cambria Math" w:hAnsi="Cambria Math"/>
            <w:color w:val="1F4E9E"/>
          </w:rPr>
          <m:t xml:space="preserve">d</m:t>
        </m:r>
      </m:oMath>
      <w:r>
        <w:rPr>
          <w:color w:val="1F4E9E"/>
        </w:rPr>
        <w:t xml:space="preserve">, and a bound proved at a single distance does not automatically bound a mixture. It does here, because the maximization is a linear programme. Fix the mixture’s rate at the end of the window, </w:t>
      </w:r>
      <m:oMath>
        <m:nary>
          <m:naryPr>
            <m:chr m:val="∑"/>
            <m:limLoc m:val="undOvr"/>
            <m:subHide m:val="0"/>
            <m:supHide m:val="1"/>
            <m:ctrlPr/>
          </m:naryPr>
          <m:sub>
            <m:r>
              <w:rPr>
                <w:rFonts w:ascii="Cambria Math" w:hAnsi="Cambria Math"/>
                <w:color w:val="1F4E9E"/>
              </w:rPr>
              <m:t xml:space="preserve">d</m:t>
            </m:r>
          </m:sub>
          <m:sup/>
          <m:e>
            <m:sSub>
              <m:sSubPr>
                <m:ctrlPr/>
              </m:sSubPr>
              <m:e>
                <m:r>
                  <w:rPr>
                    <w:rFonts w:ascii="Cambria Math" w:hAnsi="Cambria Math"/>
                    <w:color w:val="1F4E9E"/>
                  </w:rPr>
                  <m:t xml:space="preserve">p</m:t>
                </m:r>
              </m:e>
              <m:sub>
                <m:r>
                  <w:rPr>
                    <w:rFonts w:ascii="Cambria Math" w:hAnsi="Cambria Math"/>
                    <w:color w:val="1F4E9E"/>
                  </w:rPr>
                  <m:t xml:space="preserve">d</m:t>
                </m:r>
              </m:sub>
            </m:sSub>
            <m:sSub>
              <m:sSubPr>
                <m:ctrlPr/>
              </m:sSubPr>
              <m:e>
                <m:r>
                  <w:rPr>
                    <w:rFonts w:ascii="Cambria Math" w:hAnsi="Cambria Math"/>
                    <w:color w:val="1F4E9E"/>
                  </w:rPr>
                  <m:t xml:space="preserve">ν</m:t>
                </m:r>
              </m:e>
              <m:sub>
                <m:r>
                  <w:rPr>
                    <w:rFonts w:ascii="Cambria Math" w:hAnsi="Cambria Math"/>
                    <w:color w:val="1F4E9E"/>
                  </w:rPr>
                  <m:t xml:space="preserve">d</m:t>
                </m:r>
              </m:sub>
            </m:sSub>
            <m:d>
              <m:dPr>
                <m:begChr m:val="("/>
                <m:endChr m:val=")"/>
                <m:ctrlPr/>
              </m:dPr>
              <m:e>
                <m:sSub>
                  <m:sSubPr>
                    <m:ctrlPr/>
                  </m:sSubPr>
                  <m:e>
                    <m:r>
                      <w:rPr>
                        <w:rFonts w:ascii="Cambria Math" w:hAnsi="Cambria Math"/>
                        <w:color w:val="1F4E9E"/>
                      </w:rPr>
                      <m:t xml:space="preserve">τ</m:t>
                    </m:r>
                  </m:e>
                  <m:sub>
                    <m:r>
                      <m:rPr>
                        <m:nor/>
                      </m:rPr>
                      <w:rPr>
                        <w:rFonts w:ascii="Cambria Math" w:hAnsi="Cambria Math"/>
                        <w:color w:val="1F4E9E"/>
                      </w:rPr>
                      <m:t xml:space="preserve">1</m:t>
                    </m:r>
                  </m:sub>
                </m:sSub>
              </m:e>
            </m:d>
          </m:e>
        </m:nary>
        <m:r>
          <m:rPr>
            <m:nor/>
          </m:rPr>
          <w:rPr>
            <w:rFonts w:ascii="Cambria Math" w:hAnsi="Cambria Math"/>
            <w:color w:val="1F4E9E"/>
          </w:rPr>
          <m:t xml:space="preserve">=</m:t>
        </m:r>
        <m:r>
          <w:rPr>
            <w:rFonts w:ascii="Cambria Math" w:hAnsi="Cambria Math"/>
            <w:color w:val="1F4E9E"/>
          </w:rPr>
          <m:t xml:space="preserve">R</m:t>
        </m:r>
      </m:oMath>
      <w:r>
        <w:rPr>
          <w:color w:val="1F4E9E"/>
        </w:rPr>
        <w:t xml:space="preserve">. Maximizing the mixture’s log-rate slope then means minimizing </w:t>
      </w:r>
      <m:oMath>
        <m:nary>
          <m:naryPr>
            <m:chr m:val="∑"/>
            <m:limLoc m:val="undOvr"/>
            <m:subHide m:val="0"/>
            <m:supHide m:val="1"/>
            <m:ctrlPr/>
          </m:naryPr>
          <m:sub>
            <m:r>
              <w:rPr>
                <w:rFonts w:ascii="Cambria Math" w:hAnsi="Cambria Math"/>
                <w:color w:val="1F4E9E"/>
              </w:rPr>
              <m:t xml:space="preserve">d</m:t>
            </m:r>
          </m:sub>
          <m:sup/>
          <m:e>
            <m:sSub>
              <m:sSubPr>
                <m:ctrlPr/>
              </m:sSubPr>
              <m:e>
                <m:r>
                  <w:rPr>
                    <w:rFonts w:ascii="Cambria Math" w:hAnsi="Cambria Math"/>
                    <w:color w:val="1F4E9E"/>
                  </w:rPr>
                  <m:t xml:space="preserve">p</m:t>
                </m:r>
              </m:e>
              <m:sub>
                <m:r>
                  <w:rPr>
                    <w:rFonts w:ascii="Cambria Math" w:hAnsi="Cambria Math"/>
                    <w:color w:val="1F4E9E"/>
                  </w:rPr>
                  <m:t xml:space="preserve">d</m:t>
                </m:r>
              </m:sub>
            </m:sSub>
            <m:sSub>
              <m:sSubPr>
                <m:ctrlPr/>
              </m:sSubPr>
              <m:e>
                <m:r>
                  <w:rPr>
                    <w:rFonts w:ascii="Cambria Math" w:hAnsi="Cambria Math"/>
                    <w:color w:val="1F4E9E"/>
                  </w:rPr>
                  <m:t xml:space="preserve">ν</m:t>
                </m:r>
              </m:e>
              <m:sub>
                <m:r>
                  <w:rPr>
                    <w:rFonts w:ascii="Cambria Math" w:hAnsi="Cambria Math"/>
                    <w:color w:val="1F4E9E"/>
                  </w:rPr>
                  <m:t xml:space="preserve">d</m:t>
                </m:r>
              </m:sub>
            </m:sSub>
            <m:d>
              <m:dPr>
                <m:begChr m:val="("/>
                <m:endChr m:val=")"/>
                <m:ctrlPr/>
              </m:dPr>
              <m:e>
                <m:sSub>
                  <m:sSubPr>
                    <m:ctrlPr/>
                  </m:sSubPr>
                  <m:e>
                    <m:r>
                      <w:rPr>
                        <w:rFonts w:ascii="Cambria Math" w:hAnsi="Cambria Math"/>
                        <w:color w:val="1F4E9E"/>
                      </w:rPr>
                      <m:t xml:space="preserve">τ</m:t>
                    </m:r>
                  </m:e>
                  <m:sub>
                    <m:r>
                      <m:rPr>
                        <m:nor/>
                      </m:rPr>
                      <w:rPr>
                        <w:rFonts w:ascii="Cambria Math" w:hAnsi="Cambria Math"/>
                        <w:color w:val="1F4E9E"/>
                      </w:rPr>
                      <m:t xml:space="preserve">0</m:t>
                    </m:r>
                  </m:sub>
                </m:sSub>
              </m:e>
            </m:d>
          </m:e>
        </m:nary>
      </m:oMath>
      <w:r>
        <w:rPr>
          <w:color w:val="1F4E9E"/>
        </w:rPr>
        <w:t xml:space="preserve"> subject to that constraint and to </w:t>
      </w:r>
      <m:oMath>
        <m:nary>
          <m:naryPr>
            <m:chr m:val="∑"/>
            <m:limLoc m:val="undOvr"/>
            <m:subHide m:val="0"/>
            <m:supHide m:val="1"/>
            <m:ctrlPr/>
          </m:naryPr>
          <m:sub>
            <m:r>
              <w:rPr>
                <w:rFonts w:ascii="Cambria Math" w:hAnsi="Cambria Math"/>
                <w:color w:val="1F4E9E"/>
              </w:rPr>
              <m:t xml:space="preserve">d</m:t>
            </m:r>
          </m:sub>
          <m:sup/>
          <m:e>
            <m:sSub>
              <m:sSubPr>
                <m:ctrlPr/>
              </m:sSubPr>
              <m:e>
                <m:r>
                  <w:rPr>
                    <w:rFonts w:ascii="Cambria Math" w:hAnsi="Cambria Math"/>
                    <w:color w:val="1F4E9E"/>
                  </w:rPr>
                  <m:t xml:space="preserve">p</m:t>
                </m:r>
              </m:e>
              <m:sub>
                <m:r>
                  <w:rPr>
                    <w:rFonts w:ascii="Cambria Math" w:hAnsi="Cambria Math"/>
                    <w:color w:val="1F4E9E"/>
                  </w:rPr>
                  <m:t xml:space="preserve">d</m:t>
                </m:r>
              </m:sub>
            </m:sSub>
          </m:e>
        </m:nary>
        <m:r>
          <m:rPr>
            <m:nor/>
          </m:rPr>
          <w:rPr>
            <w:rFonts w:ascii="Cambria Math" w:hAnsi="Cambria Math"/>
            <w:color w:val="1F4E9E"/>
          </w:rPr>
          <m:t xml:space="preserve">=</m:t>
        </m:r>
        <m:r>
          <m:rPr>
            <m:nor/>
          </m:rPr>
          <w:rPr>
            <w:rFonts w:ascii="Cambria Math" w:hAnsi="Cambria Math"/>
            <w:color w:val="1F4E9E"/>
          </w:rPr>
          <m:t xml:space="preserve">1</m:t>
        </m:r>
      </m:oMath>
      <w:r>
        <w:rPr>
          <w:color w:val="1F4E9E"/>
        </w:rPr>
        <w:t xml:space="preserve">: two equality constraints, so the optimum sits at a vertex of the simplex with at most two non-zero components, and the bound follows from the lower convex envelope of the planar curve </w:t>
      </w:r>
      <m:oMath>
        <m:r>
          <w:rPr>
            <w:rFonts w:ascii="Cambria Math" w:hAnsi="Cambria Math"/>
            <w:color w:val="1F4E9E"/>
          </w:rPr>
          <m:t xml:space="preserve">d</m:t>
        </m:r>
        <m:r>
          <m:rPr>
            <m:nor/>
          </m:rPr>
          <w:rPr>
            <w:rFonts w:ascii="Cambria Math" w:hAnsi="Cambria Math"/>
            <w:color w:val="1F4E9E"/>
          </w:rPr>
          <m:t xml:space="preserve">↦</m:t>
        </m:r>
        <m:d>
          <m:dPr>
            <m:begChr m:val="("/>
            <m:endChr m:val=")"/>
            <m:ctrlPr/>
          </m:dPr>
          <m:e>
            <m:sSub>
              <m:sSubPr>
                <m:ctrlPr/>
              </m:sSubPr>
              <m:e>
                <m:r>
                  <w:rPr>
                    <w:rFonts w:ascii="Cambria Math" w:hAnsi="Cambria Math"/>
                    <w:color w:val="1F4E9E"/>
                  </w:rPr>
                  <m:t xml:space="preserve">ν</m:t>
                </m:r>
              </m:e>
              <m:sub>
                <m:r>
                  <w:rPr>
                    <w:rFonts w:ascii="Cambria Math" w:hAnsi="Cambria Math"/>
                    <w:color w:val="1F4E9E"/>
                  </w:rPr>
                  <m:t xml:space="preserve">d</m:t>
                </m:r>
              </m:sub>
            </m:sSub>
            <m:d>
              <m:dPr>
                <m:begChr m:val="("/>
                <m:endChr m:val=")"/>
                <m:ctrlPr/>
              </m:dPr>
              <m:e>
                <m:sSub>
                  <m:sSubPr>
                    <m:ctrlPr/>
                  </m:sSubPr>
                  <m:e>
                    <m:r>
                      <w:rPr>
                        <w:rFonts w:ascii="Cambria Math" w:hAnsi="Cambria Math"/>
                        <w:color w:val="1F4E9E"/>
                      </w:rPr>
                      <m:t xml:space="preserve">τ</m:t>
                    </m:r>
                  </m:e>
                  <m:sub>
                    <m:r>
                      <m:rPr>
                        <m:nor/>
                      </m:rPr>
                      <w:rPr>
                        <w:rFonts w:ascii="Cambria Math" w:hAnsi="Cambria Math"/>
                        <w:color w:val="1F4E9E"/>
                      </w:rPr>
                      <m:t xml:space="preserve">1</m:t>
                    </m:r>
                  </m:sub>
                </m:sSub>
              </m:e>
            </m:d>
            <m:r>
              <m:rPr>
                <m:nor/>
              </m:rPr>
              <w:rPr>
                <w:rFonts w:ascii="Cambria Math" w:hAnsi="Cambria Math"/>
                <w:color w:val="1F4E9E"/>
              </w:rPr>
              <m:t xml:space="preserve">,</m:t>
            </m:r>
            <m:sSub>
              <m:sSubPr>
                <m:ctrlPr/>
              </m:sSubPr>
              <m:e>
                <m:r>
                  <w:rPr>
                    <w:rFonts w:ascii="Cambria Math" w:hAnsi="Cambria Math"/>
                    <w:color w:val="1F4E9E"/>
                  </w:rPr>
                  <m:t xml:space="preserve">ν</m:t>
                </m:r>
              </m:e>
              <m:sub>
                <m:r>
                  <w:rPr>
                    <w:rFonts w:ascii="Cambria Math" w:hAnsi="Cambria Math"/>
                    <w:color w:val="1F4E9E"/>
                  </w:rPr>
                  <m:t xml:space="preserve">d</m:t>
                </m:r>
              </m:sub>
            </m:sSub>
            <m:d>
              <m:dPr>
                <m:begChr m:val="("/>
                <m:endChr m:val=")"/>
                <m:ctrlPr/>
              </m:dPr>
              <m:e>
                <m:sSub>
                  <m:sSubPr>
                    <m:ctrlPr/>
                  </m:sSubPr>
                  <m:e>
                    <m:r>
                      <w:rPr>
                        <w:rFonts w:ascii="Cambria Math" w:hAnsi="Cambria Math"/>
                        <w:color w:val="1F4E9E"/>
                      </w:rPr>
                      <m:t xml:space="preserve">τ</m:t>
                    </m:r>
                  </m:e>
                  <m:sub>
                    <m:r>
                      <m:rPr>
                        <m:nor/>
                      </m:rPr>
                      <w:rPr>
                        <w:rFonts w:ascii="Cambria Math" w:hAnsi="Cambria Math"/>
                        <w:color w:val="1F4E9E"/>
                      </w:rPr>
                      <m:t xml:space="preserve">0</m:t>
                    </m:r>
                  </m:sub>
                </m:sSub>
              </m:e>
            </m:d>
          </m:e>
        </m:d>
      </m:oMath>
      <w:r>
        <w:rPr>
          <w:color w:val="1F4E9E"/>
        </w:rPr>
        <w:t xml:space="preserve">. Mixing over PARAMETERS is a different operation and does violate a single-draw bound; it is not the relevant one, because the observed slope is estimated within participant and condition and then averaged, not estimated on a profile pooled across participants. ∎</w:t>
      </w:r>
    </w:p>
    <w:p w14:paraId="73212C5D" w14:textId="77777777" w:rsidR="00205CBC" w:rsidRDefault="00000000">
      <w:r>
        <w:rPr>
          <w:color w:val="1F4E9E"/>
        </w:rPr>
        <w:t xml:space="preserve">Corollary A.9 (Model 1 cannot hold a ramp to the response signal). Under Model 1 the log-rate slope must decay across the analysis window. Proof. By (26) the ramp is carried by the relative rate of variance growth, and since </w:t>
      </w:r>
      <m:oMath>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r>
          <m:rPr>
            <m:nor/>
          </m:rPr>
          <w:rPr>
            <w:rFonts w:ascii="Cambria Math" w:hAnsi="Cambria Math"/>
            <w:color w:val="1F4E9E"/>
          </w:rPr>
          <m:t xml:space="preserve">=</m:t>
        </m:r>
        <m:nary>
          <m:naryPr>
            <m:chr m:val="∫"/>
            <m:limLoc m:val="subSup"/>
            <m:subHide m:val="0"/>
            <m:supHide m:val="0"/>
            <m:ctrlPr/>
          </m:naryPr>
          <m:sub>
            <m:r>
              <m:rPr>
                <m:nor/>
              </m:rPr>
              <w:rPr>
                <w:rFonts w:ascii="Cambria Math" w:hAnsi="Cambria Math"/>
                <w:color w:val="1F4E9E"/>
              </w:rPr>
              <m:t xml:space="preserve">0</m:t>
            </m:r>
          </m:sub>
          <m:sup>
            <m:r>
              <w:rPr>
                <w:rFonts w:ascii="Cambria Math" w:hAnsi="Cambria Math"/>
                <w:color w:val="1F4E9E"/>
              </w:rPr>
              <m:t xml:space="preserve">τ</m:t>
            </m:r>
          </m:sup>
          <m:e>
            <m:sSup>
              <m:sSupPr>
                <m:ctrlPr/>
              </m:sSupPr>
              <m:e>
                <m:r>
                  <w:rPr>
                    <w:rFonts w:ascii="Cambria Math" w:hAnsi="Cambria Math"/>
                    <w:color w:val="1F4E9E"/>
                  </w:rPr>
                  <m:t xml:space="preserve">K</m:t>
                </m:r>
              </m:e>
              <m:sup>
                <m:r>
                  <m:rPr>
                    <m:nor/>
                  </m:rPr>
                  <w:rPr>
                    <w:rFonts w:ascii="Cambria Math" w:hAnsi="Cambria Math"/>
                    <w:color w:val="1F4E9E"/>
                  </w:rPr>
                  <m:t xml:space="preserve">2</m:t>
                </m:r>
              </m:sup>
            </m:sSup>
          </m:e>
        </m:nary>
      </m:oMath>
      <w:r>
        <w:rPr>
          <w:color w:val="1F4E9E"/>
        </w:rPr>
        <w:t xml:space="preserve"> that quantity has the exact form</w:t>
      </w:r>
    </w:p>
    <w:p w14:paraId="73212C5D" w14:textId="77777777" w:rsidR="00205CBC" w:rsidRDefault="00000000">
      <m:oMathPara>
        <m:oMath>
          <m:eqArr>
            <m:eqArrPr>
              <m:maxDist m:val="1"/>
              <m:ctrlPr/>
            </m:eqArrPr>
            <m:e>
              <m:f>
                <m:fPr>
                  <m:ctrlPr/>
                </m:fPr>
                <m:num>
                  <m:sSup>
                    <m:sSupPr>
                      <m:ctrlPr/>
                    </m:sSupPr>
                    <m:e>
                      <m:d>
                        <m:dPr>
                          <m:begChr m:val="("/>
                          <m:endChr m:val=")"/>
                          <m:ctrlPr/>
                        </m:dPr>
                        <m:e>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e>
                      </m:d>
                    </m:e>
                    <m:sup>
                      <m:r>
                        <m:rPr>
                          <m:nor/>
                        </m:rPr>
                        <w:rPr>
                          <w:rFonts w:ascii="Cambria Math" w:hAnsi="Cambria Math"/>
                          <w:color w:val="1F4E9E"/>
                        </w:rPr>
                        <m:t xml:space="preserve">′</m:t>
                      </m:r>
                    </m:sup>
                  </m:sSup>
                  <m:d>
                    <m:dPr>
                      <m:begChr m:val="("/>
                      <m:endChr m:val=")"/>
                      <m:ctrlPr/>
                    </m:dPr>
                    <m:e>
                      <m:r>
                        <w:rPr>
                          <w:rFonts w:ascii="Cambria Math" w:hAnsi="Cambria Math"/>
                          <w:color w:val="1F4E9E"/>
                        </w:rPr>
                        <m:t xml:space="preserve">τ</m:t>
                      </m:r>
                    </m:e>
                  </m:d>
                </m:num>
                <m:den>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d>
                    <m:dPr>
                      <m:begChr m:val="("/>
                      <m:endChr m:val=")"/>
                      <m:ctrlPr/>
                    </m:dPr>
                    <m:e>
                      <m:r>
                        <w:rPr>
                          <w:rFonts w:ascii="Cambria Math" w:hAnsi="Cambria Math"/>
                          <w:color w:val="1F4E9E"/>
                        </w:rPr>
                        <m:t xml:space="preserve">τ</m:t>
                      </m:r>
                    </m:e>
                  </m:d>
                </m:den>
              </m:f>
              <m:r>
                <m:rPr>
                  <m:nor/>
                </m:rPr>
                <w:rPr>
                  <w:rFonts w:ascii="Cambria Math" w:hAnsi="Cambria Math"/>
                  <w:color w:val="1F4E9E"/>
                </w:rPr>
                <m:t xml:space="preserve">=</m:t>
              </m:r>
              <m:f>
                <m:fPr>
                  <m:ctrlPr/>
                </m:fPr>
                <m:num>
                  <m:r>
                    <w:rPr>
                      <w:rFonts w:ascii="Cambria Math" w:hAnsi="Cambria Math"/>
                      <w:color w:val="1F4E9E"/>
                    </w:rPr>
                    <m:t xml:space="preserve">K</m:t>
                  </m:r>
                  <m:sSup>
                    <m:sSupPr>
                      <m:ctrlPr/>
                    </m:sSupPr>
                    <m:e>
                      <m:d>
                        <m:dPr>
                          <m:begChr m:val="("/>
                          <m:endChr m:val=")"/>
                          <m:ctrlPr/>
                        </m:dPr>
                        <m:e>
                          <m:r>
                            <w:rPr>
                              <w:rFonts w:ascii="Cambria Math" w:hAnsi="Cambria Math"/>
                              <w:color w:val="1F4E9E"/>
                            </w:rPr>
                            <m:t xml:space="preserve">τ</m:t>
                          </m:r>
                        </m:e>
                      </m:d>
                    </m:e>
                    <m:sup>
                      <m:r>
                        <m:rPr>
                          <m:nor/>
                        </m:rPr>
                        <w:rPr>
                          <w:rFonts w:ascii="Cambria Math" w:hAnsi="Cambria Math"/>
                          <w:color w:val="1F4E9E"/>
                        </w:rPr>
                        <m:t xml:space="preserve">2</m:t>
                      </m:r>
                    </m:sup>
                  </m:sSup>
                </m:num>
                <m:den>
                  <m:nary>
                    <m:naryPr>
                      <m:chr m:val="∫"/>
                      <m:limLoc m:val="subSup"/>
                      <m:subHide m:val="0"/>
                      <m:supHide m:val="0"/>
                      <m:ctrlPr/>
                    </m:naryPr>
                    <m:sub>
                      <m:r>
                        <m:rPr>
                          <m:nor/>
                        </m:rPr>
                        <w:rPr>
                          <w:rFonts w:ascii="Cambria Math" w:hAnsi="Cambria Math"/>
                          <w:color w:val="1F4E9E"/>
                        </w:rPr>
                        <m:t xml:space="preserve">0</m:t>
                      </m:r>
                    </m:sub>
                    <m:sup>
                      <m:r>
                        <w:rPr>
                          <w:rFonts w:ascii="Cambria Math" w:hAnsi="Cambria Math"/>
                          <w:color w:val="1F4E9E"/>
                        </w:rPr>
                        <m:t xml:space="preserve">τ</m:t>
                      </m:r>
                    </m:sup>
                    <m:e>
                      <m:r>
                        <w:rPr>
                          <w:rFonts w:ascii="Cambria Math" w:hAnsi="Cambria Math"/>
                          <w:color w:val="1F4E9E"/>
                        </w:rPr>
                        <m:t xml:space="preserve">K</m:t>
                      </m:r>
                      <m:sSup>
                        <m:sSupPr>
                          <m:ctrlPr/>
                        </m:sSupPr>
                        <m:e>
                          <m:d>
                            <m:dPr>
                              <m:begChr m:val="("/>
                              <m:endChr m:val=")"/>
                              <m:ctrlPr/>
                            </m:dPr>
                            <m:e>
                              <m:r>
                                <w:rPr>
                                  <w:rFonts w:ascii="Cambria Math" w:hAnsi="Cambria Math"/>
                                  <w:color w:val="1F4E9E"/>
                                </w:rPr>
                                <m:t xml:space="preserve">v</m:t>
                              </m:r>
                            </m:e>
                          </m:d>
                        </m:e>
                        <m:sup>
                          <m:r>
                            <m:rPr>
                              <m:nor/>
                            </m:rPr>
                            <w:rPr>
                              <w:rFonts w:ascii="Cambria Math" w:hAnsi="Cambria Math"/>
                              <w:color w:val="1F4E9E"/>
                            </w:rPr>
                            <m:t xml:space="preserve">2</m:t>
                          </m:r>
                        </m:sup>
                      </m:sSup>
                      <m:r>
                        <m:rPr>
                          <m:nor/>
                        </m:rPr>
                        <w:rPr>
                          <w:rFonts w:ascii="Cambria Math" w:hAnsi="Cambria Math"/>
                          <w:color w:val="1F4E9E"/>
                        </w:rPr>
                        <m:t xml:space="preserve"> </m:t>
                      </m:r>
                      <m:r>
                        <m:rPr>
                          <m:nor/>
                        </m:rPr>
                        <w:rPr>
                          <w:rFonts w:ascii="Cambria Math" w:hAnsi="Cambria Math"/>
                          <w:color w:val="1F4E9E"/>
                        </w:rPr>
                        <m:t xml:space="preserve">d</m:t>
                      </m:r>
                      <m:r>
                        <w:rPr>
                          <w:rFonts w:ascii="Cambria Math" w:hAnsi="Cambria Math"/>
                          <w:color w:val="1F4E9E"/>
                        </w:rPr>
                        <m:t xml:space="preserve">v</m:t>
                      </m:r>
                    </m:e>
                  </m:nary>
                </m:den>
              </m:f>
              <m:r>
                <w:rPr>
                  <w:rFonts w:ascii="Cambria Math" w:hAnsi="Cambria Math"/>
                  <w:color w:val="1F4E9E"/>
                </w:rPr>
                <m:t xml:space="preserve">#</m:t>
              </m:r>
              <m:d>
                <m:dPr>
                  <m:begChr m:val="("/>
                  <m:endChr m:val=")"/>
                  <m:ctrlPr/>
                </m:dPr>
                <m:e>
                  <m:r>
                    <m:rPr>
                      <m:nor/>
                    </m:rPr>
                    <w:rPr>
                      <w:rFonts w:ascii="Cambria Math" w:hAnsi="Cambria Math"/>
                      <w:color w:val="1F4E9E"/>
                    </w:rPr>
                    <m:t xml:space="preserve">2</m:t>
                  </m:r>
                  <m:r>
                    <m:rPr>
                      <m:nor/>
                    </m:rPr>
                    <w:rPr>
                      <w:rFonts w:ascii="Cambria Math" w:hAnsi="Cambria Math"/>
                      <w:color w:val="1F4E9E"/>
                    </w:rPr>
                    <m:t xml:space="preserve">7</m:t>
                  </m:r>
                </m:e>
              </m:d>
            </m:e>
          </m:eqArr>
        </m:oMath>
      </m:oMathPara>
    </w:p>
    <w:p w14:paraId="73212C5D" w14:textId="77777777" w:rsidR="00205CBC" w:rsidRDefault="00000000">
      <w:r>
        <w:rPr>
          <w:color w:val="1F4E9E"/>
        </w:rPr>
        <w:t xml:space="preserve">It is decreasing in </w:t>
      </w:r>
      <m:oMath>
        <m:r>
          <w:rPr>
            <w:rFonts w:ascii="Cambria Math" w:hAnsi="Cambria Math"/>
            <w:color w:val="1F4E9E"/>
          </w:rPr>
          <m:t xml:space="preserve">κ</m:t>
        </m:r>
      </m:oMath>
      <w:r>
        <w:rPr>
          <w:color w:val="1F4E9E"/>
        </w:rPr>
        <w:t xml:space="preserve">, and its supremum over </w:t>
      </w:r>
      <m:oMath>
        <m:r>
          <w:rPr>
            <w:rFonts w:ascii="Cambria Math" w:hAnsi="Cambria Math"/>
            <w:color w:val="1F4E9E"/>
          </w:rPr>
          <m:t xml:space="preserve">κ</m:t>
        </m:r>
      </m:oMath>
      <w:r>
        <w:rPr>
          <w:color w:val="1F4E9E"/>
        </w:rPr>
        <w:t xml:space="preserve"> is the limit </w:t>
      </w:r>
      <m:oMath>
        <m:r>
          <w:rPr>
            <w:rFonts w:ascii="Cambria Math" w:hAnsi="Cambria Math"/>
            <w:color w:val="1F4E9E"/>
          </w:rPr>
          <m:t xml:space="preserve">κ</m:t>
        </m:r>
        <m:r>
          <m:rPr>
            <m:nor/>
          </m:rPr>
          <w:rPr>
            <w:rFonts w:ascii="Cambria Math" w:hAnsi="Cambria Math"/>
            <w:color w:val="1F4E9E"/>
          </w:rPr>
          <m:t xml:space="preserve">→</m:t>
        </m:r>
        <m:r>
          <m:rPr>
            <m:nor/>
          </m:rPr>
          <w:rPr>
            <w:rFonts w:ascii="Cambria Math" w:hAnsi="Cambria Math"/>
            <w:color w:val="1F4E9E"/>
          </w:rPr>
          <m:t xml:space="preserve">0</m:t>
        </m:r>
      </m:oMath>
      <w:r>
        <w:rPr>
          <w:color w:val="1F4E9E"/>
        </w:rPr>
        <w:t xml:space="preserve">, in which </w:t>
      </w:r>
      <m:oMath>
        <m:r>
          <w:rPr>
            <w:rFonts w:ascii="Cambria Math" w:hAnsi="Cambria Math"/>
            <w:color w:val="1F4E9E"/>
          </w:rPr>
          <m:t xml:space="preserve">K</m:t>
        </m:r>
        <m:d>
          <m:dPr>
            <m:begChr m:val="("/>
            <m:endChr m:val=")"/>
            <m:ctrlPr/>
          </m:dPr>
          <m:e>
            <m:r>
              <w:rPr>
                <w:rFonts w:ascii="Cambria Math" w:hAnsi="Cambria Math"/>
                <w:color w:val="1F4E9E"/>
              </w:rPr>
              <m:t xml:space="preserve">v</m:t>
            </m:r>
          </m:e>
        </m:d>
        <m:r>
          <m:rPr>
            <m:nor/>
          </m:rPr>
          <w:rPr>
            <w:rFonts w:ascii="Cambria Math" w:hAnsi="Cambria Math"/>
            <w:color w:val="1F4E9E"/>
          </w:rPr>
          <m:t xml:space="preserve">→</m:t>
        </m:r>
        <m:sSub>
          <m:sSubPr>
            <m:ctrlPr/>
          </m:sSubPr>
          <m:e>
            <m:r>
              <w:rPr>
                <w:rFonts w:ascii="Cambria Math" w:hAnsi="Cambria Math"/>
                <w:color w:val="1F4E9E"/>
              </w:rPr>
              <m:t xml:space="preserve">σ</m:t>
            </m:r>
          </m:e>
          <m:sub>
            <m:r>
              <w:rPr>
                <w:rFonts w:ascii="Cambria Math" w:hAnsi="Cambria Math"/>
                <w:color w:val="1F4E9E"/>
              </w:rPr>
              <m:t xml:space="preserve">ε</m:t>
            </m:r>
          </m:sub>
        </m:sSub>
        <m:d>
          <m:dPr>
            <m:begChr m:val="("/>
            <m:endChr m:val=")"/>
            <m:ctrlPr/>
          </m:dPr>
          <m:e>
            <m:r>
              <m:rPr>
                <m:nor/>
              </m:rPr>
              <w:rPr>
                <w:rFonts w:ascii="Cambria Math" w:hAnsi="Cambria Math"/>
                <w:color w:val="1F4E9E"/>
              </w:rPr>
              <m:t xml:space="preserve">1</m:t>
            </m:r>
            <m:r>
              <m:rPr>
                <m:nor/>
              </m:rPr>
              <w:rPr>
                <w:rFonts w:ascii="Cambria Math" w:hAnsi="Cambria Math"/>
                <w:color w:val="1F4E9E"/>
              </w:rPr>
              <m:t xml:space="preserve">-</m:t>
            </m:r>
            <m:sSup>
              <m:sSupPr>
                <m:ctrlPr/>
              </m:sSupPr>
              <m:e>
                <m:r>
                  <w:rPr>
                    <w:rFonts w:ascii="Cambria Math" w:hAnsi="Cambria Math"/>
                    <w:color w:val="1F4E9E"/>
                  </w:rPr>
                  <m:t xml:space="preserve">e</m:t>
                </m:r>
              </m:e>
              <m:sup>
                <m:r>
                  <m:rPr>
                    <m:nor/>
                  </m:rPr>
                  <w:rPr>
                    <w:rFonts w:ascii="Cambria Math" w:hAnsi="Cambria Math"/>
                    <w:color w:val="1F4E9E"/>
                  </w:rPr>
                  <m:t xml:space="preserve">-</m:t>
                </m:r>
                <m:r>
                  <w:rPr>
                    <w:rFonts w:ascii="Cambria Math" w:hAnsi="Cambria Math"/>
                    <w:color w:val="1F4E9E"/>
                  </w:rPr>
                  <m:t xml:space="preserve">λ</m:t>
                </m:r>
                <m:r>
                  <w:rPr>
                    <w:rFonts w:ascii="Cambria Math" w:hAnsi="Cambria Math"/>
                    <w:color w:val="1F4E9E"/>
                  </w:rPr>
                  <m:t xml:space="preserve">v</m:t>
                </m:r>
              </m:sup>
            </m:sSup>
          </m:e>
        </m:d>
      </m:oMath>
      <w:r>
        <w:rPr>
          <w:color w:val="1F4E9E"/>
        </w:rPr>
        <w:t xml:space="preserve"> and (27) becomes </w:t>
      </w:r>
      <m:oMath>
        <m:r>
          <m:rPr>
            <m:nor/>
          </m:rPr>
          <w:rPr>
            <w:rFonts w:ascii="Cambria Math" w:hAnsi="Cambria Math"/>
            <w:color w:val="1F4E9E"/>
          </w:rPr>
          <m:t xml:space="preserve">1</m:t>
        </m:r>
        <m:r>
          <m:rPr>
            <m:nor/>
          </m:rPr>
          <w:rPr>
            <w:rFonts w:ascii="Cambria Math" w:hAnsi="Cambria Math"/>
            <w:color w:val="1F4E9E"/>
          </w:rPr>
          <m:t xml:space="preserve">/</m:t>
        </m:r>
        <m:d>
          <m:dPr>
            <m:begChr m:val="("/>
            <m:endChr m:val=")"/>
            <m:ctrlPr/>
          </m:dPr>
          <m:e>
            <m:r>
              <w:rPr>
                <w:rFonts w:ascii="Cambria Math" w:hAnsi="Cambria Math"/>
                <w:color w:val="1F4E9E"/>
              </w:rPr>
              <m:t xml:space="preserve">τ</m:t>
            </m:r>
            <m:r>
              <m:rPr>
                <m:nor/>
              </m:rPr>
              <w:rPr>
                <w:rFonts w:ascii="Cambria Math" w:hAnsi="Cambria Math"/>
                <w:color w:val="1F4E9E"/>
              </w:rPr>
              <m:t xml:space="preserve">-</m:t>
            </m:r>
            <m:r>
              <m:rPr>
                <m:nor/>
              </m:rPr>
              <w:rPr>
                <w:rFonts w:ascii="Cambria Math" w:hAnsi="Cambria Math"/>
                <w:color w:val="1F4E9E"/>
              </w:rPr>
              <m:t xml:space="preserve">3</m:t>
            </m:r>
            <m:r>
              <m:rPr>
                <m:nor/>
              </m:rPr>
              <w:rPr>
                <w:rFonts w:ascii="Cambria Math" w:hAnsi="Cambria Math"/>
                <w:color w:val="1F4E9E"/>
              </w:rPr>
              <m:t xml:space="preserve">/</m:t>
            </m:r>
            <m:d>
              <m:dPr>
                <m:begChr m:val="("/>
                <m:endChr m:val=")"/>
                <m:ctrlPr/>
              </m:dPr>
              <m:e>
                <m:r>
                  <m:rPr>
                    <m:nor/>
                  </m:rPr>
                  <w:rPr>
                    <w:rFonts w:ascii="Cambria Math" w:hAnsi="Cambria Math"/>
                    <w:color w:val="1F4E9E"/>
                  </w:rPr>
                  <m:t xml:space="preserve">2</m:t>
                </m:r>
                <m:r>
                  <w:rPr>
                    <w:rFonts w:ascii="Cambria Math" w:hAnsi="Cambria Math"/>
                    <w:color w:val="1F4E9E"/>
                  </w:rPr>
                  <m:t xml:space="preserve">λ</m:t>
                </m:r>
              </m:e>
            </m:d>
          </m:e>
        </m:d>
      </m:oMath>
      <w:r>
        <w:rPr>
          <w:color w:val="1F4E9E"/>
        </w:rPr>
        <w:t xml:space="preserve"> up to terms of order </w:t>
      </w:r>
      <m:oMath>
        <m:sSup>
          <m:sSupPr>
            <m:ctrlPr/>
          </m:sSupPr>
          <m:e>
            <m:r>
              <w:rPr>
                <w:rFonts w:ascii="Cambria Math" w:hAnsi="Cambria Math"/>
                <w:color w:val="1F4E9E"/>
              </w:rPr>
              <m:t xml:space="preserve">e</m:t>
            </m:r>
          </m:e>
          <m:sup>
            <m:r>
              <m:rPr>
                <m:nor/>
              </m:rPr>
              <w:rPr>
                <w:rFonts w:ascii="Cambria Math" w:hAnsi="Cambria Math"/>
                <w:color w:val="1F4E9E"/>
              </w:rPr>
              <m:t xml:space="preserve">-</m:t>
            </m:r>
            <m:r>
              <w:rPr>
                <w:rFonts w:ascii="Cambria Math" w:hAnsi="Cambria Math"/>
                <w:color w:val="1F4E9E"/>
              </w:rPr>
              <m:t xml:space="preserve">λ</m:t>
            </m:r>
            <m:r>
              <w:rPr>
                <w:rFonts w:ascii="Cambria Math" w:hAnsi="Cambria Math"/>
                <w:color w:val="1F4E9E"/>
              </w:rPr>
              <m:t xml:space="preserve">τ</m:t>
            </m:r>
          </m:sup>
        </m:sSup>
      </m:oMath>
      <w:r>
        <w:rPr>
          <w:color w:val="1F4E9E"/>
        </w:rPr>
        <w:t xml:space="preserve">: the filter’s lag displaces the clock and nothing else survives. Hence </w:t>
      </w:r>
      <m:oMath>
        <m:sSup>
          <m:sSupPr>
            <m:ctrlPr/>
          </m:sSupPr>
          <m:e>
            <m:d>
              <m:dPr>
                <m:begChr m:val="("/>
                <m:endChr m:val=")"/>
                <m:ctrlPr/>
              </m:dPr>
              <m:e>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e>
            </m:d>
          </m:e>
          <m:sup>
            <m:r>
              <m:rPr>
                <m:nor/>
              </m:rPr>
              <w:rPr>
                <w:rFonts w:ascii="Cambria Math" w:hAnsi="Cambria Math"/>
                <w:color w:val="1F4E9E"/>
              </w:rPr>
              <m:t xml:space="preserve">′</m:t>
            </m:r>
          </m:sup>
        </m:sSup>
        <m:r>
          <m:rPr>
            <m:nor/>
          </m:rPr>
          <w:rPr>
            <w:rFonts w:ascii="Cambria Math" w:hAnsi="Cambria Math"/>
            <w:color w:val="1F4E9E"/>
          </w:rPr>
          <m:t xml:space="preserve">/</m:t>
        </m:r>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r>
          <m:rPr>
            <m:nor/>
          </m:rPr>
          <w:rPr>
            <w:rFonts w:ascii="Cambria Math" w:hAnsi="Cambria Math"/>
            <w:color w:val="1F4E9E"/>
          </w:rPr>
          <m:t xml:space="preserve">≤</m:t>
        </m:r>
        <m:r>
          <m:rPr>
            <m:nor/>
          </m:rPr>
          <w:rPr>
            <w:rFonts w:ascii="Cambria Math" w:hAnsi="Cambria Math"/>
            <w:color w:val="1F4E9E"/>
          </w:rPr>
          <m:t xml:space="preserve">1</m:t>
        </m:r>
        <m:r>
          <m:rPr>
            <m:nor/>
          </m:rPr>
          <w:rPr>
            <w:rFonts w:ascii="Cambria Math" w:hAnsi="Cambria Math"/>
            <w:color w:val="1F4E9E"/>
          </w:rPr>
          <m:t xml:space="preserve">/</m:t>
        </m:r>
        <m:d>
          <m:dPr>
            <m:begChr m:val="("/>
            <m:endChr m:val=")"/>
            <m:ctrlPr/>
          </m:dPr>
          <m:e>
            <m:r>
              <w:rPr>
                <w:rFonts w:ascii="Cambria Math" w:hAnsi="Cambria Math"/>
                <w:color w:val="1F4E9E"/>
              </w:rPr>
              <m:t xml:space="preserve">τ</m:t>
            </m:r>
            <m:r>
              <m:rPr>
                <m:nor/>
              </m:rPr>
              <w:rPr>
                <w:rFonts w:ascii="Cambria Math" w:hAnsi="Cambria Math"/>
                <w:color w:val="1F4E9E"/>
              </w:rPr>
              <m:t xml:space="preserve">-</m:t>
            </m:r>
            <m:r>
              <m:rPr>
                <m:nor/>
              </m:rPr>
              <w:rPr>
                <w:rFonts w:ascii="Cambria Math" w:hAnsi="Cambria Math"/>
                <w:color w:val="1F4E9E"/>
              </w:rPr>
              <m:t xml:space="preserve">3</m:t>
            </m:r>
            <m:r>
              <m:rPr>
                <m:nor/>
              </m:rPr>
              <w:rPr>
                <w:rFonts w:ascii="Cambria Math" w:hAnsi="Cambria Math"/>
                <w:color w:val="1F4E9E"/>
              </w:rPr>
              <m:t xml:space="preserve">/</m:t>
            </m:r>
            <m:d>
              <m:dPr>
                <m:begChr m:val="("/>
                <m:endChr m:val=")"/>
                <m:ctrlPr/>
              </m:dPr>
              <m:e>
                <m:r>
                  <m:rPr>
                    <m:nor/>
                  </m:rPr>
                  <w:rPr>
                    <w:rFonts w:ascii="Cambria Math" w:hAnsi="Cambria Math"/>
                    <w:color w:val="1F4E9E"/>
                  </w:rPr>
                  <m:t xml:space="preserve">2</m:t>
                </m:r>
                <m:r>
                  <w:rPr>
                    <w:rFonts w:ascii="Cambria Math" w:hAnsi="Cambria Math"/>
                    <w:color w:val="1F4E9E"/>
                  </w:rPr>
                  <m:t xml:space="preserve">λ</m:t>
                </m:r>
              </m:e>
            </m:d>
          </m:e>
        </m:d>
      </m:oMath>
      <w:r>
        <w:rPr>
          <w:color w:val="1F4E9E"/>
        </w:rPr>
        <w:t xml:space="preserve"> throughout, so no choice of </w:t>
      </w:r>
      <m:oMath>
        <m:r>
          <w:rPr>
            <w:rFonts w:ascii="Cambria Math" w:hAnsi="Cambria Math"/>
            <w:color w:val="1F4E9E"/>
          </w:rPr>
          <m:t xml:space="preserve">κ</m:t>
        </m:r>
      </m:oMath>
      <w:r>
        <w:rPr>
          <w:color w:val="1F4E9E"/>
        </w:rPr>
        <w:t xml:space="preserve"> makes the log-rate slope decay more slowly than that. The realized decay is steeper for two further reasons: the first bracket of (26) is negative and grows in relative importance as the transient dies, and the standardized distance itself falls as the variance fills, shrinking the factor </w:t>
      </w:r>
      <m:oMath>
        <m:sSup>
          <m:sSupPr>
            <m:ctrlPr/>
          </m:sSupPr>
          <m:e>
            <m:r>
              <w:rPr>
                <w:rFonts w:ascii="Cambria Math" w:hAnsi="Cambria Math"/>
                <w:color w:val="1F4E9E"/>
              </w:rPr>
              <m:t xml:space="preserve">a</m:t>
            </m:r>
          </m:e>
          <m:sup>
            <m:r>
              <m:rPr>
                <m:nor/>
              </m:rPr>
              <w:rPr>
                <w:rFonts w:ascii="Cambria Math" w:hAnsi="Cambria Math"/>
                <w:color w:val="1F4E9E"/>
              </w:rPr>
              <m:t xml:space="preserve">2</m:t>
            </m:r>
          </m:sup>
        </m:sSup>
        <m:r>
          <m:rPr>
            <m:nor/>
          </m:rPr>
          <w:rPr>
            <w:rFonts w:ascii="Cambria Math" w:hAnsi="Cambria Math"/>
            <w:color w:val="1F4E9E"/>
          </w:rPr>
          <m:t xml:space="preserve">/</m:t>
        </m:r>
        <m:r>
          <m:rPr>
            <m:nor/>
          </m:rPr>
          <w:rPr>
            <w:rFonts w:ascii="Cambria Math" w:hAnsi="Cambria Math"/>
            <w:color w:val="1F4E9E"/>
          </w:rPr>
          <m:t xml:space="preserve">2</m:t>
        </m:r>
      </m:oMath>
      <w:r>
        <w:rPr>
          <w:color w:val="1F4E9E"/>
        </w:rPr>
        <w:t xml:space="preserve"> that multiplies the second. Model 2 is under no such constraint: by (25) its slope is proportional to a standardized distance falling linearly. The decay factors this imposes, and the observed one, are in Results. ∎</w:t>
      </w:r>
    </w:p>
    <w:p w14:paraId="73212C5D" w14:textId="77777777" w:rsidR="00205CBC" w:rsidRDefault="00000000">
      <w:r>
        <w:rPr>
          <w:color w:val="1F4E9E"/>
        </w:rPr>
        <w:t xml:space="preserve">Remark A.10 (what remains approximate). Two gaps are left, and both are in the conservative direction. The observable is not an upcrossing but a merged supra-threshold interval, and the ratio between the two depends on the characteristic frequency </w:t>
      </w:r>
      <m:oMath>
        <m:rad>
          <m:radPr>
            <m:degHide m:val="1"/>
            <m:ctrlPr/>
          </m:radPr>
          <m:deg/>
          <m:e>
            <m:r>
              <m:rPr>
                <m:nor/>
              </m:rPr>
              <w:rPr>
                <w:rFonts w:ascii="Cambria Math" w:hAnsi="Cambria Math"/>
                <w:color w:val="1F4E9E"/>
              </w:rPr>
              <m:t xml:space="preserve">Var</m:t>
            </m:r>
            <m:r>
              <m:rPr>
                <m:nor/>
              </m:rPr>
              <w:rPr>
                <w:rFonts w:ascii="Cambria Math" w:hAnsi="Cambria Math"/>
                <w:color w:val="1F4E9E"/>
              </w:rPr>
              <m:t xml:space="preserve"> </m:t>
            </m:r>
            <m:acc>
              <m:accPr>
                <m:chr m:val="̇"/>
                <m:ctrlPr/>
              </m:accPr>
              <m:e>
                <m:r>
                  <w:rPr>
                    <w:rFonts w:ascii="Cambria Math" w:hAnsi="Cambria Math"/>
                    <w:color w:val="1F4E9E"/>
                  </w:rPr>
                  <m:t xml:space="preserve">H</m:t>
                </m:r>
              </m:e>
            </m:acc>
            <m:r>
              <m:rPr>
                <m:nor/>
              </m:rPr>
              <w:rPr>
                <w:rFonts w:ascii="Cambria Math" w:hAnsi="Cambria Math"/>
                <w:color w:val="1F4E9E"/>
              </w:rPr>
              <m:t xml:space="preserve">/</m:t>
            </m:r>
            <m:r>
              <m:rPr>
                <m:nor/>
              </m:rPr>
              <w:rPr>
                <w:rFonts w:ascii="Cambria Math" w:hAnsi="Cambria Math"/>
                <w:color w:val="1F4E9E"/>
              </w:rPr>
              <m:t xml:space="preserve">Var</m:t>
            </m:r>
            <m:r>
              <m:rPr>
                <m:nor/>
              </m:rPr>
              <w:rPr>
                <w:rFonts w:ascii="Cambria Math" w:hAnsi="Cambria Math"/>
                <w:color w:val="1F4E9E"/>
              </w:rPr>
              <m:t xml:space="preserve"> </m:t>
            </m:r>
            <m:r>
              <w:rPr>
                <w:rFonts w:ascii="Cambria Math" w:hAnsi="Cambria Math"/>
                <w:color w:val="1F4E9E"/>
              </w:rPr>
              <m:t xml:space="preserve">H</m:t>
            </m:r>
          </m:e>
        </m:rad>
      </m:oMath>
      <w:r>
        <w:rPr>
          <w:color w:val="1F4E9E"/>
        </w:rPr>
        <w:t xml:space="preserve">, which falls across the window under Model 1’s transient; in the region where Model 1 has any ramp at all the characteristic period is far longer than the merge interval, so successive crossings are essentially never merged, and clustering matters only at large </w:t>
      </w:r>
      <m:oMath>
        <m:r>
          <w:rPr>
            <w:rFonts w:ascii="Cambria Math" w:hAnsi="Cambria Math"/>
            <w:color w:val="1F4E9E"/>
          </w:rPr>
          <m:t xml:space="preserve">κ</m:t>
        </m:r>
      </m:oMath>
      <w:r>
        <w:rPr>
          <w:color w:val="1F4E9E"/>
        </w:rPr>
        <w:t xml:space="preserve">, where the transient is over before the window begins. And the response criterion is an absorbing boundary: a delay-period crossing that reaches it ends the trial as a premature response, and conditioning on survival destroys the Gaussianity (19) uses. Absorption removes preferentially the trials closest to the gate and preferentially late in the window, so it depresses the late rate and reduces the measured slope below the value computed here. The bounds are upper bounds in both respects.</w:t>
      </w:r>
    </w:p>
    <w:p w14:paraId="65922AB6" w14:textId="77777777" w:rsidR="009C1EF3" w:rsidRPr="00763AC8" w:rsidRDefault="003009E9" w:rsidP="000E5F17">
      <w:pPr>
        <w:pStyle w:val="Titre1"/>
      </w:pPr>
      <w:r>
        <w:lastRenderedPageBreak/>
        <w:t>R</w:t>
      </w:r>
      <w:r w:rsidR="00763AC8">
        <w:t>eferences</w:t>
      </w:r>
    </w:p>
    <w:p w14:paraId="337D640E" w14:textId="77777777" w:rsidR="0031657A" w:rsidRPr="0031657A" w:rsidRDefault="00763AC8" w:rsidP="0031657A">
      <w:pPr>
        <w:pStyle w:val="Bibliographie"/>
      </w:pPr>
      <w:r w:rsidRPr="000E559B">
        <w:rPr>
          <w:b/>
          <w:szCs w:val="22"/>
        </w:rPr>
        <w:fldChar w:fldCharType="begin"/>
      </w:r>
      <w:r w:rsidRPr="00C93C6E">
        <w:rPr>
          <w:b/>
          <w:szCs w:val="22"/>
        </w:rPr>
        <w:instrText xml:space="preserve"> ADDIN ZOTERO_BIBL {"uncited":[],"omitted":[],"custom":[]} CSL_BIBLIOGRAPHY </w:instrText>
      </w:r>
      <w:r w:rsidRPr="000E559B">
        <w:rPr>
          <w:b/>
          <w:szCs w:val="22"/>
        </w:rPr>
        <w:fldChar w:fldCharType="separate"/>
      </w:r>
      <w:r w:rsidR="0031657A" w:rsidRPr="00C93C6E">
        <w:rPr>
          <w:color w:val="1F4E9E"/>
        </w:rPr>
        <w:t xml:space="preserve">Achard, J. A., Gajdos Preuss, T., &amp; Servant, M. (2025). </w:t>
      </w:r>
      <w:r w:rsidR="0031657A" w:rsidRPr="0031657A">
        <w:t xml:space="preserve">Extending continuous flow models of immediate decision reports to delayed decision reports. </w:t>
      </w:r>
      <w:r w:rsidR="0031657A" w:rsidRPr="0031657A">
        <w:rPr>
          <w:i/>
          <w:iCs/>
        </w:rPr>
        <w:t>Journal of Experimental Psychology. General</w:t>
      </w:r>
      <w:r w:rsidR="0031657A" w:rsidRPr="0031657A">
        <w:t>. https://doi.org/10.1037/xge0001748</w:t>
      </w:r>
    </w:p>
    <w:p w14:paraId="6C74420D" w14:textId="77777777" w:rsidR="0031657A" w:rsidRPr="0031657A" w:rsidRDefault="0031657A" w:rsidP="0031657A">
      <w:pPr>
        <w:pStyle w:val="Bibliographie"/>
      </w:pPr>
      <w:r w:rsidRPr="0031657A">
        <w:rPr>
          <w:strike/>
          <w:color w:val="B00000"/>
        </w:rPr>
        <w:t xml:space="preserve">Afacan-Seref, K., Steinemann, N. A., Blangero, A., &amp; Kelly, S. P. (2018). Dynamic Interplay of Value and Sensory Information in High-Speed Decision Making. </w:t>
      </w:r>
      <w:r w:rsidRPr="0031657A">
        <w:rPr>
          <w:i/>
          <w:iCs/>
          <w:strike/>
          <w:color w:val="B00000"/>
        </w:rPr>
        <w:t>Current Biology: CB</w:t>
      </w:r>
      <w:r w:rsidRPr="0031657A">
        <w:rPr>
          <w:strike/>
          <w:color w:val="B00000"/>
        </w:rPr>
        <w:t xml:space="preserve">, </w:t>
      </w:r>
      <w:r w:rsidRPr="0031657A">
        <w:rPr>
          <w:i/>
          <w:iCs/>
          <w:strike/>
          <w:color w:val="B00000"/>
        </w:rPr>
        <w:t>28</w:t>
      </w:r>
      <w:r w:rsidRPr="0031657A">
        <w:rPr>
          <w:strike/>
          <w:color w:val="B00000"/>
        </w:rPr>
        <w:t>(5), 795-802.e6. https://doi.org/10.1016/j.cub.2018.01.071</w:t>
      </w:r>
    </w:p>
    <w:p w14:paraId="4316EC2D" w14:textId="77777777" w:rsidR="0031657A" w:rsidRPr="0031657A" w:rsidRDefault="0031657A" w:rsidP="0031657A">
      <w:pPr>
        <w:pStyle w:val="Bibliographie"/>
      </w:pPr>
      <w:r w:rsidRPr="0031657A">
        <w:rPr>
          <w:strike w:val="0"/>
          <w:color w:val="1F4E9E"/>
        </w:rPr>
        <w:t>Azaïs, J.-M., &amp; Wschebor, M. (2009). Level sets and extrema of random processes and fields. John Wiley &amp; Sons. https://doi.org/10.1002/9780470434642</w:t>
      </w:r>
    </w:p>
    <w:p w14:paraId="4316EC2D" w14:textId="77777777" w:rsidR="0031657A" w:rsidRPr="0031657A" w:rsidRDefault="0031657A" w:rsidP="0031657A">
      <w:pPr>
        <w:pStyle w:val="Bibliographie"/>
      </w:pPr>
      <w:r w:rsidRPr="0031657A">
        <w:t xml:space="preserve">Balsdon, T., Verdonck, S., Loossens, T., &amp; Philiastides, M. G. (2023). Secondary motor integration as a final arbiter in sensorimotor decision-making. </w:t>
      </w:r>
      <w:r w:rsidRPr="0031657A">
        <w:rPr>
          <w:i/>
          <w:iCs/>
        </w:rPr>
        <w:t>PLoS Biology</w:t>
      </w:r>
      <w:r w:rsidRPr="0031657A">
        <w:t xml:space="preserve">, </w:t>
      </w:r>
      <w:r w:rsidRPr="0031657A">
        <w:rPr>
          <w:i/>
          <w:iCs/>
        </w:rPr>
        <w:t>21</w:t>
      </w:r>
      <w:r w:rsidRPr="0031657A">
        <w:t>(7), e3002200. https://doi.org/10.1371/journal.pbio.3002200</w:t>
      </w:r>
    </w:p>
    <w:p w14:paraId="616F5323" w14:textId="77777777" w:rsidR="0031657A" w:rsidRPr="0031657A" w:rsidRDefault="0031657A" w:rsidP="0031657A">
      <w:pPr>
        <w:pStyle w:val="Bibliographie"/>
      </w:pPr>
      <w:r w:rsidRPr="0031657A">
        <w:t xml:space="preserve">Burle, B., Tandonnet, C., &amp; Hasbroucq, T. (2010). Excitatory and inhibitory motor mechanisms of temporal preparation. In A. C. Nobre &amp; J. T. Coull (Eds.), </w:t>
      </w:r>
      <w:r w:rsidRPr="0031657A">
        <w:rPr>
          <w:i/>
          <w:iCs/>
        </w:rPr>
        <w:t>Attention and Time</w:t>
      </w:r>
      <w:r w:rsidRPr="0031657A">
        <w:t xml:space="preserve"> (pp. 243–256). Oxford University Press. https://doi.org/10.1093/acprof:oso/9780199563456.003.0018</w:t>
      </w:r>
    </w:p>
    <w:p w14:paraId="06D548EC" w14:textId="77777777" w:rsidR="0031657A" w:rsidRPr="0031657A" w:rsidRDefault="0031657A" w:rsidP="0031657A">
      <w:pPr>
        <w:pStyle w:val="Bibliographie"/>
      </w:pPr>
      <w:r w:rsidRPr="0031657A">
        <w:t xml:space="preserve">Churchland, M. M., &amp; Shenoy, K. V. (2024). Preparatory activity and the expansive null-space. </w:t>
      </w:r>
      <w:r w:rsidRPr="0031657A">
        <w:rPr>
          <w:i/>
          <w:iCs/>
        </w:rPr>
        <w:t>Nature Reviews. Neuroscience</w:t>
      </w:r>
      <w:r w:rsidRPr="0031657A">
        <w:t xml:space="preserve">, </w:t>
      </w:r>
      <w:r w:rsidRPr="0031657A">
        <w:rPr>
          <w:i/>
          <w:iCs/>
        </w:rPr>
        <w:t>25</w:t>
      </w:r>
      <w:r w:rsidRPr="0031657A">
        <w:t>(4), 213–236. https://doi.org/10.1038/s41583-024-00796-z</w:t>
      </w:r>
    </w:p>
    <w:p w14:paraId="3F5B4C18" w14:textId="77777777" w:rsidR="00205CBC" w:rsidRDefault="00000000">
      <w:pPr>
        <w:pStyle w:val="Bibliographie"/>
      </w:pPr>
      <w:r>
        <w:rPr>
          <w:color w:val="1F4E9E"/>
        </w:rPr>
        <w:t xml:space="preserve">Cisek, P., &amp; Kalaska, J. F. (2005). Neural correlates of reaching decisions in dorsal premotor cortex: Specification of multiple direction choices and final selection of action. </w:t>
      </w:r>
      <w:r>
        <w:rPr>
          <w:i/>
          <w:color w:val="1F4E9E"/>
        </w:rPr>
        <w:t>Neuron</w:t>
      </w:r>
      <w:r>
        <w:rPr>
          <w:color w:val="1F4E9E"/>
        </w:rPr>
        <w:t xml:space="preserve">, </w:t>
      </w:r>
      <w:r>
        <w:rPr>
          <w:i/>
          <w:color w:val="1F4E9E"/>
        </w:rPr>
        <w:t>45</w:t>
      </w:r>
      <w:r>
        <w:rPr>
          <w:color w:val="1F4E9E"/>
        </w:rPr>
        <w:t>(5), 801–814. https://doi.org/10.1016/j.neuron.2005.01.027</w:t>
      </w:r>
    </w:p>
    <w:p w14:paraId="2C82FDB3" w14:textId="77777777" w:rsidR="0031657A" w:rsidRPr="0031657A" w:rsidRDefault="0031657A" w:rsidP="0031657A">
      <w:pPr>
        <w:pStyle w:val="Bibliographie"/>
      </w:pPr>
      <w:r w:rsidRPr="0031657A">
        <w:t xml:space="preserve">Coles, M. G., Gratton, G., Bashore, T. R., Eriksen, C. W., &amp; Donchin, E. (1985). A psychophysiological investigation of the continuous flow model of human information processing. </w:t>
      </w:r>
      <w:r w:rsidRPr="0031657A">
        <w:rPr>
          <w:i/>
          <w:iCs/>
        </w:rPr>
        <w:t>Journal of Experimental Psychology. Human Perception and Performance</w:t>
      </w:r>
      <w:r w:rsidRPr="0031657A">
        <w:t xml:space="preserve">, </w:t>
      </w:r>
      <w:r w:rsidRPr="0031657A">
        <w:rPr>
          <w:i/>
          <w:iCs/>
        </w:rPr>
        <w:t>11</w:t>
      </w:r>
      <w:r w:rsidRPr="0031657A">
        <w:t>(5), 529–553. https://doi.org/10.1037//0096-1523.11.5.529</w:t>
      </w:r>
    </w:p>
    <w:p w14:paraId="384B92B8" w14:textId="77777777" w:rsidR="0031657A" w:rsidRPr="0031657A" w:rsidRDefault="0031657A" w:rsidP="0031657A">
      <w:pPr>
        <w:pStyle w:val="Bibliographie"/>
      </w:pPr>
      <w:r w:rsidRPr="0031657A">
        <w:rPr>
          <w:strike/>
          <w:color w:val="B00000"/>
        </w:rPr>
        <w:lastRenderedPageBreak/>
        <w:t xml:space="preserve">Corbett, E. A., Martinez-Rodriguez, L. A., Judd, C., O’Connell, R. G., &amp; Kelly, S. P. (2023). Multiphasic value biases in fast-paced decisions. </w:t>
      </w:r>
      <w:r w:rsidRPr="0031657A">
        <w:rPr>
          <w:i/>
          <w:iCs/>
          <w:strike/>
          <w:color w:val="B00000"/>
        </w:rPr>
        <w:t>eLife</w:t>
      </w:r>
      <w:r w:rsidRPr="0031657A">
        <w:rPr>
          <w:strike/>
          <w:color w:val="B00000"/>
        </w:rPr>
        <w:t xml:space="preserve">, </w:t>
      </w:r>
      <w:r w:rsidRPr="0031657A">
        <w:rPr>
          <w:i/>
          <w:iCs/>
          <w:strike/>
          <w:color w:val="B00000"/>
        </w:rPr>
        <w:t>12</w:t>
      </w:r>
      <w:r w:rsidRPr="0031657A">
        <w:rPr>
          <w:strike/>
          <w:color w:val="B00000"/>
        </w:rPr>
        <w:t>, e67711. https://doi.org/10.7554/eLife.67711</w:t>
      </w:r>
    </w:p>
    <w:p w14:paraId="46487CC0" w14:textId="77777777" w:rsidR="0031657A" w:rsidRPr="0031657A" w:rsidRDefault="0031657A" w:rsidP="0031657A">
      <w:pPr>
        <w:pStyle w:val="Bibliographie"/>
      </w:pPr>
      <w:r w:rsidRPr="0031657A">
        <w:t xml:space="preserve">Dendauw, E., Evans, N. J., Logan, G. D., Haffen, E., Bennabi, D., Gajdos, T., &amp; Servant, M. (2024). The gated cascade diffusion model: An integrated theory of decision making, motor preparation, and motor execution. </w:t>
      </w:r>
      <w:r w:rsidRPr="0031657A">
        <w:rPr>
          <w:i/>
          <w:iCs/>
        </w:rPr>
        <w:t>Psychological Review</w:t>
      </w:r>
      <w:r w:rsidRPr="0031657A">
        <w:t>. https://doi.org/10.1037/rev0000464</w:t>
      </w:r>
    </w:p>
    <w:p w14:paraId="65E6BEC5" w14:textId="77777777" w:rsidR="0031657A" w:rsidRPr="0031657A" w:rsidRDefault="0031657A" w:rsidP="0031657A">
      <w:pPr>
        <w:pStyle w:val="Bibliographie"/>
      </w:pPr>
      <w:r w:rsidRPr="0031657A">
        <w:t xml:space="preserve">Dendauw, E., Logan, G. D., Schall, J. D., Gajdos Preuss, T., &amp; Servant, M. (2026). Separating decision and motor contributions to behavioral biases induced by manipulating stimulus probability. </w:t>
      </w:r>
      <w:r w:rsidRPr="0031657A">
        <w:rPr>
          <w:i/>
          <w:iCs/>
        </w:rPr>
        <w:t>Cognitive Psychology</w:t>
      </w:r>
      <w:r w:rsidRPr="0031657A">
        <w:t xml:space="preserve">, </w:t>
      </w:r>
      <w:r w:rsidRPr="0031657A">
        <w:rPr>
          <w:i/>
          <w:iCs/>
        </w:rPr>
        <w:t>165</w:t>
      </w:r>
      <w:r w:rsidRPr="0031657A">
        <w:t>, 101818. https://doi.org/10.1016/j.cogpsych.2026.101818</w:t>
      </w:r>
    </w:p>
    <w:p w14:paraId="6031706B" w14:textId="77777777" w:rsidR="0031657A" w:rsidRPr="0031657A" w:rsidRDefault="0031657A" w:rsidP="0031657A">
      <w:pPr>
        <w:pStyle w:val="Bibliographie"/>
      </w:pPr>
      <w:r w:rsidRPr="0031657A">
        <w:t xml:space="preserve">Donner, T. H., Siegel, M., Fries, P., &amp; Engel, A. K. (2009). Buildup of Choice-Predictive Activity in Human Motor Cortex during Perceptual Decision Making. </w:t>
      </w:r>
      <w:r w:rsidRPr="0031657A">
        <w:rPr>
          <w:i/>
          <w:iCs/>
        </w:rPr>
        <w:t>Current Biology</w:t>
      </w:r>
      <w:r w:rsidRPr="0031657A">
        <w:t xml:space="preserve">, </w:t>
      </w:r>
      <w:r w:rsidRPr="0031657A">
        <w:rPr>
          <w:i/>
          <w:iCs/>
        </w:rPr>
        <w:t>19</w:t>
      </w:r>
      <w:r w:rsidRPr="0031657A">
        <w:t>(18), 1581–1585. https://doi.org/10.1016/j.cub.2009.07.066</w:t>
      </w:r>
    </w:p>
    <w:p w14:paraId="63B2A571" w14:textId="77777777" w:rsidR="0031657A" w:rsidRPr="0031657A" w:rsidRDefault="0031657A" w:rsidP="0031657A">
      <w:pPr>
        <w:pStyle w:val="Bibliographie"/>
      </w:pPr>
      <w:r w:rsidRPr="0031657A">
        <w:t xml:space="preserve">Eimer, M. (1998). The lateralized readiness potential as an on-line measure of central response activiation processes. </w:t>
      </w:r>
      <w:r w:rsidRPr="0031657A">
        <w:rPr>
          <w:i/>
          <w:iCs/>
        </w:rPr>
        <w:t>Behavior Research Methods, Instruments &amp; Computers</w:t>
      </w:r>
      <w:r w:rsidRPr="0031657A">
        <w:t xml:space="preserve">, </w:t>
      </w:r>
      <w:r w:rsidRPr="0031657A">
        <w:rPr>
          <w:i/>
          <w:iCs/>
        </w:rPr>
        <w:t>30</w:t>
      </w:r>
      <w:r w:rsidRPr="0031657A">
        <w:t>(1), 146–156. https://doi.org/10.3758/BF03209424</w:t>
      </w:r>
    </w:p>
    <w:p w14:paraId="5781C175" w14:textId="77777777" w:rsidR="0031657A" w:rsidRPr="0031657A" w:rsidRDefault="0031657A" w:rsidP="0031657A">
      <w:pPr>
        <w:pStyle w:val="Bibliographie"/>
      </w:pPr>
      <w:r w:rsidRPr="0031657A">
        <w:t xml:space="preserve">Forstmann, B. U., Ratcliff, R., &amp; Wagenmakers, E.-J. (2016). Sequential Sampling Models in Cognitive Neuroscience: Advantages, Applications, and Extensions. </w:t>
      </w:r>
      <w:r w:rsidRPr="0031657A">
        <w:rPr>
          <w:i/>
          <w:iCs/>
        </w:rPr>
        <w:t>Annual Review of Psychology</w:t>
      </w:r>
      <w:r w:rsidRPr="0031657A">
        <w:t xml:space="preserve">, </w:t>
      </w:r>
      <w:r w:rsidRPr="0031657A">
        <w:rPr>
          <w:i/>
          <w:iCs/>
        </w:rPr>
        <w:t>67</w:t>
      </w:r>
      <w:r w:rsidRPr="0031657A">
        <w:t>, 641–666. https://doi.org/10.1146/annurev-psych-122414-033645</w:t>
      </w:r>
    </w:p>
    <w:p w14:paraId="27E78471" w14:textId="77777777" w:rsidR="0031657A" w:rsidRPr="0031657A" w:rsidRDefault="0031657A" w:rsidP="0031657A">
      <w:pPr>
        <w:pStyle w:val="Bibliographie"/>
      </w:pPr>
      <w:r w:rsidRPr="0031657A">
        <w:t xml:space="preserve">Gold, J. I., &amp; Shadlen, M. N. (2007). The neural basis of decision making. </w:t>
      </w:r>
      <w:r w:rsidRPr="0031657A">
        <w:rPr>
          <w:i/>
          <w:iCs/>
        </w:rPr>
        <w:t>Annual Review of Neuroscience</w:t>
      </w:r>
      <w:r w:rsidRPr="0031657A">
        <w:t xml:space="preserve">, </w:t>
      </w:r>
      <w:r w:rsidRPr="0031657A">
        <w:rPr>
          <w:i/>
          <w:iCs/>
        </w:rPr>
        <w:t>30</w:t>
      </w:r>
      <w:r w:rsidRPr="0031657A">
        <w:t>, 535–574. https://doi.org/10.1146/annurev.neuro.29.051605.113038</w:t>
      </w:r>
    </w:p>
    <w:p w14:paraId="77D09BD8" w14:textId="77777777" w:rsidR="0031657A" w:rsidRPr="0031657A" w:rsidRDefault="0031657A" w:rsidP="0031657A">
      <w:pPr>
        <w:pStyle w:val="Bibliographie"/>
      </w:pPr>
      <w:r w:rsidRPr="0031657A">
        <w:t xml:space="preserve">Gratton, G., Coles, M. G., Sirevaag, E. J., Eriksen, C. W., &amp; Donchin, E. (1988). Pre- and poststimulus activation of response channels: A psychophysiological analysis. </w:t>
      </w:r>
      <w:r w:rsidRPr="0031657A">
        <w:rPr>
          <w:i/>
          <w:iCs/>
        </w:rPr>
        <w:t xml:space="preserve">Journal </w:t>
      </w:r>
      <w:r w:rsidRPr="0031657A">
        <w:rPr>
          <w:i/>
          <w:iCs/>
        </w:rPr>
        <w:lastRenderedPageBreak/>
        <w:t>of Experimental Psychology. Human Perception and Performance</w:t>
      </w:r>
      <w:r w:rsidRPr="0031657A">
        <w:t xml:space="preserve">, </w:t>
      </w:r>
      <w:r w:rsidRPr="0031657A">
        <w:rPr>
          <w:i/>
          <w:iCs/>
        </w:rPr>
        <w:t>14</w:t>
      </w:r>
      <w:r w:rsidRPr="0031657A">
        <w:t>(3), 331–344. https://doi.org/10.1037//0096-1523.14.3.331</w:t>
      </w:r>
    </w:p>
    <w:p w14:paraId="18F7A189" w14:textId="77777777" w:rsidR="0031657A" w:rsidRPr="0031657A" w:rsidRDefault="0031657A" w:rsidP="0031657A">
      <w:pPr>
        <w:pStyle w:val="Bibliographie"/>
      </w:pPr>
      <w:r w:rsidRPr="0031657A">
        <w:t xml:space="preserve">Heideman, S. G., van Ede, F., &amp; Nobre, A. C. (2018). Temporal alignment of anticipatory motor cortical beta lateralisation in hidden visual‐motor sequences. </w:t>
      </w:r>
      <w:r w:rsidRPr="0031657A">
        <w:rPr>
          <w:i/>
          <w:iCs/>
        </w:rPr>
        <w:t>The European Journal of Neuroscience</w:t>
      </w:r>
      <w:r w:rsidRPr="0031657A">
        <w:t xml:space="preserve">, </w:t>
      </w:r>
      <w:r w:rsidRPr="0031657A">
        <w:rPr>
          <w:i/>
          <w:iCs/>
        </w:rPr>
        <w:t>48</w:t>
      </w:r>
      <w:r w:rsidRPr="0031657A">
        <w:t>(8), 2684–2695. https://doi.org/10.1111/ejn.13700</w:t>
      </w:r>
    </w:p>
    <w:p w14:paraId="6EFCC62E" w14:textId="77777777" w:rsidR="0031657A" w:rsidRPr="0031657A" w:rsidRDefault="0031657A" w:rsidP="0031657A">
      <w:pPr>
        <w:pStyle w:val="Bibliographie"/>
      </w:pPr>
      <w:r w:rsidRPr="0031657A">
        <w:t xml:space="preserve">Inagaki, H. K., Chen, S., Daie, K., Finkelstein, A., Fontolan, L., Romani, S., &amp; Svoboda, K. (2022). Neural Algorithms and Circuits for Motor Planning. </w:t>
      </w:r>
      <w:r w:rsidRPr="0031657A">
        <w:rPr>
          <w:i/>
          <w:iCs/>
        </w:rPr>
        <w:t>Annual Review of Neuroscience</w:t>
      </w:r>
      <w:r w:rsidRPr="0031657A">
        <w:t xml:space="preserve">, </w:t>
      </w:r>
      <w:r w:rsidRPr="0031657A">
        <w:rPr>
          <w:i/>
          <w:iCs/>
        </w:rPr>
        <w:t>45</w:t>
      </w:r>
      <w:r w:rsidRPr="0031657A">
        <w:t>, 249–271. https://doi.org/10.1146/annurev-neuro-092021-121730</w:t>
      </w:r>
    </w:p>
    <w:p w14:paraId="724BC280" w14:textId="77777777" w:rsidR="0031657A" w:rsidRPr="0031657A" w:rsidRDefault="0031657A" w:rsidP="0031657A">
      <w:pPr>
        <w:pStyle w:val="Bibliographie"/>
      </w:pPr>
      <w:r w:rsidRPr="0031657A">
        <w:t xml:space="preserve">Kelly, S. P., Corbett, E. A., &amp; O’Connell, R. G. (2021). Neurocomputational mechanisms of prior-informed perceptual decision-making in humans. </w:t>
      </w:r>
      <w:r w:rsidRPr="0031657A">
        <w:rPr>
          <w:i/>
          <w:iCs/>
        </w:rPr>
        <w:t>Nature Human Behaviour</w:t>
      </w:r>
      <w:r w:rsidRPr="0031657A">
        <w:t xml:space="preserve">, </w:t>
      </w:r>
      <w:r w:rsidRPr="0031657A">
        <w:rPr>
          <w:i/>
          <w:iCs/>
        </w:rPr>
        <w:t>5</w:t>
      </w:r>
      <w:r w:rsidRPr="0031657A">
        <w:t>(4), 467–481. https://doi.org/10.1038/s41562-020-00967-9</w:t>
      </w:r>
    </w:p>
    <w:p w14:paraId="5F71A900" w14:textId="77777777" w:rsidR="0031657A" w:rsidRPr="0031657A" w:rsidRDefault="0031657A" w:rsidP="0031657A">
      <w:pPr>
        <w:pStyle w:val="Bibliographie"/>
      </w:pPr>
      <w:r w:rsidRPr="0031657A">
        <w:t xml:space="preserve">Kelly, S. P., &amp; O’Connell, R. G. (2013). Internal and External Influences on the Rate of Sensory Evidence Accumulation in the Human Brain. </w:t>
      </w:r>
      <w:r w:rsidRPr="0031657A">
        <w:rPr>
          <w:i/>
          <w:iCs/>
        </w:rPr>
        <w:t>Journal of Neuroscience</w:t>
      </w:r>
      <w:r w:rsidRPr="0031657A">
        <w:t xml:space="preserve">, </w:t>
      </w:r>
      <w:r w:rsidRPr="0031657A">
        <w:rPr>
          <w:i/>
          <w:iCs/>
        </w:rPr>
        <w:t>33</w:t>
      </w:r>
      <w:r w:rsidRPr="0031657A">
        <w:t>(50), 19434–19441. https://doi.org/10.1523/JNEUROSCI.3355-13.2013</w:t>
      </w:r>
    </w:p>
    <w:p w14:paraId="266D529F" w14:textId="77777777" w:rsidR="0031657A" w:rsidRPr="0031657A" w:rsidRDefault="0031657A" w:rsidP="0031657A">
      <w:pPr>
        <w:pStyle w:val="Bibliographie"/>
      </w:pPr>
      <w:r w:rsidRPr="0031657A">
        <w:t xml:space="preserve">Kiani, R., Hanks, T. D., &amp; Shadlen, M. N. (2008). Bounded integration in parietal cortex underlies decisions even when viewing duration is dictated by the environment. </w:t>
      </w:r>
      <w:r w:rsidRPr="0031657A">
        <w:rPr>
          <w:i/>
          <w:iCs/>
        </w:rPr>
        <w:t>The Journal of Neuroscience: The Official Journal of the Society for Neuroscience</w:t>
      </w:r>
      <w:r w:rsidRPr="0031657A">
        <w:t xml:space="preserve">, </w:t>
      </w:r>
      <w:r w:rsidRPr="0031657A">
        <w:rPr>
          <w:i/>
          <w:iCs/>
        </w:rPr>
        <w:t>28</w:t>
      </w:r>
      <w:r w:rsidRPr="0031657A">
        <w:t>(12), 3017–3029. https://doi.org/10.1523/JNEUROSCI.4761-07.2008</w:t>
      </w:r>
    </w:p>
    <w:p w14:paraId="4B076DA3" w14:textId="77777777" w:rsidR="0031657A" w:rsidRPr="0031657A" w:rsidRDefault="0031657A" w:rsidP="0031657A">
      <w:pPr>
        <w:pStyle w:val="Bibliographie"/>
        <w:rPr>
          <w:lang w:val="fr-FR"/>
        </w:rPr>
      </w:pPr>
      <w:r w:rsidRPr="0031657A">
        <w:rPr>
          <w:lang w:val="fr-FR"/>
        </w:rPr>
        <w:t xml:space="preserve">Li, J., Zhai, M., Liu, L., Qian, Y., &amp; Liao, Y. (2026). </w:t>
      </w:r>
      <w:r w:rsidRPr="0031657A">
        <w:t xml:space="preserve">Beta Oscillations as Internal Timers: Independent Contributions of Temporal Predictability to Motor Preparation. </w:t>
      </w:r>
      <w:r w:rsidRPr="0031657A">
        <w:rPr>
          <w:i/>
          <w:iCs/>
          <w:lang w:val="fr-FR"/>
        </w:rPr>
        <w:t>Psychophysiology</w:t>
      </w:r>
      <w:r w:rsidRPr="0031657A">
        <w:rPr>
          <w:lang w:val="fr-FR"/>
        </w:rPr>
        <w:t xml:space="preserve">, </w:t>
      </w:r>
      <w:r w:rsidRPr="0031657A">
        <w:rPr>
          <w:i/>
          <w:iCs/>
          <w:lang w:val="fr-FR"/>
        </w:rPr>
        <w:t>63</w:t>
      </w:r>
      <w:r w:rsidRPr="0031657A">
        <w:rPr>
          <w:lang w:val="fr-FR"/>
        </w:rPr>
        <w:t>(2), e70249. https://doi.org/10.1111/psyp.70249</w:t>
      </w:r>
    </w:p>
    <w:p w14:paraId="7705D1D1" w14:textId="77777777" w:rsidR="0031657A" w:rsidRPr="0031657A" w:rsidRDefault="0031657A" w:rsidP="0031657A">
      <w:pPr>
        <w:pStyle w:val="Bibliographie"/>
      </w:pPr>
      <w:r w:rsidRPr="0031657A">
        <w:rPr>
          <w:lang w:val="fr-FR"/>
        </w:rPr>
        <w:t xml:space="preserve">Liu, J., &amp; Liu, Q. (2016). </w:t>
      </w:r>
      <w:r w:rsidRPr="0031657A">
        <w:t xml:space="preserve">Use of the integrated profile for voluntary muscle activity detection using EMG signals with spurious background spikes: A study with incomplete spinal cord injury. </w:t>
      </w:r>
      <w:r w:rsidRPr="0031657A">
        <w:rPr>
          <w:i/>
          <w:iCs/>
        </w:rPr>
        <w:t>Biomedical Signal Processing and Control</w:t>
      </w:r>
      <w:r w:rsidRPr="0031657A">
        <w:t xml:space="preserve">, </w:t>
      </w:r>
      <w:r w:rsidRPr="0031657A">
        <w:rPr>
          <w:i/>
          <w:iCs/>
        </w:rPr>
        <w:t>24</w:t>
      </w:r>
      <w:r w:rsidRPr="0031657A">
        <w:t>, 19–24. https://doi.org/10.1016/j.bspc.2015.09.004</w:t>
      </w:r>
    </w:p>
    <w:p w14:paraId="354F2355" w14:textId="77777777" w:rsidR="0031657A" w:rsidRPr="0031657A" w:rsidRDefault="0031657A" w:rsidP="0031657A">
      <w:pPr>
        <w:pStyle w:val="Bibliographie"/>
      </w:pPr>
      <w:r w:rsidRPr="0031657A">
        <w:lastRenderedPageBreak/>
        <w:t xml:space="preserve">Mazurek, M. E., Roitman, J. D., Ditterich, J., &amp; Shadlen, M. N. (2003). A Role for Neural Integrators in Perceptual Decision Making. </w:t>
      </w:r>
      <w:r w:rsidRPr="0031657A">
        <w:rPr>
          <w:i/>
          <w:iCs/>
        </w:rPr>
        <w:t>Cerebral Cortex</w:t>
      </w:r>
      <w:r w:rsidRPr="0031657A">
        <w:t xml:space="preserve">, </w:t>
      </w:r>
      <w:r w:rsidRPr="0031657A">
        <w:rPr>
          <w:i/>
          <w:iCs/>
        </w:rPr>
        <w:t>13</w:t>
      </w:r>
      <w:r w:rsidRPr="0031657A">
        <w:t>(11), 1257–1269. https://doi.org/10.1093/cercor/bhg097</w:t>
      </w:r>
    </w:p>
    <w:p w14:paraId="380B36A4" w14:textId="77777777" w:rsidR="0031657A" w:rsidRPr="0031657A" w:rsidRDefault="0031657A" w:rsidP="0031657A">
      <w:pPr>
        <w:pStyle w:val="Bibliographie"/>
      </w:pPr>
      <w:r w:rsidRPr="0031657A">
        <w:t xml:space="preserve">Morey, R. D. (2008). Confidence intervals from normalized data: A correction to Cousineau (2005). </w:t>
      </w:r>
      <w:r w:rsidRPr="0031657A">
        <w:rPr>
          <w:i/>
          <w:iCs/>
        </w:rPr>
        <w:t>Tutorial in Quantitative Methods for Psychology</w:t>
      </w:r>
      <w:r w:rsidRPr="0031657A">
        <w:t xml:space="preserve">, </w:t>
      </w:r>
      <w:r w:rsidRPr="0031657A">
        <w:rPr>
          <w:i/>
          <w:iCs/>
        </w:rPr>
        <w:t>4</w:t>
      </w:r>
      <w:r w:rsidRPr="0031657A">
        <w:t>(2), 61–64.</w:t>
      </w:r>
    </w:p>
    <w:p w14:paraId="213C055A" w14:textId="77777777" w:rsidR="0031657A" w:rsidRPr="0031657A" w:rsidRDefault="0031657A" w:rsidP="0031657A">
      <w:pPr>
        <w:pStyle w:val="Bibliographie"/>
      </w:pPr>
      <w:r w:rsidRPr="0031657A">
        <w:rPr>
          <w:strike/>
          <w:color w:val="B00000"/>
        </w:rPr>
        <w:t xml:space="preserve">Murphy, P. R., Boonstra, E., &amp; Nieuwenhuis, S. (2016). Global gain modulation generates time-dependent urgency during perceptual choice in humans. </w:t>
      </w:r>
      <w:r w:rsidRPr="0031657A">
        <w:rPr>
          <w:i/>
          <w:iCs/>
          <w:strike/>
          <w:color w:val="B00000"/>
        </w:rPr>
        <w:t>Nature Communications</w:t>
      </w:r>
      <w:r w:rsidRPr="0031657A">
        <w:rPr>
          <w:strike/>
          <w:color w:val="B00000"/>
        </w:rPr>
        <w:t xml:space="preserve">, </w:t>
      </w:r>
      <w:r w:rsidRPr="0031657A">
        <w:rPr>
          <w:i/>
          <w:iCs/>
          <w:strike/>
          <w:color w:val="B00000"/>
        </w:rPr>
        <w:t>7</w:t>
      </w:r>
      <w:r w:rsidRPr="0031657A">
        <w:rPr>
          <w:strike/>
          <w:color w:val="B00000"/>
        </w:rPr>
        <w:t>, 13526. https://doi.org/10.1038/ncomms13526</w:t>
      </w:r>
    </w:p>
    <w:p w14:paraId="16A60405" w14:textId="77777777" w:rsidR="0031657A" w:rsidRPr="0031657A" w:rsidRDefault="0031657A" w:rsidP="0031657A">
      <w:pPr>
        <w:pStyle w:val="Bibliographie"/>
      </w:pPr>
      <w:r w:rsidRPr="0031657A">
        <w:t xml:space="preserve">O’Connell, R. G., Dockree, P. M., &amp; Kelly, S. P. (2012). A supramodal accumulation-to-bound signal that determines perceptual decisions in humans. </w:t>
      </w:r>
      <w:r w:rsidRPr="0031657A">
        <w:rPr>
          <w:i/>
          <w:iCs/>
        </w:rPr>
        <w:t>Nature Neuroscience</w:t>
      </w:r>
      <w:r w:rsidRPr="0031657A">
        <w:t xml:space="preserve">, </w:t>
      </w:r>
      <w:r w:rsidRPr="0031657A">
        <w:rPr>
          <w:i/>
          <w:iCs/>
        </w:rPr>
        <w:t>15</w:t>
      </w:r>
      <w:r w:rsidRPr="0031657A">
        <w:t>(12), 1729–1735. https://doi.org/10.1038/nn.3248</w:t>
      </w:r>
    </w:p>
    <w:p w14:paraId="79F501BD" w14:textId="77777777" w:rsidR="0031657A" w:rsidRPr="0031657A" w:rsidRDefault="0031657A" w:rsidP="0031657A">
      <w:pPr>
        <w:pStyle w:val="Bibliographie"/>
      </w:pPr>
      <w:r w:rsidRPr="0031657A">
        <w:t xml:space="preserve">O’Connell, R. G., &amp; Kelly, S. P. (2021). Neurophysiology of Human Perceptual Decision-Making. </w:t>
      </w:r>
      <w:r w:rsidRPr="0031657A">
        <w:rPr>
          <w:i/>
          <w:iCs/>
        </w:rPr>
        <w:t>Annual Review of Neuroscience</w:t>
      </w:r>
      <w:r w:rsidRPr="0031657A">
        <w:t xml:space="preserve">, </w:t>
      </w:r>
      <w:r w:rsidRPr="0031657A">
        <w:rPr>
          <w:i/>
          <w:iCs/>
        </w:rPr>
        <w:t>44</w:t>
      </w:r>
      <w:r w:rsidRPr="0031657A">
        <w:t>, 495–516. https://doi.org/10.1146/annurev-neuro-092019-100200</w:t>
      </w:r>
    </w:p>
    <w:p w14:paraId="4750AC44" w14:textId="77777777" w:rsidR="0031657A" w:rsidRPr="0031657A" w:rsidRDefault="0031657A" w:rsidP="0031657A">
      <w:pPr>
        <w:pStyle w:val="Bibliographie"/>
      </w:pPr>
      <w:r w:rsidRPr="0031657A">
        <w:t xml:space="preserve">Pfurtscheller, G., &amp; Lopes da Silva, F. H. (1999). Event-related EEG/MEG synchronization and desynchronization: Basic principles. </w:t>
      </w:r>
      <w:r w:rsidRPr="0031657A">
        <w:rPr>
          <w:i/>
          <w:iCs/>
        </w:rPr>
        <w:t>Clinical Neurophysiology: Official Journal of the International Federation of Clinical Neurophysiology</w:t>
      </w:r>
      <w:r w:rsidRPr="0031657A">
        <w:t xml:space="preserve">, </w:t>
      </w:r>
      <w:r w:rsidRPr="0031657A">
        <w:rPr>
          <w:i/>
          <w:iCs/>
        </w:rPr>
        <w:t>110</w:t>
      </w:r>
      <w:r w:rsidRPr="0031657A">
        <w:t>(11), 1842–1857. https://doi.org/10.1016/s1388-2457(99)00141-8</w:t>
      </w:r>
    </w:p>
    <w:p w14:paraId="7CED893C" w14:textId="77777777" w:rsidR="0031657A" w:rsidRPr="0031657A" w:rsidRDefault="0031657A" w:rsidP="0031657A">
      <w:pPr>
        <w:pStyle w:val="Bibliographie"/>
      </w:pPr>
      <w:r w:rsidRPr="0031657A">
        <w:t xml:space="preserve">Ramayya, A. G., Buch, V., Richardson, A., Lucas, T., &amp; Gold, J. I. (2025). Human response times are governed by dual anticipatory processes with distinct neural signatures. </w:t>
      </w:r>
      <w:r w:rsidRPr="0031657A">
        <w:rPr>
          <w:i/>
          <w:iCs/>
        </w:rPr>
        <w:t>Communications Biology</w:t>
      </w:r>
      <w:r w:rsidRPr="0031657A">
        <w:t xml:space="preserve">, </w:t>
      </w:r>
      <w:r w:rsidRPr="0031657A">
        <w:rPr>
          <w:i/>
          <w:iCs/>
        </w:rPr>
        <w:t>8</w:t>
      </w:r>
      <w:r w:rsidRPr="0031657A">
        <w:t>(1), 124. https://doi.org/10.1038/s42003-025-07516-y</w:t>
      </w:r>
    </w:p>
    <w:p w14:paraId="3FB6CF83" w14:textId="77777777" w:rsidR="0031657A" w:rsidRPr="0031657A" w:rsidRDefault="0031657A" w:rsidP="0031657A">
      <w:pPr>
        <w:pStyle w:val="Bibliographie"/>
      </w:pPr>
      <w:r>
        <w:rPr>
          <w:color w:val="1F4E9E"/>
        </w:rPr>
        <w:t>Ratcliff, R., &amp; Tuerlinckx, F. (2002). Estimating parameters of the diffusion model: Approaches to dealing with contaminant reaction times and parameter variability. Psychonomic Bulletin &amp; Review, 9(3), 438–481. https://doi.org/10.3758/BF03196302</w:t>
      </w:r>
    </w:p>
    <w:p w14:paraId="3FB6CF83" w14:textId="77777777" w:rsidR="0031657A" w:rsidRPr="0031657A" w:rsidRDefault="0031657A" w:rsidP="0031657A">
      <w:pPr>
        <w:pStyle w:val="Bibliographie"/>
      </w:pPr>
      <w:r w:rsidRPr="0031657A">
        <w:t xml:space="preserve">Ratcliff, R., &amp; Van Dongen, H. P. A. (2011). Diffusion model for one-choice reaction-time tasks and the cognitive effects of sleep deprivation. </w:t>
      </w:r>
      <w:r w:rsidRPr="0031657A">
        <w:rPr>
          <w:i/>
          <w:iCs/>
        </w:rPr>
        <w:t>Proceedings of the National Academy of Sciences of the United States of America</w:t>
      </w:r>
      <w:r w:rsidRPr="0031657A">
        <w:t xml:space="preserve">, </w:t>
      </w:r>
      <w:r w:rsidRPr="0031657A">
        <w:rPr>
          <w:i/>
          <w:iCs/>
        </w:rPr>
        <w:t>108</w:t>
      </w:r>
      <w:r w:rsidRPr="0031657A">
        <w:t>(27), 11285–11290. https://doi.org/10.1073/pnas.1100483108</w:t>
      </w:r>
    </w:p>
    <w:p w14:paraId="6343B313" w14:textId="77777777" w:rsidR="0031657A" w:rsidRPr="0031657A" w:rsidRDefault="0031657A" w:rsidP="0031657A">
      <w:pPr>
        <w:pStyle w:val="Bibliographie"/>
      </w:pPr>
      <w:r w:rsidRPr="0031657A">
        <w:lastRenderedPageBreak/>
        <w:t xml:space="preserve">Resulaj, A., Kiani, R., Wolpert, D. M., &amp; Shadlen, M. N. (2009). Changes of mind in decision-making. </w:t>
      </w:r>
      <w:r w:rsidRPr="0031657A">
        <w:rPr>
          <w:i/>
          <w:iCs/>
        </w:rPr>
        <w:t>Nature</w:t>
      </w:r>
      <w:r w:rsidRPr="0031657A">
        <w:t xml:space="preserve">, </w:t>
      </w:r>
      <w:r w:rsidRPr="0031657A">
        <w:rPr>
          <w:i/>
          <w:iCs/>
        </w:rPr>
        <w:t>461</w:t>
      </w:r>
      <w:r w:rsidRPr="0031657A">
        <w:t>(7261), 263–266. https://doi.org/10.1038/nature08275</w:t>
      </w:r>
    </w:p>
    <w:p w14:paraId="3739BB9E" w14:textId="77777777" w:rsidR="00205CBC" w:rsidRDefault="00000000">
      <w:pPr>
        <w:pStyle w:val="Bibliographie"/>
      </w:pPr>
      <w:r>
        <w:rPr>
          <w:color w:val="1F4E9E"/>
        </w:rPr>
        <w:t xml:space="preserve">Roitman, J. D., &amp; Shadlen, M. N. (2002). Response of neurons in the lateral intraparietal area during a combined visual discrimination reaction time task. </w:t>
      </w:r>
      <w:r>
        <w:rPr>
          <w:i/>
        </w:rPr>
        <w:t>The Journal of Neuroscience: The Official Journal of the Society for Neuroscience</w:t>
      </w:r>
      <w:r>
        <w:t xml:space="preserve">, </w:t>
      </w:r>
      <w:r>
        <w:rPr>
          <w:i/>
        </w:rPr>
        <w:t>22</w:t>
      </w:r>
      <w:r>
        <w:rPr>
          <w:color w:val="1F4E9E"/>
        </w:rPr>
        <w:t>(21), 9475–9489. https://doi.org/10.1523/JNEUROSCI.22-21-09475.2002</w:t>
      </w:r>
    </w:p>
    <w:p w14:paraId="3CDF5C76" w14:textId="77777777" w:rsidR="0031657A" w:rsidRPr="0031657A" w:rsidRDefault="0031657A" w:rsidP="0031657A">
      <w:pPr>
        <w:pStyle w:val="Bibliographie"/>
        <w:rPr>
          <w:lang w:val="fr-FR"/>
        </w:rPr>
      </w:pPr>
      <w:r w:rsidRPr="0031657A">
        <w:t xml:space="preserve">Rogge, J., Jocham, G., &amp; Ullsperger, M. (2022). Motor cortical signals reflecting decision making and action preparation. </w:t>
      </w:r>
      <w:r w:rsidRPr="0031657A">
        <w:rPr>
          <w:i/>
          <w:iCs/>
          <w:lang w:val="fr-FR"/>
        </w:rPr>
        <w:t>NeuroImage</w:t>
      </w:r>
      <w:r w:rsidRPr="0031657A">
        <w:rPr>
          <w:lang w:val="fr-FR"/>
        </w:rPr>
        <w:t xml:space="preserve">, </w:t>
      </w:r>
      <w:r w:rsidRPr="0031657A">
        <w:rPr>
          <w:i/>
          <w:iCs/>
          <w:lang w:val="fr-FR"/>
        </w:rPr>
        <w:t>263</w:t>
      </w:r>
      <w:r w:rsidRPr="0031657A">
        <w:rPr>
          <w:lang w:val="fr-FR"/>
        </w:rPr>
        <w:t>, 119667. https://doi.org/10.1016/j.neuroimage.2022.119667</w:t>
      </w:r>
    </w:p>
    <w:p w14:paraId="5FEB0052" w14:textId="77777777" w:rsidR="0031657A" w:rsidRPr="0031657A" w:rsidRDefault="0031657A" w:rsidP="0031657A">
      <w:pPr>
        <w:pStyle w:val="Bibliographie"/>
      </w:pPr>
      <w:r w:rsidRPr="0031657A">
        <w:rPr>
          <w:lang w:val="fr-FR"/>
        </w:rPr>
        <w:t xml:space="preserve">Santello, M., &amp; McDonagh, M. J. (1998). </w:t>
      </w:r>
      <w:r w:rsidRPr="0031657A">
        <w:t xml:space="preserve">The control of timing and amplitude of EMG activity in landing movements in humans. </w:t>
      </w:r>
      <w:r w:rsidRPr="0031657A">
        <w:rPr>
          <w:i/>
          <w:iCs/>
        </w:rPr>
        <w:t>Experimental Physiology</w:t>
      </w:r>
      <w:r w:rsidRPr="0031657A">
        <w:t xml:space="preserve">, </w:t>
      </w:r>
      <w:r w:rsidRPr="0031657A">
        <w:rPr>
          <w:i/>
          <w:iCs/>
        </w:rPr>
        <w:t>83</w:t>
      </w:r>
      <w:r w:rsidRPr="0031657A">
        <w:t>(6), 857–874. https://doi.org/10.1113/expphysiol.1998.sp004165</w:t>
      </w:r>
    </w:p>
    <w:p w14:paraId="55782161" w14:textId="77777777" w:rsidR="0031657A" w:rsidRPr="0031657A" w:rsidRDefault="0031657A" w:rsidP="0031657A">
      <w:pPr>
        <w:pStyle w:val="Bibliographie"/>
      </w:pPr>
      <w:r w:rsidRPr="0031657A">
        <w:t xml:space="preserve">Selen, L. P. J., Shadlen, M. N., &amp; Wolpert, D. M. (2012). Deliberation in the motor system: Reflex gains track evolving evidence leading to a decision. </w:t>
      </w:r>
      <w:r w:rsidRPr="0031657A">
        <w:rPr>
          <w:i/>
          <w:iCs/>
        </w:rPr>
        <w:t>The Journal of Neuroscience: The Official Journal of the Society for Neuroscience</w:t>
      </w:r>
      <w:r w:rsidRPr="0031657A">
        <w:t xml:space="preserve">, </w:t>
      </w:r>
      <w:r w:rsidRPr="0031657A">
        <w:rPr>
          <w:i/>
          <w:iCs/>
        </w:rPr>
        <w:t>32</w:t>
      </w:r>
      <w:r w:rsidRPr="0031657A">
        <w:t>(7), 2276–2286. https://doi.org/10.1523/JNEUROSCI.5273-11.2012</w:t>
      </w:r>
    </w:p>
    <w:p w14:paraId="7CA56D09" w14:textId="77777777" w:rsidR="0031657A" w:rsidRPr="0031657A" w:rsidRDefault="0031657A" w:rsidP="0031657A">
      <w:pPr>
        <w:pStyle w:val="Bibliographie"/>
      </w:pPr>
      <w:r w:rsidRPr="0031657A">
        <w:t xml:space="preserve">Servant, M., Logan, G. D., Gajdos, T., &amp; Evans, N. J. (2021). An integrated theory of deciding and acting. </w:t>
      </w:r>
      <w:r w:rsidRPr="0031657A">
        <w:rPr>
          <w:i/>
          <w:iCs/>
        </w:rPr>
        <w:t>Journal of Experimental Psychology. General</w:t>
      </w:r>
      <w:r w:rsidRPr="0031657A">
        <w:t xml:space="preserve">, </w:t>
      </w:r>
      <w:r w:rsidRPr="0031657A">
        <w:rPr>
          <w:i/>
          <w:iCs/>
        </w:rPr>
        <w:t>150</w:t>
      </w:r>
      <w:r w:rsidRPr="0031657A">
        <w:t>(12), 2435–2454. https://doi.org/10.1037/xge0001063</w:t>
      </w:r>
    </w:p>
    <w:p w14:paraId="7154FA90" w14:textId="77777777" w:rsidR="0031657A" w:rsidRPr="0031657A" w:rsidRDefault="0031657A" w:rsidP="0031657A">
      <w:pPr>
        <w:pStyle w:val="Bibliographie"/>
      </w:pPr>
      <w:r w:rsidRPr="0031657A">
        <w:t xml:space="preserve">Servant, M., Tillman, G., Schall, J. D., Logan, G. D., &amp; Palmeri, T. J. (2019). Neurally constrained modeling of speed-accuracy tradeoff during visual search: Gated accumulation of modulated evidence. </w:t>
      </w:r>
      <w:r w:rsidRPr="0031657A">
        <w:rPr>
          <w:i/>
          <w:iCs/>
        </w:rPr>
        <w:t>Journal of Neurophysiology</w:t>
      </w:r>
      <w:r w:rsidRPr="0031657A">
        <w:t xml:space="preserve">, </w:t>
      </w:r>
      <w:r w:rsidRPr="0031657A">
        <w:rPr>
          <w:i/>
          <w:iCs/>
        </w:rPr>
        <w:t>121</w:t>
      </w:r>
      <w:r w:rsidRPr="0031657A">
        <w:t>(4), 1300–1314. https://doi.org/10.1152/jn.00507.2018</w:t>
      </w:r>
    </w:p>
    <w:p w14:paraId="641D4FBC" w14:textId="77777777" w:rsidR="0031657A" w:rsidRPr="0031657A" w:rsidRDefault="0031657A" w:rsidP="0031657A">
      <w:pPr>
        <w:pStyle w:val="Bibliographie"/>
      </w:pPr>
      <w:r w:rsidRPr="0031657A">
        <w:t xml:space="preserve">Smith, P. L. (1995). Psychophysically principled models of visual simple reaction time. </w:t>
      </w:r>
      <w:r w:rsidRPr="0031657A">
        <w:rPr>
          <w:i/>
          <w:iCs/>
        </w:rPr>
        <w:t>Psychological Review</w:t>
      </w:r>
      <w:r w:rsidRPr="0031657A">
        <w:t xml:space="preserve">, </w:t>
      </w:r>
      <w:r w:rsidRPr="0031657A">
        <w:rPr>
          <w:i/>
          <w:iCs/>
        </w:rPr>
        <w:t>102</w:t>
      </w:r>
      <w:r w:rsidRPr="0031657A">
        <w:t>(3), 567–593. https://doi.org/10.1037/0033-295X.102.3.567</w:t>
      </w:r>
    </w:p>
    <w:p w14:paraId="5388CF04" w14:textId="77777777" w:rsidR="0031657A" w:rsidRPr="0031657A" w:rsidRDefault="0031657A" w:rsidP="0031657A">
      <w:pPr>
        <w:pStyle w:val="Bibliographie"/>
      </w:pPr>
      <w:r w:rsidRPr="0031657A">
        <w:lastRenderedPageBreak/>
        <w:t xml:space="preserve">Twomey, D. M., Kelly, S. P., &amp; O’Connell, R. G. (2016). Abstract and Effector-Selective Decision Signals Exhibit Qualitatively Distinct Dynamics before Delayed Perceptual Reports. </w:t>
      </w:r>
      <w:r w:rsidRPr="0031657A">
        <w:rPr>
          <w:i/>
          <w:iCs/>
        </w:rPr>
        <w:t>The Journal of Neuroscience: The Official Journal of the Society for Neuroscience</w:t>
      </w:r>
      <w:r w:rsidRPr="0031657A">
        <w:t xml:space="preserve">, </w:t>
      </w:r>
      <w:r w:rsidRPr="0031657A">
        <w:rPr>
          <w:i/>
          <w:iCs/>
        </w:rPr>
        <w:t>36</w:t>
      </w:r>
      <w:r w:rsidRPr="0031657A">
        <w:t>(28), 7346–7352. https://doi.org/10.1523/JNEUROSCI.4162-15.2016</w:t>
      </w:r>
    </w:p>
    <w:p w14:paraId="427A9FA0" w14:textId="77777777" w:rsidR="0031657A" w:rsidRPr="0031657A" w:rsidRDefault="0031657A" w:rsidP="0031657A">
      <w:pPr>
        <w:pStyle w:val="Bibliographie"/>
      </w:pPr>
      <w:r w:rsidRPr="0031657A">
        <w:t xml:space="preserve">Usher, M., &amp; McClelland, J. L. (2001). The time course of perceptual choice: The leaky, competing accumulator model. </w:t>
      </w:r>
      <w:r w:rsidRPr="0031657A">
        <w:rPr>
          <w:i/>
          <w:iCs/>
        </w:rPr>
        <w:t>Psychological Review</w:t>
      </w:r>
      <w:r w:rsidRPr="0031657A">
        <w:t xml:space="preserve">, </w:t>
      </w:r>
      <w:r w:rsidRPr="0031657A">
        <w:rPr>
          <w:i/>
          <w:iCs/>
        </w:rPr>
        <w:t>108</w:t>
      </w:r>
      <w:r w:rsidRPr="0031657A">
        <w:t>(3), 550–592. https://doi.org/10.1037/0033-295x.108.3.550</w:t>
      </w:r>
    </w:p>
    <w:p w14:paraId="754A886D" w14:textId="77777777" w:rsidR="00205CBC" w:rsidRDefault="00000000">
      <w:pPr>
        <w:pStyle w:val="Bibliographie"/>
      </w:pPr>
      <w:r>
        <w:rPr>
          <w:color w:val="1F4E9E"/>
        </w:rPr>
        <w:t xml:space="preserve">van Ede, F., &amp; Nobre, A. C. (2023). Turning attention inside out: How working memory serves behavior. </w:t>
      </w:r>
      <w:r>
        <w:rPr>
          <w:i/>
        </w:rPr>
        <w:t>Annual Review of Psychology</w:t>
      </w:r>
      <w:r>
        <w:t xml:space="preserve">, </w:t>
      </w:r>
      <w:r>
        <w:rPr>
          <w:i/>
        </w:rPr>
        <w:t>74</w:t>
      </w:r>
      <w:r>
        <w:rPr>
          <w:color w:val="1F4E9E"/>
        </w:rPr>
        <w:t>, 137–165. https://doi.org/10.1146/annurev-psych-021422-041757</w:t>
      </w:r>
    </w:p>
    <w:p w14:paraId="4760AC7E" w14:textId="77777777" w:rsidR="0031657A" w:rsidRPr="0031657A" w:rsidRDefault="0031657A" w:rsidP="0031657A">
      <w:pPr>
        <w:pStyle w:val="Bibliographie"/>
      </w:pPr>
      <w:r w:rsidRPr="0031657A">
        <w:rPr>
          <w:strike/>
          <w:color w:val="B00000"/>
        </w:rPr>
        <w:t xml:space="preserve">van Vugt, M. K., Simen, P., Nystrom, L., Holmes, P., &amp; Cohen, J. D. (2014). Lateralized Readiness Potentials Reveal Properties of a Neural Mechanism for Implementing a Decision Threshold. </w:t>
      </w:r>
      <w:r w:rsidRPr="0031657A">
        <w:rPr>
          <w:i/>
          <w:iCs/>
          <w:strike/>
          <w:color w:val="B00000"/>
        </w:rPr>
        <w:t>PLoS ONE</w:t>
      </w:r>
      <w:r w:rsidRPr="0031657A">
        <w:rPr>
          <w:strike/>
          <w:color w:val="B00000"/>
        </w:rPr>
        <w:t xml:space="preserve">, </w:t>
      </w:r>
      <w:r w:rsidRPr="0031657A">
        <w:rPr>
          <w:i/>
          <w:iCs/>
          <w:strike/>
          <w:color w:val="B00000"/>
        </w:rPr>
        <w:t>9</w:t>
      </w:r>
      <w:r w:rsidRPr="0031657A">
        <w:rPr>
          <w:strike/>
          <w:color w:val="B00000"/>
        </w:rPr>
        <w:t>(3), e90943. https://doi.org/10.1371/journal.pone.0090943</w:t>
      </w:r>
    </w:p>
    <w:p w14:paraId="62C63104" w14:textId="77777777" w:rsidR="0031657A" w:rsidRPr="0031657A" w:rsidRDefault="0031657A" w:rsidP="0031657A">
      <w:pPr>
        <w:pStyle w:val="Bibliographie"/>
      </w:pPr>
      <w:r w:rsidRPr="0031657A">
        <w:t xml:space="preserve">Verdonck, S., Loossens, T., &amp; Philiastides, M. G. (2020). The Leaky Integrating Threshold and its impact on evidence accumulation models of choice response time (RT). </w:t>
      </w:r>
      <w:r w:rsidRPr="0031657A">
        <w:rPr>
          <w:i/>
          <w:iCs/>
        </w:rPr>
        <w:t>Psychological Review</w:t>
      </w:r>
      <w:r w:rsidRPr="0031657A">
        <w:t>. https://doi.org/10.1037/rev0000258</w:t>
      </w:r>
    </w:p>
    <w:p w14:paraId="68535F16" w14:textId="77777777" w:rsidR="0031657A" w:rsidRPr="0031657A" w:rsidRDefault="0031657A" w:rsidP="0031657A">
      <w:pPr>
        <w:pStyle w:val="Bibliographie"/>
      </w:pPr>
      <w:r w:rsidRPr="0031657A">
        <w:t xml:space="preserve">Wang, X.-J. (2008). Decision making in recurrent neuronal circuits. </w:t>
      </w:r>
      <w:r w:rsidRPr="0031657A">
        <w:rPr>
          <w:i/>
          <w:iCs/>
        </w:rPr>
        <w:t>Neuron</w:t>
      </w:r>
      <w:r w:rsidRPr="0031657A">
        <w:t xml:space="preserve">, </w:t>
      </w:r>
      <w:r w:rsidRPr="0031657A">
        <w:rPr>
          <w:i/>
          <w:iCs/>
        </w:rPr>
        <w:t>60</w:t>
      </w:r>
      <w:r w:rsidRPr="0031657A">
        <w:t>(2), 215–234. https://doi.org/10.1016/j.neuron.2008.09.034</w:t>
      </w:r>
    </w:p>
    <w:p w14:paraId="425B70A2" w14:textId="77777777" w:rsidR="00E9704A" w:rsidRDefault="00E9704A" w:rsidP="0028568C">
      <w:pPr>
        <w:pStyle w:val="Titre1"/>
        <w:jc w:val="center"/>
        <w:sectPr w:rsidR="00E9704A">
          <w:pgSz w:w="11906" w:h="16838"/>
          <w:pgMar w:top="1417" w:right="1417" w:bottom="1417" w:left="1417" w:header="708" w:footer="708" w:gutter="0"/>
          <w:cols w:space="708"/>
          <w:docGrid w:linePitch="360"/>
        </w:sectPr>
      </w:pPr>
    </w:p>
    <w:p w14:paraId="48FCDAF5" w14:textId="77777777" w:rsidR="0028568C" w:rsidRDefault="00726032" w:rsidP="0028568C">
      <w:pPr>
        <w:pStyle w:val="Titre1"/>
        <w:jc w:val="center"/>
      </w:pPr>
      <w:r>
        <w:lastRenderedPageBreak/>
        <w:t>Supplemental</w:t>
      </w:r>
      <w:r w:rsidR="002A70D9">
        <w:t xml:space="preserve"> Material</w:t>
      </w:r>
    </w:p>
    <w:p w14:paraId="2768B642" w14:textId="77777777" w:rsidR="00CC31C6" w:rsidRPr="00CB645F" w:rsidRDefault="00115B0A" w:rsidP="00CC31C6">
      <w:pPr>
        <w:spacing w:after="0"/>
        <w:jc w:val="center"/>
        <w:rPr>
          <w:rFonts w:eastAsia="SimSun"/>
          <w:color w:val="000000"/>
          <w:vertAlign w:val="superscript"/>
          <w:lang w:eastAsia="ja-JP"/>
        </w:rPr>
      </w:pPr>
      <w:r w:rsidRPr="000A420D">
        <w:rPr>
          <w:b/>
          <w:bCs/>
          <w:szCs w:val="32"/>
        </w:rPr>
        <w:t xml:space="preserve">Graded Motor-Preparatory Dynamics Preserve Perceptual Decisions over Short Delays </w:t>
      </w:r>
      <w:r w:rsidR="00CC31C6" w:rsidRPr="00CB645F">
        <w:rPr>
          <w:rFonts w:eastAsia="SimSun"/>
          <w:lang w:eastAsia="ja-JP"/>
        </w:rPr>
        <w:t xml:space="preserve">Johan </w:t>
      </w:r>
      <w:r w:rsidR="000A420D">
        <w:rPr>
          <w:rFonts w:eastAsia="SimSun"/>
          <w:color w:val="000000"/>
          <w:lang w:eastAsia="ja-JP"/>
        </w:rPr>
        <w:t xml:space="preserve">A. </w:t>
      </w:r>
      <w:r w:rsidR="00CC31C6" w:rsidRPr="00CB645F">
        <w:rPr>
          <w:rFonts w:eastAsia="SimSun"/>
          <w:lang w:eastAsia="ja-JP"/>
        </w:rPr>
        <w:t>Achard</w:t>
      </w:r>
      <w:r w:rsidR="00CC31C6" w:rsidRPr="00CB645F">
        <w:rPr>
          <w:rFonts w:eastAsia="SimSun"/>
          <w:color w:val="000000"/>
          <w:lang w:eastAsia="ja-JP"/>
        </w:rPr>
        <w:t xml:space="preserve">, </w:t>
      </w:r>
      <w:r w:rsidR="00CC31C6" w:rsidRPr="00CB645F">
        <w:rPr>
          <w:rFonts w:eastAsia="SimSun"/>
          <w:lang w:eastAsia="ja-JP"/>
        </w:rPr>
        <w:t>Thibault Gajdos Preuss, Mathieu Servant</w:t>
      </w:r>
    </w:p>
    <w:p w14:paraId="7724BFDD" w14:textId="77777777" w:rsidR="00CC31C6" w:rsidRPr="00CC31C6" w:rsidRDefault="00CC31C6" w:rsidP="00CC31C6"/>
    <w:p w14:paraId="57E182D6" w14:textId="77777777" w:rsidR="00F47997" w:rsidRDefault="00F47997" w:rsidP="00757933">
      <w:pPr>
        <w:spacing w:before="240" w:after="0" w:line="360" w:lineRule="auto"/>
        <w:rPr>
          <w:b/>
          <w:szCs w:val="22"/>
        </w:rPr>
      </w:pPr>
    </w:p>
    <w:p w14:paraId="016527D5" w14:textId="77777777" w:rsidR="00F47997" w:rsidRDefault="00F47997" w:rsidP="00757933">
      <w:pPr>
        <w:spacing w:before="240" w:after="0" w:line="360" w:lineRule="auto"/>
        <w:rPr>
          <w:b/>
          <w:szCs w:val="22"/>
        </w:rPr>
      </w:pPr>
    </w:p>
    <w:p w14:paraId="20B5D2EC" w14:textId="77777777" w:rsidR="00A109EC" w:rsidRDefault="00A109EC" w:rsidP="00757933">
      <w:pPr>
        <w:spacing w:before="240" w:after="0" w:line="360" w:lineRule="auto"/>
        <w:rPr>
          <w:b/>
          <w:szCs w:val="22"/>
        </w:rPr>
      </w:pPr>
    </w:p>
    <w:p w14:paraId="7A697894" w14:textId="77777777" w:rsidR="00775E71" w:rsidRDefault="00E553C5" w:rsidP="00ED700A">
      <w:pPr>
        <w:spacing w:before="240" w:after="0" w:line="276" w:lineRule="auto"/>
        <w:rPr>
          <w:sz w:val="22"/>
          <w:szCs w:val="22"/>
        </w:rPr>
      </w:pPr>
      <w:r w:rsidRPr="00ED700A">
        <w:rPr>
          <w:b/>
          <w:sz w:val="22"/>
          <w:szCs w:val="22"/>
        </w:rPr>
        <w:t xml:space="preserve">Fig S1. </w:t>
      </w:r>
      <w:r w:rsidR="00757933" w:rsidRPr="00ED700A">
        <w:rPr>
          <w:b/>
          <w:sz w:val="22"/>
          <w:szCs w:val="22"/>
        </w:rPr>
        <w:t>P</w:t>
      </w:r>
      <w:r w:rsidR="00775E71" w:rsidRPr="00ED700A">
        <w:rPr>
          <w:b/>
          <w:sz w:val="22"/>
          <w:szCs w:val="22"/>
        </w:rPr>
        <w:t xml:space="preserve">roportion of premature responses </w:t>
      </w:r>
      <w:r w:rsidR="00757933" w:rsidRPr="00ED700A">
        <w:rPr>
          <w:b/>
          <w:sz w:val="22"/>
          <w:szCs w:val="22"/>
        </w:rPr>
        <w:t>within a</w:t>
      </w:r>
      <w:r w:rsidR="00775E71" w:rsidRPr="00ED700A">
        <w:rPr>
          <w:b/>
          <w:sz w:val="22"/>
          <w:szCs w:val="22"/>
        </w:rPr>
        <w:t xml:space="preserve"> 0.4 s window centered on response signal onset as a function of motion coherence and duration</w:t>
      </w:r>
      <w:r w:rsidR="00757933" w:rsidRPr="00ED700A">
        <w:rPr>
          <w:b/>
          <w:sz w:val="22"/>
          <w:szCs w:val="22"/>
        </w:rPr>
        <w:t>, averaged across subjects</w:t>
      </w:r>
      <w:r w:rsidRPr="00ED700A">
        <w:rPr>
          <w:b/>
          <w:sz w:val="22"/>
          <w:szCs w:val="22"/>
        </w:rPr>
        <w:t>.</w:t>
      </w:r>
      <w:r w:rsidRPr="00ED700A">
        <w:rPr>
          <w:i/>
          <w:sz w:val="22"/>
          <w:szCs w:val="22"/>
        </w:rPr>
        <w:t xml:space="preserve"> </w:t>
      </w:r>
      <w:r w:rsidR="00BB6B97" w:rsidRPr="00BB6B97">
        <w:rPr>
          <w:sz w:val="22"/>
          <w:szCs w:val="22"/>
        </w:rPr>
        <w:t>Error bars represent ±1 within-subjects standard error of the mean, computed using the method proposed by Morey (2008).</w:t>
      </w:r>
    </w:p>
    <w:p w14:paraId="3B43D118" w14:textId="77777777" w:rsidR="007B4953" w:rsidRDefault="007B4953" w:rsidP="00ED700A">
      <w:pPr>
        <w:spacing w:before="240" w:after="0" w:line="276" w:lineRule="auto"/>
        <w:rPr>
          <w:i/>
          <w:sz w:val="22"/>
          <w:szCs w:val="22"/>
        </w:rPr>
      </w:pPr>
    </w:p>
    <w:p w14:paraId="33B96999" w14:textId="77777777" w:rsidR="00F47997" w:rsidRPr="009C1FB9" w:rsidRDefault="00AF1D35" w:rsidP="009C1FB9">
      <w:pPr>
        <w:spacing w:after="0" w:line="276" w:lineRule="auto"/>
        <w:jc w:val="center"/>
        <w:rPr>
          <w:b/>
          <w:sz w:val="22"/>
          <w:szCs w:val="22"/>
        </w:rPr>
      </w:pPr>
      <w:r>
        <w:rPr>
          <w:b/>
          <w:noProof/>
          <w:sz w:val="22"/>
          <w:szCs w:val="22"/>
          <w:lang w:val="fr-FR" w:eastAsia="fr-FR"/>
        </w:rPr>
        <w:drawing>
          <wp:inline distT="0" distB="0" distL="0" distR="0" wp14:anchorId="52EABB5F" wp14:editId="122309ED">
            <wp:extent cx="3784600" cy="2386759"/>
            <wp:effectExtent l="0" t="0" r="6350" b="0"/>
            <wp:docPr id="14" name="Imag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a:extLst>
                        <a:ext uri="{C183D7F6-B498-43B3-948B-1728B52AA6E4}">
                          <adec:decorative xmlns:adec="http://schemas.microsoft.com/office/drawing/2017/decorative" val="1"/>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91870" cy="2391344"/>
                    </a:xfrm>
                    <a:prstGeom prst="rect">
                      <a:avLst/>
                    </a:prstGeom>
                    <a:noFill/>
                    <a:ln>
                      <a:noFill/>
                    </a:ln>
                  </pic:spPr>
                </pic:pic>
              </a:graphicData>
            </a:graphic>
          </wp:inline>
        </w:drawing>
      </w:r>
    </w:p>
    <w:p w14:paraId="6B14F14A" w14:textId="77777777" w:rsidR="005F1AD9" w:rsidRDefault="005F1AD9" w:rsidP="00554B3C">
      <w:pPr>
        <w:spacing w:line="276" w:lineRule="auto"/>
        <w:rPr>
          <w:b/>
          <w:sz w:val="22"/>
          <w:szCs w:val="22"/>
        </w:rPr>
        <w:sectPr w:rsidR="005F1AD9">
          <w:pgSz w:w="11906" w:h="16838"/>
          <w:pgMar w:top="1417" w:right="1417" w:bottom="1417" w:left="1417" w:header="708" w:footer="708" w:gutter="0"/>
          <w:cols w:space="708"/>
          <w:docGrid w:linePitch="360"/>
        </w:sectPr>
      </w:pPr>
    </w:p>
    <w:p w14:paraId="0E67158D" w14:textId="77777777" w:rsidR="00205CBC" w:rsidRDefault="00000000">
      <w:r>
        <w:rPr>
          <w:noProof/>
        </w:rPr>
        <w:drawing>
          <wp:inline distT="0" distB="0" distL="0" distR="0" wp14:anchorId="3BA9A8DD" wp14:editId="76BFECA4">
            <wp:extent cx="5486400" cy="19020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ape-1.png"/>
                    <pic:cNvPicPr/>
                  </pic:nvPicPr>
                  <pic:blipFill>
                    <a:blip r:embed="rId15"/>
                    <a:stretch>
                      <a:fillRect/>
                    </a:stretch>
                  </pic:blipFill>
                  <pic:spPr>
                    <a:xfrm>
                      <a:off x="0" y="0"/>
                      <a:ext cx="5486400" cy="1902092"/>
                    </a:xfrm>
                    <a:prstGeom prst="rect">
                      <a:avLst/>
                    </a:prstGeom>
                  </pic:spPr>
                </pic:pic>
              </a:graphicData>
            </a:graphic>
          </wp:inline>
        </w:drawing>
      </w:r>
    </w:p>
    <w:p w14:paraId="23B269A3" w14:textId="77777777" w:rsidR="00205CBC" w:rsidRDefault="00000000">
      <w:r>
        <w:rPr>
          <w:i/>
          <w:color w:val="1F4E9E"/>
        </w:rPr>
        <w:t xml:space="preserve">Fig S2. </w:t>
      </w:r>
      <w:r>
        <w:rPr>
          <w:i/>
          <w:color w:val="1F4E9E"/>
        </w:rPr>
        <w:t>The shape prediction of the Appendix, on data alone</w:t>
      </w:r>
      <w:r>
        <w:rPr>
          <w:i/>
          <w:color w:val="1F4E9E"/>
        </w:rPr>
        <w:t>. Left, the six delay-period log-rate profiles. Right, the log-rate slope falls as a cell's rate rises, as the theory requires, since a higher rate means a smaller distance to the gate. Open symbols: 0.3-s stimulus; filled: 2-s stimulus.</w:t>
      </w:r>
    </w:p>
    <w:p w14:paraId="23B269A3" w14:textId="77777777" w:rsidR="00205CBC" w:rsidRDefault="00000000">
      <w:r>
        <w:rPr>
          <w:b w:val="0"/>
          <w:i w:val="0"/>
          <w:color w:val="1F4E9E"/>
        </w:rPr>
        <w:drawing>
          <wp:inline xmlns:a="http://schemas.openxmlformats.org/drawingml/2006/main" xmlns:pic="http://schemas.openxmlformats.org/drawingml/2006/picture">
            <wp:extent cx="5852160" cy="4246245"/>
            <wp:docPr id="24" name="Picture 24"/>
            <wp:cNvGraphicFramePr>
              <a:graphicFrameLocks noChangeAspect="1"/>
            </wp:cNvGraphicFramePr>
            <a:graphic>
              <a:graphicData uri="http://schemas.openxmlformats.org/drawingml/2006/picture">
                <pic:pic>
                  <pic:nvPicPr>
                    <pic:cNvPr id="0" name="png_fig_frontier-1.png"/>
                    <pic:cNvPicPr/>
                  </pic:nvPicPr>
                  <pic:blipFill>
                    <a:blip r:embed="rId25"/>
                    <a:stretch>
                      <a:fillRect/>
                    </a:stretch>
                  </pic:blipFill>
                  <pic:spPr>
                    <a:xfrm>
                      <a:off x="0" y="0"/>
                      <a:ext cx="5852160" cy="4246245"/>
                    </a:xfrm>
                    <a:prstGeom prst="rect"/>
                  </pic:spPr>
                </pic:pic>
              </a:graphicData>
            </a:graphic>
          </wp:inline>
        </w:drawing>
      </w:r>
    </w:p>
    <w:p w14:paraId="23B269A3" w14:textId="77777777" w:rsidR="00205CBC" w:rsidRDefault="00000000">
      <w:r>
        <w:rPr>
          <w:b w:val="0"/>
          <w:i w:val="0"/>
          <w:color w:val="1F4E9E"/>
        </w:rPr>
        <w:t xml:space="preserve">Fig S3. The ramp–rate frontier, with the sampled parameter space on it. Horizontal axis, the delay-period partial-activation rate (logarithmic); vertical axis, the slope of its logarithm. </w:t>
      </w:r>
      <w:r>
        <w:rPr>
          <w:b w:val="0"/>
          <w:i w:val="0"/>
          <w:color w:val="1F4E9E"/>
        </w:rPr>
        <w:t xml:space="preserve">The red curve is the largest slope Model 1 can attain at each rate, computed in closed form from the kernel over the ranges of Table A1 (Appendix, A.5); the shaded region above it is unreachable by that architecture. Model 2’s frontier, computed the same way with the barrier moving and the ramp bounded at the upper quartile of the admissible values, lies far above the panel and is annotated rather than drawn: </w:t>
      </w:r>
      <w:r>
        <w:rPr>
          <w:b w:val="0"/>
          <w:i w:val="0"/>
          <w:color w:val="1F4E9E"/>
        </w:rPr>
        <w:t>at the observed rate it reaches +4.05 s⁻¹, against Model 1’s 0.000 and an observed +0.89.</w:t>
      </w:r>
      <w:r>
        <w:rPr>
          <w:b w:val="0"/>
          <w:i w:val="0"/>
          <w:color w:val="1F4E9E"/>
        </w:rPr>
        <w:t xml:space="preserve"> Open circles are the admissible draws of each model, </w:t>
      </w:r>
      <w:r>
        <w:rPr>
          <w:b w:val="0"/>
          <w:i w:val="0"/>
          <w:color w:val="1F4E9E"/>
        </w:rPr>
        <w:t>and the star the observation</w:t>
      </w:r>
      <w:r>
        <w:rPr>
          <w:b w:val="0"/>
          <w:i w:val="0"/>
          <w:color w:val="1F4E9E"/>
        </w:rPr>
        <w:t>, with the horizontal bar spanning the observed participant × condition rates and the grey band the observed slope range.</w:t>
      </w:r>
    </w:p>
    <w:p w14:paraId="23B269A3" w14:textId="77777777" w:rsidR="00205CBC" w:rsidRDefault="00000000">
      <w:r>
        <w:rPr>
          <w:b w:val="0"/>
          <w:i w:val="0"/>
          <w:color w:val="1F4E9E"/>
        </w:rPr>
        <w:drawing>
          <wp:inline xmlns:a="http://schemas.openxmlformats.org/drawingml/2006/main" xmlns:pic="http://schemas.openxmlformats.org/drawingml/2006/picture">
            <wp:extent cx="5852160" cy="2790139"/>
            <wp:docPr id="25" name="Picture 25"/>
            <wp:cNvGraphicFramePr>
              <a:graphicFrameLocks noChangeAspect="1"/>
            </wp:cNvGraphicFramePr>
            <a:graphic>
              <a:graphicData uri="http://schemas.openxmlformats.org/drawingml/2006/picture">
                <pic:pic>
                  <pic:nvPicPr>
                    <pic:cNvPr id="0" name="png_fig_delay_profile-1.png"/>
                    <pic:cNvPicPr/>
                  </pic:nvPicPr>
                  <pic:blipFill>
                    <a:blip r:embed="rId26"/>
                    <a:stretch>
                      <a:fillRect/>
                    </a:stretch>
                  </pic:blipFill>
                  <pic:spPr>
                    <a:xfrm>
                      <a:off x="0" y="0"/>
                      <a:ext cx="5852160" cy="2790139"/>
                    </a:xfrm>
                    <a:prstGeom prst="rect"/>
                  </pic:spPr>
                </pic:pic>
              </a:graphicData>
            </a:graphic>
          </wp:inline>
        </w:drawing>
      </w:r>
    </w:p>
    <w:p w14:paraId="23B269A3" w14:textId="77777777" w:rsidR="00205CBC" w:rsidRDefault="00000000">
      <w:r>
        <w:rPr>
          <w:b w:val="0"/>
          <w:i w:val="0"/>
          <w:color w:val="1F4E9E"/>
        </w:rPr>
        <w:t>Fig S4. The shape of the delay-period rate curve, one line per admissible parameter set. Each thin line is the delay-period profile of one admissible set divided by its own mean over the window, so that sets whose rates differ by two orders of magnitude are comparable on shape; the thick line is the median over sets and the black points the observed profile, normalised the same way. The family rather than a summary is the point: the question is whether the architecture can produce the observed rise at all, and the median of a family this wide answers a different one. Every admissible set of Model 1 is flat or declining; Model 2’s fan out, many of them tracking the observed rise and beyond.</w:t>
      </w:r>
    </w:p>
    <w:p w14:paraId="23B269A3" w14:textId="77777777" w:rsidR="00205CBC" w:rsidRDefault="00000000">
      <w:r>
        <w:rPr>
          <w:b w:val="0"/>
          <w:i w:val="0"/>
          <w:color w:val="1F4E9E"/>
        </w:rPr>
        <w:drawing>
          <wp:inline xmlns:a="http://schemas.openxmlformats.org/drawingml/2006/main" xmlns:pic="http://schemas.openxmlformats.org/drawingml/2006/picture">
            <wp:extent cx="5852160" cy="3525547"/>
            <wp:docPr id="26" name="Picture 26"/>
            <wp:cNvGraphicFramePr>
              <a:graphicFrameLocks noChangeAspect="1"/>
            </wp:cNvGraphicFramePr>
            <a:graphic>
              <a:graphicData uri="http://schemas.openxmlformats.org/drawingml/2006/picture">
                <pic:pic>
                  <pic:nvPicPr>
                    <pic:cNvPr id="0" name="png_fig_effect_sizes-1.png"/>
                    <pic:cNvPicPr/>
                  </pic:nvPicPr>
                  <pic:blipFill>
                    <a:blip r:embed="rId27"/>
                    <a:stretch>
                      <a:fillRect/>
                    </a:stretch>
                  </pic:blipFill>
                  <pic:spPr>
                    <a:xfrm>
                      <a:off x="0" y="0"/>
                      <a:ext cx="5852160" cy="3525547"/>
                    </a:xfrm>
                    <a:prstGeom prst="rect"/>
                  </pic:spPr>
                </pic:pic>
              </a:graphicData>
            </a:graphic>
          </wp:inline>
        </w:drawing>
      </w:r>
    </w:p>
    <w:p w14:paraId="23B269A3" w14:textId="77777777" w:rsidR="00205CBC" w:rsidRDefault="00000000">
      <w:r>
        <w:rPr>
          <w:b w:val="0"/>
          <w:i w:val="0"/>
          <w:color w:val="1F4E9E"/>
        </w:rPr>
        <w:t xml:space="preserve">Fig S5. Effect sizes each architecture can produce, against the observed value, </w:t>
      </w:r>
      <w:r>
        <w:rPr>
          <w:b w:val="0"/>
          <w:i w:val="0"/>
          <w:color w:val="1F4E9E"/>
        </w:rPr>
        <w:t>for the nine directional predictions the Results test</w:t>
      </w:r>
      <w:r>
        <w:rPr>
          <w:b w:val="0"/>
          <w:i w:val="0"/>
          <w:color w:val="1F4E9E"/>
        </w:rPr>
        <w:t>. Each is written so that the sign the corresponding proposition predicts is positive, and the panel title says which difference is taken. The bar spans the 5th to 95th percentile of that effect over the admissible parameter sets of each model; the vertical line is the observed value and the grey band its 95% confidence interval across participants; a cross marks a percentile band that does not contain the observed value — which is not the same as an effect the architecture cannot reach, and on the stimulus-period duration effect and on motor execution time it is not.</w:t>
      </w:r>
    </w:p>
    <w:p w14:paraId="73212C5D" w14:textId="77777777" w:rsidR="00205CBC" w:rsidRDefault="00000000">
      <w:r>
        <w:rPr>
          <w:color w:val="1F4E9E"/>
        </w:rPr>
        <w:t xml:space="preserve">The two figures at the right of each bar are the percentages of admissible sets whose effect is, at two Monte-Carlo standard errors, significantly of the observed sign and significantly against it; the remainder is not distinguishable from zero. They measure agreement with the DATA and not with the model’s own prediction, and on the coherence × duration interaction in the delay period the two are opposite: there the 85% and 87% counted as against the observed sign are settings at which each architecture does what the saturation argument says it should. Two effects separate the architectures — the stimulus-period duration effect, where Model 1 has the observed sign at no setting and the opposite sign at 95% against Model 2’s 39% and 45%, and the delay-period log-rate slope, at 3% against 81%. One is missed by both, the delay-period interaction (4% and 7% right against 85% and 87% wrong). Of the remaining six, all are reproduced by both at 86% or above with almost no setting of either model in the opposite direction. The duration effect on motor execution time is a predicted null and is where both architectures are mildly but systematically off: the observed −0.5 ± 0.8 ms is indistinguishable from zero, whereas the models place it significantly below zero at 87% and 86% of their settings, with medians of −5 and −8 ms. The residual motor time is not quite as inert in the simulation as it is in the data.</w:t>
      </w:r>
    </w:p>
    <w:p w14:paraId="1D799481" w14:textId="77777777" w:rsidR="00554B3C" w:rsidRPr="00292826" w:rsidRDefault="002A70D9" w:rsidP="00554B3C">
      <w:pPr>
        <w:spacing w:line="276" w:lineRule="auto"/>
        <w:rPr>
          <w:b/>
          <w:sz w:val="22"/>
          <w:szCs w:val="22"/>
        </w:rPr>
      </w:pPr>
      <w:r w:rsidRPr="00292826">
        <w:rPr>
          <w:b/>
          <w:sz w:val="22"/>
          <w:szCs w:val="22"/>
        </w:rPr>
      </w:r>
      <w:r w:rsidRPr="00292826">
        <w:rPr>
          <w:b/>
          <w:color w:val="1F4E9E"/>
          <w:sz w:val="22"/>
          <w:szCs w:val="22"/>
        </w:rPr>
        <w:t>Table S1. Full ANOVA results for response accuracy, mean response time (RT), mean pre-motor execution time (PMET), and mean motor execution time (MET). Two-way within-subject analyses of variance (duration × coherence, n = 22), Greenhouse–Geisser corrected wherever a factor has more than two levels, which is why those degrees of freedom are fractional; ηp² is the partial eta squared. Computed by run_stats.R from the archive’s own per-participant × cell exports.</w:t>
      </w:r>
      <w:r w:rsidR="009E646A" w:rsidRPr="00292826">
        <w:rPr>
          <w:b/>
          <w:sz w:val="22"/>
          <w:szCs w:val="22"/>
        </w:rPr>
      </w:r>
      <w:r w:rsidR="00292826" w:rsidRPr="00292826">
        <w:rPr>
          <w:b/>
          <w:sz w:val="22"/>
          <w:szCs w:val="22"/>
        </w:rPr>
      </w:r>
      <w:r w:rsidR="004C7964" w:rsidRPr="00292826">
        <w:rPr>
          <w:b/>
          <w:sz w:val="22"/>
          <w:szCs w:val="22"/>
        </w:rPr>
      </w:r>
      <w:r w:rsidR="00292826" w:rsidRPr="00292826">
        <w:rPr>
          <w:b/>
          <w:sz w:val="22"/>
          <w:szCs w:val="22"/>
        </w:rPr>
      </w:r>
    </w:p>
    <w:tbl>
      <w:tblPr>
        <w:tblW w:w="8699" w:type="dxa"/>
        <w:tblLook w:val="04A0" w:firstRow="1" w:lastRow="0" w:firstColumn="1" w:lastColumn="0" w:noHBand="0" w:noVBand="1"/>
      </w:tblPr>
      <w:tblGrid>
        <w:gridCol w:w="1361"/>
        <w:gridCol w:w="2065"/>
        <w:gridCol w:w="315"/>
        <w:gridCol w:w="642"/>
        <w:gridCol w:w="755"/>
        <w:gridCol w:w="1089"/>
        <w:gridCol w:w="1043"/>
        <w:gridCol w:w="1429"/>
      </w:tblGrid>
      <w:tr w:rsidR="004C7964" w:rsidRPr="0078243D" w14:paraId="452C2633" w14:textId="77777777" w:rsidTr="00824E12">
        <w:trPr>
          <w:trHeight w:val="533"/>
        </w:trPr>
        <w:tc>
          <w:tcPr>
            <w:tcW w:w="1361" w:type="dxa"/>
            <w:tcBorders>
              <w:top w:val="single" w:sz="4" w:space="0" w:color="auto"/>
              <w:left w:val="nil"/>
              <w:bottom w:val="single" w:sz="12" w:space="0" w:color="000000" w:themeColor="text1"/>
              <w:right w:val="nil"/>
            </w:tcBorders>
            <w:vAlign w:val="center"/>
            <w:hideMark/>
          </w:tcPr>
          <w:p w14:paraId="5C42CCA3"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sz w:val="22"/>
                <w:szCs w:val="22"/>
              </w:rPr>
              <w:t>Dependent variable</w:t>
            </w:r>
          </w:p>
        </w:tc>
        <w:tc>
          <w:tcPr>
            <w:tcW w:w="2065" w:type="dxa"/>
            <w:tcBorders>
              <w:top w:val="single" w:sz="4" w:space="0" w:color="auto"/>
              <w:left w:val="nil"/>
              <w:bottom w:val="single" w:sz="12" w:space="0" w:color="000000" w:themeColor="text1"/>
              <w:right w:val="nil"/>
            </w:tcBorders>
            <w:noWrap/>
            <w:vAlign w:val="center"/>
            <w:hideMark/>
          </w:tcPr>
          <w:p w14:paraId="09B176C3"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sz w:val="22"/>
                <w:szCs w:val="22"/>
              </w:rPr>
              <w:t>Effect tested</w:t>
            </w:r>
          </w:p>
        </w:tc>
        <w:tc>
          <w:tcPr>
            <w:tcW w:w="315" w:type="dxa"/>
            <w:tcBorders>
              <w:top w:val="single" w:sz="4" w:space="0" w:color="auto"/>
              <w:left w:val="nil"/>
              <w:bottom w:val="single" w:sz="12" w:space="0" w:color="000000" w:themeColor="text1"/>
              <w:right w:val="nil"/>
            </w:tcBorders>
            <w:noWrap/>
            <w:vAlign w:val="bottom"/>
            <w:hideMark/>
          </w:tcPr>
          <w:p w14:paraId="7825DFBE" w14:textId="77777777" w:rsidR="004C7964" w:rsidRPr="00292826" w:rsidRDefault="004C7964" w:rsidP="004C7964">
            <w:pPr>
              <w:spacing w:after="0" w:line="240" w:lineRule="auto"/>
              <w:jc w:val="center"/>
              <w:rPr>
                <w:rFonts w:eastAsia="Times New Roman"/>
                <w:color w:val="000000"/>
                <w:sz w:val="22"/>
                <w:szCs w:val="22"/>
              </w:rPr>
            </w:pPr>
          </w:p>
        </w:tc>
        <w:tc>
          <w:tcPr>
            <w:tcW w:w="642" w:type="dxa"/>
            <w:tcBorders>
              <w:top w:val="single" w:sz="4" w:space="0" w:color="auto"/>
              <w:left w:val="nil"/>
              <w:bottom w:val="single" w:sz="12" w:space="0" w:color="000000" w:themeColor="text1"/>
              <w:right w:val="nil"/>
            </w:tcBorders>
            <w:noWrap/>
            <w:vAlign w:val="bottom"/>
            <w:hideMark/>
          </w:tcPr>
          <w:p w14:paraId="6005721C"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sz w:val="22"/>
                <w:szCs w:val="22"/>
              </w:rPr>
              <w:t>df1</w:t>
            </w:r>
          </w:p>
        </w:tc>
        <w:tc>
          <w:tcPr>
            <w:tcW w:w="755" w:type="dxa"/>
            <w:tcBorders>
              <w:top w:val="single" w:sz="4" w:space="0" w:color="auto"/>
              <w:left w:val="nil"/>
              <w:bottom w:val="single" w:sz="12" w:space="0" w:color="000000" w:themeColor="text1"/>
              <w:right w:val="nil"/>
            </w:tcBorders>
            <w:noWrap/>
            <w:vAlign w:val="bottom"/>
            <w:hideMark/>
          </w:tcPr>
          <w:p w14:paraId="4BF78033"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sz w:val="22"/>
                <w:szCs w:val="22"/>
              </w:rPr>
              <w:t>df2</w:t>
            </w:r>
          </w:p>
        </w:tc>
        <w:tc>
          <w:tcPr>
            <w:tcW w:w="1089" w:type="dxa"/>
            <w:tcBorders>
              <w:top w:val="single" w:sz="4" w:space="0" w:color="auto"/>
              <w:left w:val="nil"/>
              <w:bottom w:val="single" w:sz="12" w:space="0" w:color="000000" w:themeColor="text1"/>
              <w:right w:val="nil"/>
            </w:tcBorders>
            <w:noWrap/>
            <w:vAlign w:val="bottom"/>
            <w:hideMark/>
          </w:tcPr>
          <w:p w14:paraId="70FE112C" w14:textId="77777777" w:rsidR="004C7964" w:rsidRPr="00292826" w:rsidRDefault="004C7964" w:rsidP="004C7964">
            <w:pPr>
              <w:spacing w:after="0" w:line="240" w:lineRule="auto"/>
              <w:jc w:val="center"/>
              <w:rPr>
                <w:rFonts w:eastAsia="Times New Roman"/>
                <w:bCs/>
                <w:i/>
                <w:color w:val="000000"/>
                <w:sz w:val="22"/>
                <w:szCs w:val="22"/>
              </w:rPr>
            </w:pPr>
            <w:r w:rsidRPr="00292826">
              <w:rPr>
                <w:rFonts w:eastAsia="Times New Roman"/>
                <w:bCs/>
                <w:i/>
                <w:color w:val="000000"/>
                <w:sz w:val="22"/>
                <w:szCs w:val="22"/>
              </w:rPr>
              <w:t>F</w:t>
            </w:r>
          </w:p>
        </w:tc>
        <w:tc>
          <w:tcPr>
            <w:tcW w:w="1043" w:type="dxa"/>
            <w:tcBorders>
              <w:top w:val="single" w:sz="4" w:space="0" w:color="auto"/>
              <w:left w:val="nil"/>
              <w:bottom w:val="single" w:sz="12" w:space="0" w:color="000000" w:themeColor="text1"/>
              <w:right w:val="nil"/>
            </w:tcBorders>
            <w:noWrap/>
            <w:vAlign w:val="bottom"/>
            <w:hideMark/>
          </w:tcPr>
          <w:p w14:paraId="5DE5AD5C"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i/>
                <w:color w:val="000000"/>
                <w:sz w:val="22"/>
                <w:szCs w:val="22"/>
              </w:rPr>
              <w:t>p</w:t>
            </w:r>
            <w:r w:rsidRPr="00292826">
              <w:rPr>
                <w:rFonts w:eastAsia="Times New Roman"/>
                <w:bCs/>
                <w:sz w:val="22"/>
                <w:szCs w:val="22"/>
              </w:rPr>
              <w:t>-value</w:t>
            </w:r>
          </w:p>
        </w:tc>
        <w:tc>
          <w:tcPr>
            <w:tcW w:w="1429" w:type="dxa"/>
            <w:tcBorders>
              <w:top w:val="single" w:sz="4" w:space="0" w:color="auto"/>
              <w:left w:val="nil"/>
              <w:bottom w:val="single" w:sz="12" w:space="0" w:color="000000" w:themeColor="text1"/>
              <w:right w:val="nil"/>
            </w:tcBorders>
            <w:vAlign w:val="bottom"/>
            <w:hideMark/>
          </w:tcPr>
          <w:p w14:paraId="4F387D4F" w14:textId="77777777" w:rsidR="004C7964" w:rsidRPr="00292826" w:rsidRDefault="00136D45" w:rsidP="004C7964">
            <w:pPr>
              <w:spacing w:after="0" w:line="240" w:lineRule="auto"/>
              <w:jc w:val="center"/>
              <w:rPr>
                <w:rFonts w:eastAsia="Times New Roman"/>
                <w:bCs/>
                <w:i/>
                <w:color w:val="000000"/>
                <w:sz w:val="22"/>
                <w:szCs w:val="22"/>
              </w:rPr>
            </w:pPr>
            <w:r w:rsidRPr="00292826">
              <w:rPr>
                <w:i/>
                <w:sz w:val="22"/>
                <w:szCs w:val="22"/>
              </w:rPr>
              <w:t>η</w:t>
            </w:r>
            <w:r w:rsidR="004C7964" w:rsidRPr="00292826">
              <w:rPr>
                <w:rStyle w:val="mord"/>
                <w:i/>
                <w:sz w:val="22"/>
                <w:szCs w:val="22"/>
                <w:vertAlign w:val="subscript"/>
              </w:rPr>
              <w:t>p</w:t>
            </w:r>
            <w:r w:rsidR="004C7964" w:rsidRPr="00292826">
              <w:rPr>
                <w:rStyle w:val="mord"/>
                <w:i/>
                <w:sz w:val="22"/>
                <w:szCs w:val="22"/>
                <w:vertAlign w:val="superscript"/>
              </w:rPr>
              <w:t>2</w:t>
            </w:r>
          </w:p>
        </w:tc>
      </w:tr>
      <w:tr w:rsidR="004C7964" w:rsidRPr="0078243D" w14:paraId="4A58B967" w14:textId="77777777" w:rsidTr="004C7964">
        <w:trPr>
          <w:trHeight w:val="304"/>
        </w:trPr>
        <w:tc>
          <w:tcPr>
            <w:tcW w:w="1361" w:type="dxa"/>
            <w:vMerge w:val="restart"/>
            <w:tcBorders>
              <w:top w:val="single" w:sz="12" w:space="0" w:color="000000" w:themeColor="text1"/>
              <w:left w:val="nil"/>
              <w:bottom w:val="nil"/>
              <w:right w:val="nil"/>
            </w:tcBorders>
            <w:noWrap/>
            <w:vAlign w:val="center"/>
            <w:hideMark/>
          </w:tcPr>
          <w:p w14:paraId="49C25EF3"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sz w:val="22"/>
                <w:szCs w:val="20"/>
              </w:rPr>
              <w:t>Accuracy</w:t>
            </w:r>
          </w:p>
        </w:tc>
        <w:tc>
          <w:tcPr>
            <w:tcW w:w="2065" w:type="dxa"/>
            <w:tcBorders>
              <w:top w:val="single" w:sz="12" w:space="0" w:color="000000" w:themeColor="text1"/>
              <w:left w:val="nil"/>
              <w:bottom w:val="nil"/>
              <w:right w:val="nil"/>
            </w:tcBorders>
            <w:noWrap/>
            <w:vAlign w:val="center"/>
            <w:hideMark/>
          </w:tcPr>
          <w:p w14:paraId="40C163BF"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w:t>
            </w:r>
          </w:p>
        </w:tc>
        <w:tc>
          <w:tcPr>
            <w:tcW w:w="315" w:type="dxa"/>
            <w:tcBorders>
              <w:top w:val="single" w:sz="12" w:space="0" w:color="000000" w:themeColor="text1"/>
              <w:left w:val="nil"/>
              <w:bottom w:val="nil"/>
              <w:right w:val="nil"/>
            </w:tcBorders>
            <w:noWrap/>
            <w:vAlign w:val="bottom"/>
            <w:hideMark/>
          </w:tcPr>
          <w:p w14:paraId="561C7D90"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12" w:space="0" w:color="000000" w:themeColor="text1"/>
              <w:left w:val="nil"/>
              <w:bottom w:val="nil"/>
              <w:right w:val="nil"/>
            </w:tcBorders>
            <w:noWrap/>
            <w:vAlign w:val="bottom"/>
            <w:hideMark/>
          </w:tcPr>
          <w:p w14:paraId="1E09DBB9"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1</w:t>
            </w:r>
          </w:p>
        </w:tc>
        <w:tc>
          <w:tcPr>
            <w:tcW w:w="755" w:type="dxa"/>
            <w:tcBorders>
              <w:top w:val="single" w:sz="12" w:space="0" w:color="000000" w:themeColor="text1"/>
              <w:left w:val="nil"/>
              <w:bottom w:val="nil"/>
              <w:right w:val="nil"/>
            </w:tcBorders>
            <w:noWrap/>
            <w:vAlign w:val="bottom"/>
            <w:hideMark/>
          </w:tcPr>
          <w:p w14:paraId="7B3F1CF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21</w:t>
            </w:r>
          </w:p>
        </w:tc>
        <w:tc>
          <w:tcPr>
            <w:tcW w:w="1089" w:type="dxa"/>
            <w:tcBorders>
              <w:top w:val="single" w:sz="12" w:space="0" w:color="000000" w:themeColor="text1"/>
              <w:left w:val="nil"/>
              <w:bottom w:val="nil"/>
              <w:right w:val="nil"/>
            </w:tcBorders>
            <w:noWrap/>
            <w:vAlign w:val="bottom"/>
            <w:hideMark/>
          </w:tcPr>
          <w:p w14:paraId="3F4680D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22.676</w:t>
            </w:r>
          </w:p>
        </w:tc>
        <w:tc>
          <w:tcPr>
            <w:tcW w:w="1043" w:type="dxa"/>
            <w:tcBorders>
              <w:top w:val="single" w:sz="12" w:space="0" w:color="000000" w:themeColor="text1"/>
              <w:left w:val="nil"/>
              <w:bottom w:val="nil"/>
              <w:right w:val="nil"/>
            </w:tcBorders>
            <w:noWrap/>
            <w:vAlign w:val="bottom"/>
            <w:hideMark/>
          </w:tcPr>
          <w:p w14:paraId="0EC903BC"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1F4E9E"/>
                <w:sz w:val="20"/>
                <w:szCs w:val="20"/>
              </w:rPr>
              <w:t>p &lt; .001</w:t>
            </w:r>
          </w:p>
        </w:tc>
        <w:tc>
          <w:tcPr>
            <w:tcW w:w="1429" w:type="dxa"/>
            <w:tcBorders>
              <w:top w:val="single" w:sz="12" w:space="0" w:color="000000" w:themeColor="text1"/>
              <w:left w:val="nil"/>
              <w:bottom w:val="nil"/>
              <w:right w:val="nil"/>
            </w:tcBorders>
            <w:noWrap/>
            <w:vAlign w:val="bottom"/>
            <w:hideMark/>
          </w:tcPr>
          <w:p w14:paraId="50A0F80C"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0.519</w:t>
            </w:r>
          </w:p>
        </w:tc>
      </w:tr>
      <w:tr w:rsidR="004C7964" w:rsidRPr="0078243D" w14:paraId="69803485" w14:textId="77777777" w:rsidTr="004C7964">
        <w:trPr>
          <w:trHeight w:val="304"/>
        </w:trPr>
        <w:tc>
          <w:tcPr>
            <w:tcW w:w="1361" w:type="dxa"/>
            <w:vMerge/>
            <w:tcBorders>
              <w:top w:val="nil"/>
              <w:left w:val="nil"/>
              <w:bottom w:val="nil"/>
              <w:right w:val="nil"/>
            </w:tcBorders>
            <w:vAlign w:val="center"/>
            <w:hideMark/>
          </w:tcPr>
          <w:p w14:paraId="48CD847A"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0F6010EB"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coherence</w:t>
            </w:r>
          </w:p>
        </w:tc>
        <w:tc>
          <w:tcPr>
            <w:tcW w:w="315" w:type="dxa"/>
            <w:tcBorders>
              <w:top w:val="nil"/>
              <w:left w:val="nil"/>
              <w:bottom w:val="nil"/>
              <w:right w:val="nil"/>
            </w:tcBorders>
            <w:noWrap/>
            <w:vAlign w:val="bottom"/>
            <w:hideMark/>
          </w:tcPr>
          <w:p w14:paraId="7375BD9E"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06F843B9"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1.30</w:t>
            </w:r>
          </w:p>
        </w:tc>
        <w:tc>
          <w:tcPr>
            <w:tcW w:w="755" w:type="dxa"/>
            <w:tcBorders>
              <w:top w:val="nil"/>
              <w:left w:val="nil"/>
              <w:bottom w:val="nil"/>
              <w:right w:val="nil"/>
            </w:tcBorders>
            <w:noWrap/>
            <w:vAlign w:val="bottom"/>
            <w:hideMark/>
          </w:tcPr>
          <w:p w14:paraId="7D4AC44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27.40</w:t>
            </w:r>
          </w:p>
        </w:tc>
        <w:tc>
          <w:tcPr>
            <w:tcW w:w="1089" w:type="dxa"/>
            <w:tcBorders>
              <w:top w:val="nil"/>
              <w:left w:val="nil"/>
              <w:bottom w:val="nil"/>
              <w:right w:val="nil"/>
            </w:tcBorders>
            <w:noWrap/>
            <w:vAlign w:val="bottom"/>
            <w:hideMark/>
          </w:tcPr>
          <w:p w14:paraId="3858E13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222.223</w:t>
            </w:r>
          </w:p>
        </w:tc>
        <w:tc>
          <w:tcPr>
            <w:tcW w:w="1043" w:type="dxa"/>
            <w:tcBorders>
              <w:top w:val="nil"/>
              <w:left w:val="nil"/>
              <w:bottom w:val="nil"/>
              <w:right w:val="nil"/>
            </w:tcBorders>
            <w:noWrap/>
            <w:vAlign w:val="bottom"/>
            <w:hideMark/>
          </w:tcPr>
          <w:p w14:paraId="44C4B367"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1F4E9E"/>
                <w:sz w:val="20"/>
                <w:szCs w:val="20"/>
              </w:rPr>
              <w:t>p &lt; .001</w:t>
            </w:r>
          </w:p>
        </w:tc>
        <w:tc>
          <w:tcPr>
            <w:tcW w:w="1429" w:type="dxa"/>
            <w:tcBorders>
              <w:top w:val="nil"/>
              <w:left w:val="nil"/>
              <w:bottom w:val="nil"/>
              <w:right w:val="nil"/>
            </w:tcBorders>
            <w:noWrap/>
            <w:vAlign w:val="bottom"/>
            <w:hideMark/>
          </w:tcPr>
          <w:p w14:paraId="492347A4"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0.914</w:t>
            </w:r>
          </w:p>
        </w:tc>
      </w:tr>
      <w:tr w:rsidR="004C7964" w:rsidRPr="0078243D" w14:paraId="1581A05C" w14:textId="77777777" w:rsidTr="004C7964">
        <w:trPr>
          <w:trHeight w:val="304"/>
        </w:trPr>
        <w:tc>
          <w:tcPr>
            <w:tcW w:w="1361" w:type="dxa"/>
            <w:vMerge/>
            <w:tcBorders>
              <w:top w:val="nil"/>
              <w:left w:val="nil"/>
              <w:bottom w:val="nil"/>
              <w:right w:val="nil"/>
            </w:tcBorders>
            <w:vAlign w:val="center"/>
            <w:hideMark/>
          </w:tcPr>
          <w:p w14:paraId="766BB944"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1DAF559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 × coherence</w:t>
            </w:r>
          </w:p>
        </w:tc>
        <w:tc>
          <w:tcPr>
            <w:tcW w:w="315" w:type="dxa"/>
            <w:tcBorders>
              <w:top w:val="nil"/>
              <w:left w:val="nil"/>
              <w:bottom w:val="nil"/>
              <w:right w:val="nil"/>
            </w:tcBorders>
            <w:noWrap/>
            <w:vAlign w:val="bottom"/>
            <w:hideMark/>
          </w:tcPr>
          <w:p w14:paraId="6A72A338"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4AEC8BBC"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1.96</w:t>
            </w:r>
          </w:p>
        </w:tc>
        <w:tc>
          <w:tcPr>
            <w:tcW w:w="755" w:type="dxa"/>
            <w:tcBorders>
              <w:top w:val="nil"/>
              <w:left w:val="nil"/>
              <w:bottom w:val="nil"/>
              <w:right w:val="nil"/>
            </w:tcBorders>
            <w:noWrap/>
            <w:vAlign w:val="bottom"/>
            <w:hideMark/>
          </w:tcPr>
          <w:p w14:paraId="6FB996D1"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41.24</w:t>
            </w:r>
          </w:p>
        </w:tc>
        <w:tc>
          <w:tcPr>
            <w:tcW w:w="1089" w:type="dxa"/>
            <w:tcBorders>
              <w:top w:val="nil"/>
              <w:left w:val="nil"/>
              <w:bottom w:val="nil"/>
              <w:right w:val="nil"/>
            </w:tcBorders>
            <w:noWrap/>
            <w:vAlign w:val="bottom"/>
            <w:hideMark/>
          </w:tcPr>
          <w:p w14:paraId="3DDBC2DE"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12.171</w:t>
            </w:r>
          </w:p>
        </w:tc>
        <w:tc>
          <w:tcPr>
            <w:tcW w:w="1043" w:type="dxa"/>
            <w:tcBorders>
              <w:top w:val="nil"/>
              <w:left w:val="nil"/>
              <w:bottom w:val="nil"/>
              <w:right w:val="nil"/>
            </w:tcBorders>
            <w:noWrap/>
            <w:vAlign w:val="bottom"/>
            <w:hideMark/>
          </w:tcPr>
          <w:p w14:paraId="32CF8A8D"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1F4E9E"/>
                <w:sz w:val="20"/>
                <w:szCs w:val="20"/>
              </w:rPr>
              <w:t>p &lt; .001</w:t>
            </w:r>
          </w:p>
        </w:tc>
        <w:tc>
          <w:tcPr>
            <w:tcW w:w="1429" w:type="dxa"/>
            <w:tcBorders>
              <w:top w:val="nil"/>
              <w:left w:val="nil"/>
              <w:bottom w:val="nil"/>
              <w:right w:val="nil"/>
            </w:tcBorders>
            <w:noWrap/>
            <w:vAlign w:val="bottom"/>
            <w:hideMark/>
          </w:tcPr>
          <w:p w14:paraId="5F031D2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0.367</w:t>
            </w:r>
          </w:p>
        </w:tc>
      </w:tr>
      <w:tr w:rsidR="004C7964" w:rsidRPr="0078243D" w14:paraId="2233BF7B" w14:textId="77777777" w:rsidTr="004C7964">
        <w:trPr>
          <w:trHeight w:val="304"/>
        </w:trPr>
        <w:tc>
          <w:tcPr>
            <w:tcW w:w="1361" w:type="dxa"/>
            <w:tcBorders>
              <w:top w:val="nil"/>
              <w:left w:val="nil"/>
              <w:bottom w:val="nil"/>
              <w:right w:val="nil"/>
            </w:tcBorders>
            <w:noWrap/>
            <w:vAlign w:val="center"/>
            <w:hideMark/>
          </w:tcPr>
          <w:p w14:paraId="28F19854" w14:textId="77777777" w:rsidR="004C7964" w:rsidRPr="00292826" w:rsidRDefault="004C7964" w:rsidP="004C7964">
            <w:pPr>
              <w:spacing w:after="0" w:line="240" w:lineRule="auto"/>
              <w:jc w:val="center"/>
              <w:rPr>
                <w:rFonts w:eastAsia="Times New Roman"/>
                <w:color w:val="000000"/>
                <w:sz w:val="22"/>
                <w:szCs w:val="20"/>
              </w:rPr>
            </w:pPr>
          </w:p>
        </w:tc>
        <w:tc>
          <w:tcPr>
            <w:tcW w:w="2065" w:type="dxa"/>
            <w:tcBorders>
              <w:top w:val="nil"/>
              <w:left w:val="nil"/>
              <w:bottom w:val="nil"/>
              <w:right w:val="nil"/>
            </w:tcBorders>
            <w:noWrap/>
            <w:vAlign w:val="bottom"/>
            <w:hideMark/>
          </w:tcPr>
          <w:p w14:paraId="576D9D1D" w14:textId="77777777" w:rsidR="004C7964" w:rsidRPr="00292826" w:rsidRDefault="004C7964" w:rsidP="004C7964">
            <w:pPr>
              <w:spacing w:after="0" w:line="240" w:lineRule="auto"/>
              <w:jc w:val="center"/>
              <w:rPr>
                <w:rFonts w:eastAsia="Times New Roman"/>
                <w:sz w:val="20"/>
                <w:szCs w:val="20"/>
              </w:rPr>
            </w:pPr>
          </w:p>
        </w:tc>
        <w:tc>
          <w:tcPr>
            <w:tcW w:w="315" w:type="dxa"/>
            <w:tcBorders>
              <w:top w:val="nil"/>
              <w:left w:val="nil"/>
              <w:bottom w:val="nil"/>
              <w:right w:val="nil"/>
            </w:tcBorders>
            <w:noWrap/>
            <w:vAlign w:val="bottom"/>
            <w:hideMark/>
          </w:tcPr>
          <w:p w14:paraId="23315022" w14:textId="77777777" w:rsidR="004C7964" w:rsidRPr="00292826" w:rsidRDefault="004C7964" w:rsidP="004C7964">
            <w:pPr>
              <w:spacing w:after="0" w:line="240" w:lineRule="auto"/>
              <w:jc w:val="center"/>
              <w:rPr>
                <w:rFonts w:eastAsia="Times New Roman"/>
                <w:sz w:val="20"/>
                <w:szCs w:val="20"/>
              </w:rPr>
            </w:pPr>
          </w:p>
        </w:tc>
        <w:tc>
          <w:tcPr>
            <w:tcW w:w="642" w:type="dxa"/>
            <w:tcBorders>
              <w:top w:val="nil"/>
              <w:left w:val="nil"/>
              <w:bottom w:val="nil"/>
              <w:right w:val="nil"/>
            </w:tcBorders>
            <w:noWrap/>
            <w:vAlign w:val="bottom"/>
            <w:hideMark/>
          </w:tcPr>
          <w:p w14:paraId="35DBDFB9" w14:textId="77777777" w:rsidR="004C7964" w:rsidRPr="00292826" w:rsidRDefault="004C7964" w:rsidP="004C7964">
            <w:pPr>
              <w:spacing w:after="0" w:line="240" w:lineRule="auto"/>
              <w:jc w:val="center"/>
              <w:rPr>
                <w:rFonts w:eastAsia="Times New Roman"/>
                <w:sz w:val="20"/>
                <w:szCs w:val="20"/>
              </w:rPr>
            </w:pPr>
          </w:p>
        </w:tc>
        <w:tc>
          <w:tcPr>
            <w:tcW w:w="755" w:type="dxa"/>
            <w:tcBorders>
              <w:top w:val="nil"/>
              <w:left w:val="nil"/>
              <w:bottom w:val="nil"/>
              <w:right w:val="nil"/>
            </w:tcBorders>
            <w:noWrap/>
            <w:vAlign w:val="bottom"/>
            <w:hideMark/>
          </w:tcPr>
          <w:p w14:paraId="4F229EF6" w14:textId="77777777" w:rsidR="004C7964" w:rsidRPr="00292826" w:rsidRDefault="004C7964" w:rsidP="004C7964">
            <w:pPr>
              <w:spacing w:after="0" w:line="240" w:lineRule="auto"/>
              <w:jc w:val="center"/>
              <w:rPr>
                <w:rFonts w:eastAsia="Times New Roman"/>
                <w:sz w:val="20"/>
                <w:szCs w:val="20"/>
              </w:rPr>
            </w:pPr>
          </w:p>
        </w:tc>
        <w:tc>
          <w:tcPr>
            <w:tcW w:w="1089" w:type="dxa"/>
            <w:tcBorders>
              <w:top w:val="nil"/>
              <w:left w:val="nil"/>
              <w:bottom w:val="nil"/>
              <w:right w:val="nil"/>
            </w:tcBorders>
            <w:noWrap/>
            <w:vAlign w:val="bottom"/>
            <w:hideMark/>
          </w:tcPr>
          <w:p w14:paraId="7E392CA3" w14:textId="77777777" w:rsidR="004C7964" w:rsidRPr="00292826" w:rsidRDefault="004C7964" w:rsidP="004C7964">
            <w:pPr>
              <w:spacing w:after="0" w:line="240" w:lineRule="auto"/>
              <w:jc w:val="center"/>
              <w:rPr>
                <w:rFonts w:eastAsia="Times New Roman"/>
                <w:sz w:val="20"/>
                <w:szCs w:val="20"/>
              </w:rPr>
            </w:pPr>
          </w:p>
        </w:tc>
        <w:tc>
          <w:tcPr>
            <w:tcW w:w="1043" w:type="dxa"/>
            <w:tcBorders>
              <w:top w:val="nil"/>
              <w:left w:val="nil"/>
              <w:bottom w:val="nil"/>
              <w:right w:val="nil"/>
            </w:tcBorders>
            <w:noWrap/>
            <w:vAlign w:val="bottom"/>
            <w:hideMark/>
          </w:tcPr>
          <w:p w14:paraId="72727148" w14:textId="77777777" w:rsidR="004C7964" w:rsidRPr="00292826" w:rsidRDefault="004C7964" w:rsidP="004C7964">
            <w:pPr>
              <w:spacing w:after="0" w:line="240" w:lineRule="auto"/>
              <w:jc w:val="center"/>
              <w:rPr>
                <w:rFonts w:eastAsia="Times New Roman"/>
                <w:sz w:val="20"/>
                <w:szCs w:val="20"/>
              </w:rPr>
            </w:pPr>
          </w:p>
        </w:tc>
        <w:tc>
          <w:tcPr>
            <w:tcW w:w="1429" w:type="dxa"/>
            <w:tcBorders>
              <w:top w:val="nil"/>
              <w:left w:val="nil"/>
              <w:bottom w:val="single" w:sz="4" w:space="0" w:color="auto"/>
              <w:right w:val="nil"/>
            </w:tcBorders>
            <w:noWrap/>
            <w:vAlign w:val="bottom"/>
            <w:hideMark/>
          </w:tcPr>
          <w:p w14:paraId="2B70D1F7" w14:textId="77777777" w:rsidR="004C7964" w:rsidRPr="00292826" w:rsidRDefault="004C7964" w:rsidP="004C7964">
            <w:pPr>
              <w:spacing w:after="0" w:line="240" w:lineRule="auto"/>
              <w:jc w:val="center"/>
              <w:rPr>
                <w:rFonts w:ascii="Aptos Narrow" w:eastAsia="Times New Roman" w:hAnsi="Aptos Narrow"/>
                <w:color w:val="000000"/>
                <w:sz w:val="22"/>
                <w:szCs w:val="22"/>
              </w:rPr>
            </w:pPr>
          </w:p>
        </w:tc>
      </w:tr>
      <w:tr w:rsidR="004C7964" w:rsidRPr="0078243D" w14:paraId="78A9217E" w14:textId="77777777" w:rsidTr="004C7964">
        <w:trPr>
          <w:trHeight w:val="304"/>
        </w:trPr>
        <w:tc>
          <w:tcPr>
            <w:tcW w:w="1361" w:type="dxa"/>
            <w:vMerge w:val="restart"/>
            <w:tcBorders>
              <w:top w:val="single" w:sz="4" w:space="0" w:color="auto"/>
              <w:left w:val="nil"/>
              <w:bottom w:val="nil"/>
              <w:right w:val="nil"/>
            </w:tcBorders>
            <w:noWrap/>
            <w:vAlign w:val="center"/>
            <w:hideMark/>
          </w:tcPr>
          <w:p w14:paraId="3645A7DA"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sz w:val="22"/>
                <w:szCs w:val="20"/>
              </w:rPr>
              <w:t>Mean RT</w:t>
            </w:r>
          </w:p>
        </w:tc>
        <w:tc>
          <w:tcPr>
            <w:tcW w:w="2065" w:type="dxa"/>
            <w:tcBorders>
              <w:top w:val="single" w:sz="4" w:space="0" w:color="auto"/>
              <w:left w:val="nil"/>
              <w:bottom w:val="nil"/>
              <w:right w:val="nil"/>
            </w:tcBorders>
            <w:noWrap/>
            <w:vAlign w:val="center"/>
            <w:hideMark/>
          </w:tcPr>
          <w:p w14:paraId="29452BB1"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w:t>
            </w:r>
          </w:p>
        </w:tc>
        <w:tc>
          <w:tcPr>
            <w:tcW w:w="315" w:type="dxa"/>
            <w:tcBorders>
              <w:top w:val="single" w:sz="4" w:space="0" w:color="auto"/>
              <w:left w:val="nil"/>
              <w:bottom w:val="nil"/>
              <w:right w:val="nil"/>
            </w:tcBorders>
            <w:noWrap/>
            <w:vAlign w:val="bottom"/>
            <w:hideMark/>
          </w:tcPr>
          <w:p w14:paraId="5DA9E271"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4" w:space="0" w:color="auto"/>
              <w:left w:val="nil"/>
              <w:bottom w:val="nil"/>
              <w:right w:val="nil"/>
            </w:tcBorders>
            <w:noWrap/>
            <w:vAlign w:val="bottom"/>
            <w:hideMark/>
          </w:tcPr>
          <w:p w14:paraId="5960EB4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1</w:t>
            </w:r>
          </w:p>
        </w:tc>
        <w:tc>
          <w:tcPr>
            <w:tcW w:w="755" w:type="dxa"/>
            <w:tcBorders>
              <w:top w:val="single" w:sz="4" w:space="0" w:color="auto"/>
              <w:left w:val="nil"/>
              <w:bottom w:val="nil"/>
              <w:right w:val="nil"/>
            </w:tcBorders>
            <w:noWrap/>
            <w:vAlign w:val="bottom"/>
            <w:hideMark/>
          </w:tcPr>
          <w:p w14:paraId="762F080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21</w:t>
            </w:r>
          </w:p>
        </w:tc>
        <w:tc>
          <w:tcPr>
            <w:tcW w:w="1089" w:type="dxa"/>
            <w:tcBorders>
              <w:top w:val="single" w:sz="4" w:space="0" w:color="auto"/>
              <w:left w:val="nil"/>
              <w:bottom w:val="nil"/>
              <w:right w:val="nil"/>
            </w:tcBorders>
            <w:noWrap/>
            <w:vAlign w:val="bottom"/>
            <w:hideMark/>
          </w:tcPr>
          <w:p w14:paraId="055359A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65.790</w:t>
            </w:r>
          </w:p>
        </w:tc>
        <w:tc>
          <w:tcPr>
            <w:tcW w:w="1043" w:type="dxa"/>
            <w:tcBorders>
              <w:top w:val="single" w:sz="4" w:space="0" w:color="auto"/>
              <w:left w:val="nil"/>
              <w:bottom w:val="nil"/>
              <w:right w:val="nil"/>
            </w:tcBorders>
            <w:noWrap/>
            <w:vAlign w:val="bottom"/>
            <w:hideMark/>
          </w:tcPr>
          <w:p w14:paraId="69A2E0D6"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1F4E9E"/>
                <w:sz w:val="20"/>
                <w:szCs w:val="20"/>
              </w:rPr>
              <w:t>p &lt; .001</w:t>
            </w:r>
          </w:p>
        </w:tc>
        <w:tc>
          <w:tcPr>
            <w:tcW w:w="1429" w:type="dxa"/>
            <w:tcBorders>
              <w:top w:val="nil"/>
              <w:left w:val="nil"/>
              <w:bottom w:val="nil"/>
              <w:right w:val="nil"/>
            </w:tcBorders>
            <w:noWrap/>
            <w:vAlign w:val="bottom"/>
            <w:hideMark/>
          </w:tcPr>
          <w:p w14:paraId="2898600A"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0.758</w:t>
            </w:r>
          </w:p>
        </w:tc>
      </w:tr>
      <w:tr w:rsidR="004C7964" w:rsidRPr="0078243D" w14:paraId="4412A4A0" w14:textId="77777777" w:rsidTr="004C7964">
        <w:trPr>
          <w:trHeight w:val="304"/>
        </w:trPr>
        <w:tc>
          <w:tcPr>
            <w:tcW w:w="1361" w:type="dxa"/>
            <w:vMerge/>
            <w:tcBorders>
              <w:top w:val="single" w:sz="4" w:space="0" w:color="auto"/>
              <w:left w:val="nil"/>
              <w:bottom w:val="nil"/>
              <w:right w:val="nil"/>
            </w:tcBorders>
            <w:vAlign w:val="center"/>
            <w:hideMark/>
          </w:tcPr>
          <w:p w14:paraId="0B76D204"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6863A4DD"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coherence</w:t>
            </w:r>
          </w:p>
        </w:tc>
        <w:tc>
          <w:tcPr>
            <w:tcW w:w="315" w:type="dxa"/>
            <w:tcBorders>
              <w:top w:val="nil"/>
              <w:left w:val="nil"/>
              <w:bottom w:val="nil"/>
              <w:right w:val="nil"/>
            </w:tcBorders>
            <w:noWrap/>
            <w:vAlign w:val="bottom"/>
            <w:hideMark/>
          </w:tcPr>
          <w:p w14:paraId="51B8A214"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332EB36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1.49</w:t>
            </w:r>
          </w:p>
        </w:tc>
        <w:tc>
          <w:tcPr>
            <w:tcW w:w="755" w:type="dxa"/>
            <w:tcBorders>
              <w:top w:val="nil"/>
              <w:left w:val="nil"/>
              <w:bottom w:val="nil"/>
              <w:right w:val="nil"/>
            </w:tcBorders>
            <w:noWrap/>
            <w:vAlign w:val="bottom"/>
            <w:hideMark/>
          </w:tcPr>
          <w:p w14:paraId="21A563F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31.39</w:t>
            </w:r>
          </w:p>
        </w:tc>
        <w:tc>
          <w:tcPr>
            <w:tcW w:w="1089" w:type="dxa"/>
            <w:tcBorders>
              <w:top w:val="nil"/>
              <w:left w:val="nil"/>
              <w:bottom w:val="nil"/>
              <w:right w:val="nil"/>
            </w:tcBorders>
            <w:noWrap/>
            <w:vAlign w:val="bottom"/>
            <w:hideMark/>
          </w:tcPr>
          <w:p w14:paraId="60F8C3A2"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14.190</w:t>
            </w:r>
          </w:p>
        </w:tc>
        <w:tc>
          <w:tcPr>
            <w:tcW w:w="1043" w:type="dxa"/>
            <w:tcBorders>
              <w:top w:val="nil"/>
              <w:left w:val="nil"/>
              <w:bottom w:val="nil"/>
              <w:right w:val="nil"/>
            </w:tcBorders>
            <w:noWrap/>
            <w:vAlign w:val="bottom"/>
            <w:hideMark/>
          </w:tcPr>
          <w:p w14:paraId="427613F0"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1F4E9E"/>
                <w:sz w:val="20"/>
                <w:szCs w:val="20"/>
              </w:rPr>
              <w:t>p &lt; .001</w:t>
            </w:r>
          </w:p>
        </w:tc>
        <w:tc>
          <w:tcPr>
            <w:tcW w:w="1429" w:type="dxa"/>
            <w:tcBorders>
              <w:top w:val="nil"/>
              <w:left w:val="nil"/>
              <w:bottom w:val="nil"/>
              <w:right w:val="nil"/>
            </w:tcBorders>
            <w:noWrap/>
            <w:vAlign w:val="bottom"/>
            <w:hideMark/>
          </w:tcPr>
          <w:p w14:paraId="46E7C23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0.403</w:t>
            </w:r>
          </w:p>
        </w:tc>
      </w:tr>
      <w:tr w:rsidR="004C7964" w:rsidRPr="0078243D" w14:paraId="5B9FDC8C" w14:textId="77777777" w:rsidTr="004C7964">
        <w:trPr>
          <w:trHeight w:val="304"/>
        </w:trPr>
        <w:tc>
          <w:tcPr>
            <w:tcW w:w="1361" w:type="dxa"/>
            <w:vMerge/>
            <w:tcBorders>
              <w:top w:val="single" w:sz="4" w:space="0" w:color="auto"/>
              <w:left w:val="nil"/>
              <w:bottom w:val="nil"/>
              <w:right w:val="nil"/>
            </w:tcBorders>
            <w:vAlign w:val="center"/>
            <w:hideMark/>
          </w:tcPr>
          <w:p w14:paraId="1A427681"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02C8E751"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 × coherence</w:t>
            </w:r>
          </w:p>
        </w:tc>
        <w:tc>
          <w:tcPr>
            <w:tcW w:w="315" w:type="dxa"/>
            <w:tcBorders>
              <w:top w:val="nil"/>
              <w:left w:val="nil"/>
              <w:bottom w:val="nil"/>
              <w:right w:val="nil"/>
            </w:tcBorders>
            <w:noWrap/>
            <w:vAlign w:val="bottom"/>
            <w:hideMark/>
          </w:tcPr>
          <w:p w14:paraId="705EC798"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7F1C02C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1.68</w:t>
            </w:r>
          </w:p>
        </w:tc>
        <w:tc>
          <w:tcPr>
            <w:tcW w:w="755" w:type="dxa"/>
            <w:tcBorders>
              <w:top w:val="nil"/>
              <w:left w:val="nil"/>
              <w:bottom w:val="nil"/>
              <w:right w:val="nil"/>
            </w:tcBorders>
            <w:noWrap/>
            <w:vAlign w:val="bottom"/>
            <w:hideMark/>
          </w:tcPr>
          <w:p w14:paraId="70A2DCDC"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35.25</w:t>
            </w:r>
          </w:p>
        </w:tc>
        <w:tc>
          <w:tcPr>
            <w:tcW w:w="1089" w:type="dxa"/>
            <w:tcBorders>
              <w:top w:val="nil"/>
              <w:left w:val="nil"/>
              <w:bottom w:val="nil"/>
              <w:right w:val="nil"/>
            </w:tcBorders>
            <w:noWrap/>
            <w:vAlign w:val="bottom"/>
            <w:hideMark/>
          </w:tcPr>
          <w:p w14:paraId="32FFE50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4.607</w:t>
            </w:r>
          </w:p>
        </w:tc>
        <w:tc>
          <w:tcPr>
            <w:tcW w:w="1043" w:type="dxa"/>
            <w:tcBorders>
              <w:top w:val="nil"/>
              <w:left w:val="nil"/>
              <w:bottom w:val="nil"/>
              <w:right w:val="nil"/>
            </w:tcBorders>
            <w:noWrap/>
            <w:vAlign w:val="bottom"/>
            <w:hideMark/>
          </w:tcPr>
          <w:p w14:paraId="1E01EFD2"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1F4E9E"/>
                <w:sz w:val="20"/>
                <w:szCs w:val="20"/>
              </w:rPr>
              <w:t>p = .022</w:t>
            </w:r>
          </w:p>
        </w:tc>
        <w:tc>
          <w:tcPr>
            <w:tcW w:w="1429" w:type="dxa"/>
            <w:tcBorders>
              <w:top w:val="nil"/>
              <w:left w:val="nil"/>
              <w:bottom w:val="nil"/>
              <w:right w:val="nil"/>
            </w:tcBorders>
            <w:noWrap/>
            <w:vAlign w:val="bottom"/>
            <w:hideMark/>
          </w:tcPr>
          <w:p w14:paraId="4B5A208F"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0.180</w:t>
            </w:r>
          </w:p>
        </w:tc>
      </w:tr>
      <w:tr w:rsidR="004C7964" w:rsidRPr="0078243D" w14:paraId="2136A313" w14:textId="77777777" w:rsidTr="004C7964">
        <w:trPr>
          <w:trHeight w:val="304"/>
        </w:trPr>
        <w:tc>
          <w:tcPr>
            <w:tcW w:w="1361" w:type="dxa"/>
            <w:tcBorders>
              <w:top w:val="nil"/>
              <w:left w:val="nil"/>
              <w:bottom w:val="nil"/>
              <w:right w:val="nil"/>
            </w:tcBorders>
            <w:noWrap/>
            <w:vAlign w:val="center"/>
            <w:hideMark/>
          </w:tcPr>
          <w:p w14:paraId="1EDCD575" w14:textId="77777777" w:rsidR="004C7964" w:rsidRPr="00292826" w:rsidRDefault="004C7964" w:rsidP="004C7964">
            <w:pPr>
              <w:spacing w:after="0" w:line="240" w:lineRule="auto"/>
              <w:jc w:val="center"/>
              <w:rPr>
                <w:rFonts w:eastAsia="Times New Roman"/>
                <w:color w:val="000000"/>
                <w:sz w:val="22"/>
                <w:szCs w:val="20"/>
              </w:rPr>
            </w:pPr>
          </w:p>
        </w:tc>
        <w:tc>
          <w:tcPr>
            <w:tcW w:w="2065" w:type="dxa"/>
            <w:tcBorders>
              <w:top w:val="nil"/>
              <w:left w:val="nil"/>
              <w:bottom w:val="nil"/>
              <w:right w:val="nil"/>
            </w:tcBorders>
            <w:noWrap/>
            <w:vAlign w:val="bottom"/>
            <w:hideMark/>
          </w:tcPr>
          <w:p w14:paraId="18F5A0E1" w14:textId="77777777" w:rsidR="004C7964" w:rsidRPr="00292826" w:rsidRDefault="004C7964" w:rsidP="004C7964">
            <w:pPr>
              <w:spacing w:after="0" w:line="240" w:lineRule="auto"/>
              <w:jc w:val="center"/>
              <w:rPr>
                <w:rFonts w:eastAsia="Times New Roman"/>
                <w:sz w:val="20"/>
                <w:szCs w:val="20"/>
              </w:rPr>
            </w:pPr>
          </w:p>
        </w:tc>
        <w:tc>
          <w:tcPr>
            <w:tcW w:w="315" w:type="dxa"/>
            <w:tcBorders>
              <w:top w:val="nil"/>
              <w:left w:val="nil"/>
              <w:bottom w:val="nil"/>
              <w:right w:val="nil"/>
            </w:tcBorders>
            <w:noWrap/>
            <w:vAlign w:val="bottom"/>
            <w:hideMark/>
          </w:tcPr>
          <w:p w14:paraId="22299422" w14:textId="77777777" w:rsidR="004C7964" w:rsidRPr="00292826" w:rsidRDefault="004C7964" w:rsidP="004C7964">
            <w:pPr>
              <w:spacing w:after="0" w:line="240" w:lineRule="auto"/>
              <w:jc w:val="center"/>
              <w:rPr>
                <w:rFonts w:eastAsia="Times New Roman"/>
                <w:sz w:val="20"/>
                <w:szCs w:val="20"/>
              </w:rPr>
            </w:pPr>
          </w:p>
        </w:tc>
        <w:tc>
          <w:tcPr>
            <w:tcW w:w="642" w:type="dxa"/>
            <w:tcBorders>
              <w:top w:val="nil"/>
              <w:left w:val="nil"/>
              <w:bottom w:val="nil"/>
              <w:right w:val="nil"/>
            </w:tcBorders>
            <w:noWrap/>
            <w:vAlign w:val="bottom"/>
            <w:hideMark/>
          </w:tcPr>
          <w:p w14:paraId="30249F44" w14:textId="77777777" w:rsidR="004C7964" w:rsidRPr="00292826" w:rsidRDefault="004C7964" w:rsidP="004C7964">
            <w:pPr>
              <w:spacing w:after="0" w:line="240" w:lineRule="auto"/>
              <w:jc w:val="center"/>
              <w:rPr>
                <w:rFonts w:eastAsia="Times New Roman"/>
                <w:sz w:val="20"/>
                <w:szCs w:val="20"/>
              </w:rPr>
            </w:pPr>
          </w:p>
        </w:tc>
        <w:tc>
          <w:tcPr>
            <w:tcW w:w="755" w:type="dxa"/>
            <w:tcBorders>
              <w:top w:val="nil"/>
              <w:left w:val="nil"/>
              <w:bottom w:val="nil"/>
              <w:right w:val="nil"/>
            </w:tcBorders>
            <w:noWrap/>
            <w:vAlign w:val="bottom"/>
            <w:hideMark/>
          </w:tcPr>
          <w:p w14:paraId="07FEAF0D" w14:textId="77777777" w:rsidR="004C7964" w:rsidRPr="00292826" w:rsidRDefault="004C7964" w:rsidP="004C7964">
            <w:pPr>
              <w:spacing w:after="0" w:line="240" w:lineRule="auto"/>
              <w:jc w:val="center"/>
              <w:rPr>
                <w:rFonts w:eastAsia="Times New Roman"/>
                <w:sz w:val="20"/>
                <w:szCs w:val="20"/>
              </w:rPr>
            </w:pPr>
          </w:p>
        </w:tc>
        <w:tc>
          <w:tcPr>
            <w:tcW w:w="1089" w:type="dxa"/>
            <w:tcBorders>
              <w:top w:val="nil"/>
              <w:left w:val="nil"/>
              <w:bottom w:val="nil"/>
              <w:right w:val="nil"/>
            </w:tcBorders>
            <w:noWrap/>
            <w:vAlign w:val="bottom"/>
            <w:hideMark/>
          </w:tcPr>
          <w:p w14:paraId="508E33CE" w14:textId="77777777" w:rsidR="004C7964" w:rsidRPr="00292826" w:rsidRDefault="004C7964" w:rsidP="004C7964">
            <w:pPr>
              <w:spacing w:after="0" w:line="240" w:lineRule="auto"/>
              <w:jc w:val="center"/>
              <w:rPr>
                <w:rFonts w:eastAsia="Times New Roman"/>
                <w:sz w:val="20"/>
                <w:szCs w:val="20"/>
              </w:rPr>
            </w:pPr>
          </w:p>
        </w:tc>
        <w:tc>
          <w:tcPr>
            <w:tcW w:w="1043" w:type="dxa"/>
            <w:tcBorders>
              <w:top w:val="nil"/>
              <w:left w:val="nil"/>
              <w:bottom w:val="nil"/>
              <w:right w:val="nil"/>
            </w:tcBorders>
            <w:noWrap/>
            <w:vAlign w:val="bottom"/>
            <w:hideMark/>
          </w:tcPr>
          <w:p w14:paraId="7A663482" w14:textId="77777777" w:rsidR="004C7964" w:rsidRPr="00292826" w:rsidRDefault="004C7964" w:rsidP="004C7964">
            <w:pPr>
              <w:spacing w:after="0" w:line="240" w:lineRule="auto"/>
              <w:jc w:val="center"/>
              <w:rPr>
                <w:rFonts w:eastAsia="Times New Roman"/>
                <w:sz w:val="20"/>
                <w:szCs w:val="20"/>
              </w:rPr>
            </w:pPr>
          </w:p>
        </w:tc>
        <w:tc>
          <w:tcPr>
            <w:tcW w:w="1429" w:type="dxa"/>
            <w:tcBorders>
              <w:top w:val="nil"/>
              <w:left w:val="nil"/>
              <w:bottom w:val="single" w:sz="4" w:space="0" w:color="auto"/>
              <w:right w:val="nil"/>
            </w:tcBorders>
            <w:noWrap/>
            <w:vAlign w:val="bottom"/>
            <w:hideMark/>
          </w:tcPr>
          <w:p w14:paraId="3DF954CA" w14:textId="77777777" w:rsidR="004C7964" w:rsidRPr="00292826" w:rsidRDefault="004C7964" w:rsidP="004C7964">
            <w:pPr>
              <w:spacing w:after="0" w:line="240" w:lineRule="auto"/>
              <w:jc w:val="center"/>
              <w:rPr>
                <w:rFonts w:ascii="Aptos Narrow" w:eastAsia="Times New Roman" w:hAnsi="Aptos Narrow"/>
                <w:color w:val="000000"/>
                <w:sz w:val="22"/>
                <w:szCs w:val="22"/>
              </w:rPr>
            </w:pPr>
          </w:p>
        </w:tc>
      </w:tr>
      <w:tr w:rsidR="004C7964" w:rsidRPr="0078243D" w14:paraId="2E31468F" w14:textId="77777777" w:rsidTr="004C7964">
        <w:trPr>
          <w:trHeight w:val="304"/>
        </w:trPr>
        <w:tc>
          <w:tcPr>
            <w:tcW w:w="1361" w:type="dxa"/>
            <w:vMerge w:val="restart"/>
            <w:tcBorders>
              <w:top w:val="single" w:sz="4" w:space="0" w:color="auto"/>
              <w:left w:val="nil"/>
              <w:bottom w:val="nil"/>
              <w:right w:val="nil"/>
            </w:tcBorders>
            <w:noWrap/>
            <w:vAlign w:val="center"/>
            <w:hideMark/>
          </w:tcPr>
          <w:p w14:paraId="481AD3A3"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sz w:val="22"/>
                <w:szCs w:val="20"/>
              </w:rPr>
              <w:t>Mean PMET</w:t>
            </w:r>
          </w:p>
        </w:tc>
        <w:tc>
          <w:tcPr>
            <w:tcW w:w="2065" w:type="dxa"/>
            <w:tcBorders>
              <w:top w:val="single" w:sz="4" w:space="0" w:color="auto"/>
              <w:left w:val="nil"/>
              <w:bottom w:val="nil"/>
              <w:right w:val="nil"/>
            </w:tcBorders>
            <w:noWrap/>
            <w:vAlign w:val="center"/>
            <w:hideMark/>
          </w:tcPr>
          <w:p w14:paraId="4835F5D9"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w:t>
            </w:r>
          </w:p>
        </w:tc>
        <w:tc>
          <w:tcPr>
            <w:tcW w:w="315" w:type="dxa"/>
            <w:tcBorders>
              <w:top w:val="single" w:sz="4" w:space="0" w:color="auto"/>
              <w:left w:val="nil"/>
              <w:bottom w:val="nil"/>
              <w:right w:val="nil"/>
            </w:tcBorders>
            <w:noWrap/>
            <w:vAlign w:val="bottom"/>
            <w:hideMark/>
          </w:tcPr>
          <w:p w14:paraId="5925534F"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4" w:space="0" w:color="auto"/>
              <w:left w:val="nil"/>
              <w:bottom w:val="nil"/>
              <w:right w:val="nil"/>
            </w:tcBorders>
            <w:noWrap/>
            <w:vAlign w:val="bottom"/>
            <w:hideMark/>
          </w:tcPr>
          <w:p w14:paraId="07F9D080"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1</w:t>
            </w:r>
          </w:p>
        </w:tc>
        <w:tc>
          <w:tcPr>
            <w:tcW w:w="755" w:type="dxa"/>
            <w:tcBorders>
              <w:top w:val="single" w:sz="4" w:space="0" w:color="auto"/>
              <w:left w:val="nil"/>
              <w:bottom w:val="nil"/>
              <w:right w:val="nil"/>
            </w:tcBorders>
            <w:noWrap/>
            <w:vAlign w:val="bottom"/>
            <w:hideMark/>
          </w:tcPr>
          <w:p w14:paraId="15C066F7"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21</w:t>
            </w:r>
          </w:p>
        </w:tc>
        <w:tc>
          <w:tcPr>
            <w:tcW w:w="1089" w:type="dxa"/>
            <w:tcBorders>
              <w:top w:val="single" w:sz="4" w:space="0" w:color="auto"/>
              <w:left w:val="nil"/>
              <w:bottom w:val="nil"/>
              <w:right w:val="nil"/>
            </w:tcBorders>
            <w:noWrap/>
            <w:vAlign w:val="bottom"/>
            <w:hideMark/>
          </w:tcPr>
          <w:p w14:paraId="113AC882"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69.600</w:t>
            </w:r>
          </w:p>
        </w:tc>
        <w:tc>
          <w:tcPr>
            <w:tcW w:w="1043" w:type="dxa"/>
            <w:tcBorders>
              <w:top w:val="single" w:sz="4" w:space="0" w:color="auto"/>
              <w:left w:val="nil"/>
              <w:bottom w:val="nil"/>
              <w:right w:val="nil"/>
            </w:tcBorders>
            <w:noWrap/>
            <w:vAlign w:val="bottom"/>
            <w:hideMark/>
          </w:tcPr>
          <w:p w14:paraId="172ACE3D"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1F4E9E"/>
                <w:sz w:val="20"/>
                <w:szCs w:val="20"/>
              </w:rPr>
              <w:t>p &lt; .001</w:t>
            </w:r>
          </w:p>
        </w:tc>
        <w:tc>
          <w:tcPr>
            <w:tcW w:w="1429" w:type="dxa"/>
            <w:tcBorders>
              <w:top w:val="nil"/>
              <w:left w:val="nil"/>
              <w:bottom w:val="nil"/>
              <w:right w:val="nil"/>
            </w:tcBorders>
            <w:noWrap/>
            <w:vAlign w:val="bottom"/>
            <w:hideMark/>
          </w:tcPr>
          <w:p w14:paraId="6036B7AD"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0.768</w:t>
            </w:r>
          </w:p>
        </w:tc>
      </w:tr>
      <w:tr w:rsidR="004C7964" w:rsidRPr="0078243D" w14:paraId="5C8AD283" w14:textId="77777777" w:rsidTr="004C7964">
        <w:trPr>
          <w:trHeight w:val="304"/>
        </w:trPr>
        <w:tc>
          <w:tcPr>
            <w:tcW w:w="1361" w:type="dxa"/>
            <w:vMerge/>
            <w:tcBorders>
              <w:top w:val="single" w:sz="4" w:space="0" w:color="auto"/>
              <w:left w:val="nil"/>
              <w:bottom w:val="nil"/>
              <w:right w:val="nil"/>
            </w:tcBorders>
            <w:vAlign w:val="center"/>
            <w:hideMark/>
          </w:tcPr>
          <w:p w14:paraId="336CA634"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6A30F2F4"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coherence</w:t>
            </w:r>
          </w:p>
        </w:tc>
        <w:tc>
          <w:tcPr>
            <w:tcW w:w="315" w:type="dxa"/>
            <w:tcBorders>
              <w:top w:val="nil"/>
              <w:left w:val="nil"/>
              <w:bottom w:val="nil"/>
              <w:right w:val="nil"/>
            </w:tcBorders>
            <w:noWrap/>
            <w:vAlign w:val="bottom"/>
            <w:hideMark/>
          </w:tcPr>
          <w:p w14:paraId="72E56137"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64CF6E5E" w14:textId="77777777" w:rsidR="004C7964" w:rsidRPr="000A420D" w:rsidRDefault="003D11F7" w:rsidP="004C7964">
            <w:pPr>
              <w:spacing w:after="0" w:line="240" w:lineRule="auto"/>
              <w:jc w:val="center"/>
              <w:rPr>
                <w:rFonts w:eastAsia="Times New Roman"/>
                <w:sz w:val="20"/>
                <w:szCs w:val="20"/>
              </w:rPr>
            </w:pPr>
            <w:r w:rsidRPr="000A420D">
              <w:rPr>
                <w:rFonts w:eastAsia="Times New Roman"/>
                <w:color w:val="1F4E9E"/>
                <w:sz w:val="20"/>
                <w:szCs w:val="20"/>
              </w:rPr>
              <w:t>1.60</w:t>
            </w:r>
          </w:p>
        </w:tc>
        <w:tc>
          <w:tcPr>
            <w:tcW w:w="755" w:type="dxa"/>
            <w:tcBorders>
              <w:top w:val="nil"/>
              <w:left w:val="nil"/>
              <w:bottom w:val="nil"/>
              <w:right w:val="nil"/>
            </w:tcBorders>
            <w:noWrap/>
            <w:vAlign w:val="bottom"/>
            <w:hideMark/>
          </w:tcPr>
          <w:p w14:paraId="04CA01DD" w14:textId="77777777" w:rsidR="004C7964" w:rsidRPr="000A420D" w:rsidRDefault="003D11F7" w:rsidP="004C7964">
            <w:pPr>
              <w:spacing w:after="0" w:line="240" w:lineRule="auto"/>
              <w:jc w:val="center"/>
              <w:rPr>
                <w:rFonts w:eastAsia="Times New Roman"/>
                <w:sz w:val="20"/>
                <w:szCs w:val="20"/>
              </w:rPr>
            </w:pPr>
            <w:r w:rsidRPr="000A420D">
              <w:rPr>
                <w:rFonts w:eastAsia="Times New Roman"/>
                <w:color w:val="1F4E9E"/>
                <w:sz w:val="20"/>
                <w:szCs w:val="20"/>
              </w:rPr>
              <w:t>33.50</w:t>
            </w:r>
          </w:p>
        </w:tc>
        <w:tc>
          <w:tcPr>
            <w:tcW w:w="1089" w:type="dxa"/>
            <w:tcBorders>
              <w:top w:val="nil"/>
              <w:left w:val="nil"/>
              <w:bottom w:val="nil"/>
              <w:right w:val="nil"/>
            </w:tcBorders>
            <w:noWrap/>
            <w:vAlign w:val="bottom"/>
            <w:hideMark/>
          </w:tcPr>
          <w:p w14:paraId="54B63C79"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14.000</w:t>
            </w:r>
          </w:p>
        </w:tc>
        <w:tc>
          <w:tcPr>
            <w:tcW w:w="1043" w:type="dxa"/>
            <w:tcBorders>
              <w:top w:val="nil"/>
              <w:left w:val="nil"/>
              <w:bottom w:val="nil"/>
              <w:right w:val="nil"/>
            </w:tcBorders>
            <w:noWrap/>
            <w:vAlign w:val="bottom"/>
            <w:hideMark/>
          </w:tcPr>
          <w:p w14:paraId="6E3AC8D8"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1F4E9E"/>
                <w:sz w:val="20"/>
                <w:szCs w:val="20"/>
              </w:rPr>
              <w:t>p &lt; .001</w:t>
            </w:r>
          </w:p>
        </w:tc>
        <w:tc>
          <w:tcPr>
            <w:tcW w:w="1429" w:type="dxa"/>
            <w:tcBorders>
              <w:top w:val="nil"/>
              <w:left w:val="nil"/>
              <w:bottom w:val="nil"/>
              <w:right w:val="nil"/>
            </w:tcBorders>
            <w:noWrap/>
            <w:vAlign w:val="bottom"/>
            <w:hideMark/>
          </w:tcPr>
          <w:p w14:paraId="6037ECF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0.400</w:t>
            </w:r>
          </w:p>
        </w:tc>
      </w:tr>
      <w:tr w:rsidR="004C7964" w:rsidRPr="0078243D" w14:paraId="66470A46" w14:textId="77777777" w:rsidTr="004C7964">
        <w:trPr>
          <w:trHeight w:val="304"/>
        </w:trPr>
        <w:tc>
          <w:tcPr>
            <w:tcW w:w="1361" w:type="dxa"/>
            <w:vMerge/>
            <w:tcBorders>
              <w:top w:val="single" w:sz="4" w:space="0" w:color="auto"/>
              <w:left w:val="nil"/>
              <w:bottom w:val="nil"/>
              <w:right w:val="nil"/>
            </w:tcBorders>
            <w:vAlign w:val="center"/>
            <w:hideMark/>
          </w:tcPr>
          <w:p w14:paraId="54BAE56C"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2100476A"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 × coherence</w:t>
            </w:r>
          </w:p>
        </w:tc>
        <w:tc>
          <w:tcPr>
            <w:tcW w:w="315" w:type="dxa"/>
            <w:tcBorders>
              <w:top w:val="nil"/>
              <w:left w:val="nil"/>
              <w:bottom w:val="nil"/>
              <w:right w:val="nil"/>
            </w:tcBorders>
            <w:noWrap/>
            <w:vAlign w:val="bottom"/>
            <w:hideMark/>
          </w:tcPr>
          <w:p w14:paraId="22C0658E"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4A04CD54"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1.72</w:t>
            </w:r>
          </w:p>
        </w:tc>
        <w:tc>
          <w:tcPr>
            <w:tcW w:w="755" w:type="dxa"/>
            <w:tcBorders>
              <w:top w:val="nil"/>
              <w:left w:val="nil"/>
              <w:bottom w:val="nil"/>
              <w:right w:val="nil"/>
            </w:tcBorders>
            <w:noWrap/>
            <w:vAlign w:val="bottom"/>
            <w:hideMark/>
          </w:tcPr>
          <w:p w14:paraId="3545FA11"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36.14</w:t>
            </w:r>
          </w:p>
        </w:tc>
        <w:tc>
          <w:tcPr>
            <w:tcW w:w="1089" w:type="dxa"/>
            <w:tcBorders>
              <w:top w:val="nil"/>
              <w:left w:val="nil"/>
              <w:bottom w:val="nil"/>
              <w:right w:val="nil"/>
            </w:tcBorders>
            <w:noWrap/>
            <w:vAlign w:val="bottom"/>
            <w:hideMark/>
          </w:tcPr>
          <w:p w14:paraId="58971CE4"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3.575</w:t>
            </w:r>
          </w:p>
        </w:tc>
        <w:tc>
          <w:tcPr>
            <w:tcW w:w="1043" w:type="dxa"/>
            <w:tcBorders>
              <w:top w:val="nil"/>
              <w:left w:val="nil"/>
              <w:bottom w:val="nil"/>
              <w:right w:val="nil"/>
            </w:tcBorders>
            <w:noWrap/>
            <w:vAlign w:val="bottom"/>
            <w:hideMark/>
          </w:tcPr>
          <w:p w14:paraId="383C31F1"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1F4E9E"/>
                <w:sz w:val="20"/>
                <w:szCs w:val="20"/>
              </w:rPr>
              <w:t>p = .045</w:t>
            </w:r>
          </w:p>
        </w:tc>
        <w:tc>
          <w:tcPr>
            <w:tcW w:w="1429" w:type="dxa"/>
            <w:tcBorders>
              <w:top w:val="nil"/>
              <w:left w:val="nil"/>
              <w:bottom w:val="nil"/>
              <w:right w:val="nil"/>
            </w:tcBorders>
            <w:noWrap/>
            <w:vAlign w:val="bottom"/>
            <w:hideMark/>
          </w:tcPr>
          <w:p w14:paraId="7854BF9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0.145</w:t>
            </w:r>
          </w:p>
        </w:tc>
      </w:tr>
      <w:tr w:rsidR="004C7964" w:rsidRPr="0078243D" w14:paraId="785C8375" w14:textId="77777777" w:rsidTr="004C7964">
        <w:trPr>
          <w:trHeight w:val="304"/>
        </w:trPr>
        <w:tc>
          <w:tcPr>
            <w:tcW w:w="1361" w:type="dxa"/>
            <w:tcBorders>
              <w:top w:val="nil"/>
              <w:left w:val="nil"/>
              <w:bottom w:val="nil"/>
              <w:right w:val="nil"/>
            </w:tcBorders>
            <w:noWrap/>
            <w:vAlign w:val="bottom"/>
            <w:hideMark/>
          </w:tcPr>
          <w:p w14:paraId="4E621A63" w14:textId="77777777" w:rsidR="004C7964" w:rsidRPr="00292826" w:rsidRDefault="004C7964" w:rsidP="004C7964">
            <w:pPr>
              <w:spacing w:after="0" w:line="240" w:lineRule="auto"/>
              <w:jc w:val="center"/>
              <w:rPr>
                <w:rFonts w:eastAsia="Times New Roman"/>
                <w:color w:val="000000"/>
                <w:sz w:val="22"/>
                <w:szCs w:val="20"/>
              </w:rPr>
            </w:pPr>
          </w:p>
        </w:tc>
        <w:tc>
          <w:tcPr>
            <w:tcW w:w="2065" w:type="dxa"/>
            <w:tcBorders>
              <w:top w:val="nil"/>
              <w:left w:val="nil"/>
              <w:bottom w:val="nil"/>
              <w:right w:val="nil"/>
            </w:tcBorders>
            <w:noWrap/>
            <w:vAlign w:val="bottom"/>
            <w:hideMark/>
          </w:tcPr>
          <w:p w14:paraId="249B2494" w14:textId="77777777" w:rsidR="004C7964" w:rsidRPr="00292826" w:rsidRDefault="004C7964" w:rsidP="004C7964">
            <w:pPr>
              <w:spacing w:after="0" w:line="240" w:lineRule="auto"/>
              <w:jc w:val="center"/>
              <w:rPr>
                <w:rFonts w:eastAsia="Times New Roman"/>
                <w:sz w:val="20"/>
                <w:szCs w:val="20"/>
              </w:rPr>
            </w:pPr>
          </w:p>
        </w:tc>
        <w:tc>
          <w:tcPr>
            <w:tcW w:w="315" w:type="dxa"/>
            <w:tcBorders>
              <w:top w:val="nil"/>
              <w:left w:val="nil"/>
              <w:bottom w:val="nil"/>
              <w:right w:val="nil"/>
            </w:tcBorders>
            <w:noWrap/>
            <w:vAlign w:val="bottom"/>
            <w:hideMark/>
          </w:tcPr>
          <w:p w14:paraId="6ED708B8" w14:textId="77777777" w:rsidR="004C7964" w:rsidRPr="00292826" w:rsidRDefault="004C7964" w:rsidP="004C7964">
            <w:pPr>
              <w:spacing w:after="0" w:line="240" w:lineRule="auto"/>
              <w:jc w:val="center"/>
              <w:rPr>
                <w:rFonts w:eastAsia="Times New Roman"/>
                <w:sz w:val="20"/>
                <w:szCs w:val="20"/>
              </w:rPr>
            </w:pPr>
          </w:p>
        </w:tc>
        <w:tc>
          <w:tcPr>
            <w:tcW w:w="642" w:type="dxa"/>
            <w:tcBorders>
              <w:top w:val="nil"/>
              <w:left w:val="nil"/>
              <w:bottom w:val="nil"/>
              <w:right w:val="nil"/>
            </w:tcBorders>
            <w:noWrap/>
            <w:vAlign w:val="bottom"/>
            <w:hideMark/>
          </w:tcPr>
          <w:p w14:paraId="4A767B92" w14:textId="77777777" w:rsidR="004C7964" w:rsidRPr="000A420D" w:rsidRDefault="004C7964" w:rsidP="004C7964">
            <w:pPr>
              <w:spacing w:after="0" w:line="240" w:lineRule="auto"/>
              <w:jc w:val="center"/>
              <w:rPr>
                <w:rFonts w:eastAsia="Times New Roman"/>
                <w:sz w:val="20"/>
                <w:szCs w:val="20"/>
              </w:rPr>
            </w:pPr>
          </w:p>
        </w:tc>
        <w:tc>
          <w:tcPr>
            <w:tcW w:w="755" w:type="dxa"/>
            <w:tcBorders>
              <w:top w:val="nil"/>
              <w:left w:val="nil"/>
              <w:bottom w:val="nil"/>
              <w:right w:val="nil"/>
            </w:tcBorders>
            <w:noWrap/>
            <w:vAlign w:val="bottom"/>
            <w:hideMark/>
          </w:tcPr>
          <w:p w14:paraId="3E6F6C20" w14:textId="77777777" w:rsidR="004C7964" w:rsidRPr="000A420D" w:rsidRDefault="004C7964" w:rsidP="004C7964">
            <w:pPr>
              <w:spacing w:after="0" w:line="240" w:lineRule="auto"/>
              <w:jc w:val="center"/>
              <w:rPr>
                <w:rFonts w:eastAsia="Times New Roman"/>
                <w:sz w:val="20"/>
                <w:szCs w:val="20"/>
              </w:rPr>
            </w:pPr>
          </w:p>
        </w:tc>
        <w:tc>
          <w:tcPr>
            <w:tcW w:w="1089" w:type="dxa"/>
            <w:tcBorders>
              <w:top w:val="nil"/>
              <w:left w:val="nil"/>
              <w:bottom w:val="nil"/>
              <w:right w:val="nil"/>
            </w:tcBorders>
            <w:noWrap/>
            <w:vAlign w:val="bottom"/>
            <w:hideMark/>
          </w:tcPr>
          <w:p w14:paraId="5393EA88" w14:textId="77777777" w:rsidR="004C7964" w:rsidRPr="000A420D" w:rsidRDefault="004C7964" w:rsidP="004C7964">
            <w:pPr>
              <w:spacing w:after="0" w:line="240" w:lineRule="auto"/>
              <w:jc w:val="center"/>
              <w:rPr>
                <w:rFonts w:eastAsia="Times New Roman"/>
                <w:sz w:val="20"/>
                <w:szCs w:val="20"/>
              </w:rPr>
            </w:pPr>
          </w:p>
        </w:tc>
        <w:tc>
          <w:tcPr>
            <w:tcW w:w="1043" w:type="dxa"/>
            <w:tcBorders>
              <w:top w:val="nil"/>
              <w:left w:val="nil"/>
              <w:bottom w:val="nil"/>
              <w:right w:val="nil"/>
            </w:tcBorders>
            <w:noWrap/>
            <w:vAlign w:val="bottom"/>
            <w:hideMark/>
          </w:tcPr>
          <w:p w14:paraId="6C993440" w14:textId="77777777" w:rsidR="004C7964" w:rsidRPr="00292826" w:rsidRDefault="004C7964" w:rsidP="004C7964">
            <w:pPr>
              <w:spacing w:after="0" w:line="240" w:lineRule="auto"/>
              <w:jc w:val="center"/>
              <w:rPr>
                <w:rFonts w:eastAsia="Times New Roman"/>
                <w:sz w:val="20"/>
                <w:szCs w:val="20"/>
              </w:rPr>
            </w:pPr>
          </w:p>
        </w:tc>
        <w:tc>
          <w:tcPr>
            <w:tcW w:w="1429" w:type="dxa"/>
            <w:tcBorders>
              <w:top w:val="nil"/>
              <w:left w:val="nil"/>
              <w:bottom w:val="single" w:sz="4" w:space="0" w:color="auto"/>
              <w:right w:val="nil"/>
            </w:tcBorders>
            <w:noWrap/>
            <w:vAlign w:val="bottom"/>
            <w:hideMark/>
          </w:tcPr>
          <w:p w14:paraId="4C767B14" w14:textId="77777777" w:rsidR="004C7964" w:rsidRPr="00292826" w:rsidRDefault="004C7964" w:rsidP="004C7964">
            <w:pPr>
              <w:spacing w:after="0" w:line="240" w:lineRule="auto"/>
              <w:jc w:val="center"/>
              <w:rPr>
                <w:rFonts w:ascii="Aptos Narrow" w:eastAsia="Times New Roman" w:hAnsi="Aptos Narrow"/>
                <w:color w:val="000000"/>
                <w:sz w:val="22"/>
                <w:szCs w:val="22"/>
              </w:rPr>
            </w:pPr>
          </w:p>
        </w:tc>
      </w:tr>
      <w:tr w:rsidR="004C7964" w:rsidRPr="0078243D" w14:paraId="254A4C76" w14:textId="77777777" w:rsidTr="004C7964">
        <w:trPr>
          <w:trHeight w:val="304"/>
        </w:trPr>
        <w:tc>
          <w:tcPr>
            <w:tcW w:w="1361" w:type="dxa"/>
            <w:vMerge w:val="restart"/>
            <w:tcBorders>
              <w:top w:val="single" w:sz="4" w:space="0" w:color="auto"/>
              <w:left w:val="nil"/>
              <w:bottom w:val="single" w:sz="4" w:space="0" w:color="000000"/>
              <w:right w:val="nil"/>
            </w:tcBorders>
            <w:noWrap/>
            <w:vAlign w:val="center"/>
            <w:hideMark/>
          </w:tcPr>
          <w:p w14:paraId="102C0D80"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sz w:val="22"/>
                <w:szCs w:val="20"/>
              </w:rPr>
              <w:t>Mean MET</w:t>
            </w:r>
          </w:p>
        </w:tc>
        <w:tc>
          <w:tcPr>
            <w:tcW w:w="2065" w:type="dxa"/>
            <w:tcBorders>
              <w:top w:val="single" w:sz="4" w:space="0" w:color="auto"/>
              <w:left w:val="nil"/>
              <w:bottom w:val="nil"/>
              <w:right w:val="nil"/>
            </w:tcBorders>
            <w:noWrap/>
            <w:vAlign w:val="center"/>
            <w:hideMark/>
          </w:tcPr>
          <w:p w14:paraId="050EB3DB"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w:t>
            </w:r>
          </w:p>
        </w:tc>
        <w:tc>
          <w:tcPr>
            <w:tcW w:w="315" w:type="dxa"/>
            <w:tcBorders>
              <w:top w:val="single" w:sz="4" w:space="0" w:color="auto"/>
              <w:left w:val="nil"/>
              <w:bottom w:val="nil"/>
              <w:right w:val="nil"/>
            </w:tcBorders>
            <w:noWrap/>
            <w:vAlign w:val="bottom"/>
            <w:hideMark/>
          </w:tcPr>
          <w:p w14:paraId="20168F8F"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4" w:space="0" w:color="auto"/>
              <w:left w:val="nil"/>
              <w:bottom w:val="nil"/>
              <w:right w:val="nil"/>
            </w:tcBorders>
            <w:noWrap/>
            <w:vAlign w:val="bottom"/>
            <w:hideMark/>
          </w:tcPr>
          <w:p w14:paraId="1C8E20DE"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1</w:t>
            </w:r>
          </w:p>
        </w:tc>
        <w:tc>
          <w:tcPr>
            <w:tcW w:w="755" w:type="dxa"/>
            <w:tcBorders>
              <w:top w:val="single" w:sz="4" w:space="0" w:color="auto"/>
              <w:left w:val="nil"/>
              <w:bottom w:val="nil"/>
              <w:right w:val="nil"/>
            </w:tcBorders>
            <w:noWrap/>
            <w:vAlign w:val="bottom"/>
            <w:hideMark/>
          </w:tcPr>
          <w:p w14:paraId="138F95CE"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21</w:t>
            </w:r>
          </w:p>
        </w:tc>
        <w:tc>
          <w:tcPr>
            <w:tcW w:w="1089" w:type="dxa"/>
            <w:tcBorders>
              <w:top w:val="single" w:sz="4" w:space="0" w:color="auto"/>
              <w:left w:val="nil"/>
              <w:bottom w:val="nil"/>
              <w:right w:val="nil"/>
            </w:tcBorders>
            <w:noWrap/>
            <w:vAlign w:val="bottom"/>
            <w:hideMark/>
          </w:tcPr>
          <w:p w14:paraId="0672B94F"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1.095</w:t>
            </w:r>
          </w:p>
        </w:tc>
        <w:tc>
          <w:tcPr>
            <w:tcW w:w="1043" w:type="dxa"/>
            <w:tcBorders>
              <w:top w:val="single" w:sz="4" w:space="0" w:color="auto"/>
              <w:left w:val="nil"/>
              <w:bottom w:val="nil"/>
              <w:right w:val="nil"/>
            </w:tcBorders>
            <w:noWrap/>
            <w:vAlign w:val="bottom"/>
            <w:hideMark/>
          </w:tcPr>
          <w:p w14:paraId="7A3BCB63"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1F4E9E"/>
                <w:sz w:val="20"/>
                <w:szCs w:val="20"/>
              </w:rPr>
              <w:t>p = .307</w:t>
            </w:r>
          </w:p>
        </w:tc>
        <w:tc>
          <w:tcPr>
            <w:tcW w:w="1429" w:type="dxa"/>
            <w:tcBorders>
              <w:top w:val="nil"/>
              <w:left w:val="nil"/>
              <w:bottom w:val="nil"/>
              <w:right w:val="nil"/>
            </w:tcBorders>
            <w:noWrap/>
            <w:vAlign w:val="bottom"/>
            <w:hideMark/>
          </w:tcPr>
          <w:p w14:paraId="62F67DF0"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0.050</w:t>
            </w:r>
          </w:p>
        </w:tc>
      </w:tr>
      <w:tr w:rsidR="004C7964" w:rsidRPr="0078243D" w14:paraId="7D944F0B" w14:textId="77777777" w:rsidTr="004C7964">
        <w:trPr>
          <w:trHeight w:val="304"/>
        </w:trPr>
        <w:tc>
          <w:tcPr>
            <w:tcW w:w="1361" w:type="dxa"/>
            <w:vMerge/>
            <w:tcBorders>
              <w:top w:val="single" w:sz="4" w:space="0" w:color="auto"/>
              <w:left w:val="nil"/>
              <w:bottom w:val="single" w:sz="4" w:space="0" w:color="000000"/>
              <w:right w:val="nil"/>
            </w:tcBorders>
            <w:vAlign w:val="center"/>
            <w:hideMark/>
          </w:tcPr>
          <w:p w14:paraId="2E641067" w14:textId="77777777" w:rsidR="004C7964" w:rsidRPr="00292826" w:rsidRDefault="004C7964" w:rsidP="004C7964">
            <w:pPr>
              <w:spacing w:after="0" w:line="240" w:lineRule="auto"/>
              <w:jc w:val="center"/>
              <w:rPr>
                <w:rFonts w:eastAsia="Times New Roman"/>
                <w:bCs/>
                <w:color w:val="000000"/>
                <w:sz w:val="20"/>
                <w:szCs w:val="20"/>
              </w:rPr>
            </w:pPr>
          </w:p>
        </w:tc>
        <w:tc>
          <w:tcPr>
            <w:tcW w:w="2065" w:type="dxa"/>
            <w:tcBorders>
              <w:top w:val="nil"/>
              <w:left w:val="nil"/>
              <w:bottom w:val="nil"/>
              <w:right w:val="nil"/>
            </w:tcBorders>
            <w:noWrap/>
            <w:vAlign w:val="center"/>
            <w:hideMark/>
          </w:tcPr>
          <w:p w14:paraId="4FD60879"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coherence</w:t>
            </w:r>
          </w:p>
        </w:tc>
        <w:tc>
          <w:tcPr>
            <w:tcW w:w="315" w:type="dxa"/>
            <w:tcBorders>
              <w:top w:val="nil"/>
              <w:left w:val="nil"/>
              <w:bottom w:val="nil"/>
              <w:right w:val="nil"/>
            </w:tcBorders>
            <w:noWrap/>
            <w:vAlign w:val="bottom"/>
            <w:hideMark/>
          </w:tcPr>
          <w:p w14:paraId="610FE79E"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3A357430"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1.51</w:t>
            </w:r>
          </w:p>
        </w:tc>
        <w:tc>
          <w:tcPr>
            <w:tcW w:w="755" w:type="dxa"/>
            <w:tcBorders>
              <w:top w:val="nil"/>
              <w:left w:val="nil"/>
              <w:bottom w:val="nil"/>
              <w:right w:val="nil"/>
            </w:tcBorders>
            <w:noWrap/>
            <w:vAlign w:val="bottom"/>
            <w:hideMark/>
          </w:tcPr>
          <w:p w14:paraId="2FB71C79"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31.73</w:t>
            </w:r>
          </w:p>
        </w:tc>
        <w:tc>
          <w:tcPr>
            <w:tcW w:w="1089" w:type="dxa"/>
            <w:tcBorders>
              <w:top w:val="nil"/>
              <w:left w:val="nil"/>
              <w:bottom w:val="nil"/>
              <w:right w:val="nil"/>
            </w:tcBorders>
            <w:noWrap/>
            <w:vAlign w:val="bottom"/>
            <w:hideMark/>
          </w:tcPr>
          <w:p w14:paraId="1ECC08EE"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0.624</w:t>
            </w:r>
          </w:p>
        </w:tc>
        <w:tc>
          <w:tcPr>
            <w:tcW w:w="1043" w:type="dxa"/>
            <w:tcBorders>
              <w:top w:val="nil"/>
              <w:left w:val="nil"/>
              <w:bottom w:val="nil"/>
              <w:right w:val="nil"/>
            </w:tcBorders>
            <w:noWrap/>
            <w:vAlign w:val="bottom"/>
            <w:hideMark/>
          </w:tcPr>
          <w:p w14:paraId="147F4411"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1F4E9E"/>
                <w:sz w:val="20"/>
                <w:szCs w:val="20"/>
              </w:rPr>
              <w:t>p = .499</w:t>
            </w:r>
          </w:p>
        </w:tc>
        <w:tc>
          <w:tcPr>
            <w:tcW w:w="1429" w:type="dxa"/>
            <w:tcBorders>
              <w:top w:val="nil"/>
              <w:left w:val="nil"/>
              <w:bottom w:val="nil"/>
              <w:right w:val="nil"/>
            </w:tcBorders>
            <w:noWrap/>
            <w:vAlign w:val="bottom"/>
            <w:hideMark/>
          </w:tcPr>
          <w:p w14:paraId="7162FD1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0.029</w:t>
            </w:r>
          </w:p>
        </w:tc>
      </w:tr>
      <w:tr w:rsidR="004C7964" w:rsidRPr="0078243D" w14:paraId="6DFE3B1A" w14:textId="77777777" w:rsidTr="004C7964">
        <w:trPr>
          <w:trHeight w:val="304"/>
        </w:trPr>
        <w:tc>
          <w:tcPr>
            <w:tcW w:w="1361" w:type="dxa"/>
            <w:vMerge/>
            <w:tcBorders>
              <w:top w:val="single" w:sz="4" w:space="0" w:color="auto"/>
              <w:left w:val="nil"/>
              <w:bottom w:val="single" w:sz="12" w:space="0" w:color="000000" w:themeColor="text1"/>
              <w:right w:val="nil"/>
            </w:tcBorders>
            <w:vAlign w:val="center"/>
            <w:hideMark/>
          </w:tcPr>
          <w:p w14:paraId="3DA94438" w14:textId="77777777" w:rsidR="004C7964" w:rsidRPr="00292826" w:rsidRDefault="004C7964" w:rsidP="004C7964">
            <w:pPr>
              <w:spacing w:after="0" w:line="240" w:lineRule="auto"/>
              <w:jc w:val="center"/>
              <w:rPr>
                <w:rFonts w:eastAsia="Times New Roman"/>
                <w:bCs/>
                <w:color w:val="000000"/>
                <w:sz w:val="20"/>
                <w:szCs w:val="20"/>
              </w:rPr>
            </w:pPr>
          </w:p>
        </w:tc>
        <w:tc>
          <w:tcPr>
            <w:tcW w:w="2065" w:type="dxa"/>
            <w:tcBorders>
              <w:top w:val="nil"/>
              <w:left w:val="nil"/>
              <w:bottom w:val="single" w:sz="12" w:space="0" w:color="000000" w:themeColor="text1"/>
              <w:right w:val="nil"/>
            </w:tcBorders>
            <w:noWrap/>
            <w:vAlign w:val="center"/>
            <w:hideMark/>
          </w:tcPr>
          <w:p w14:paraId="21AAEF7D"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 × coherence</w:t>
            </w:r>
          </w:p>
        </w:tc>
        <w:tc>
          <w:tcPr>
            <w:tcW w:w="315" w:type="dxa"/>
            <w:tcBorders>
              <w:top w:val="nil"/>
              <w:left w:val="nil"/>
              <w:bottom w:val="single" w:sz="12" w:space="0" w:color="000000" w:themeColor="text1"/>
              <w:right w:val="nil"/>
            </w:tcBorders>
            <w:noWrap/>
            <w:vAlign w:val="bottom"/>
            <w:hideMark/>
          </w:tcPr>
          <w:p w14:paraId="35B24B67" w14:textId="77777777" w:rsidR="004C7964" w:rsidRPr="00292826" w:rsidRDefault="004C7964" w:rsidP="004C7964">
            <w:pPr>
              <w:spacing w:after="0" w:line="240" w:lineRule="auto"/>
              <w:jc w:val="center"/>
              <w:rPr>
                <w:rFonts w:ascii="Aptos Narrow" w:eastAsia="Times New Roman" w:hAnsi="Aptos Narrow"/>
                <w:color w:val="000000"/>
                <w:sz w:val="22"/>
                <w:szCs w:val="22"/>
              </w:rPr>
            </w:pPr>
          </w:p>
        </w:tc>
        <w:tc>
          <w:tcPr>
            <w:tcW w:w="642" w:type="dxa"/>
            <w:tcBorders>
              <w:top w:val="nil"/>
              <w:left w:val="nil"/>
              <w:bottom w:val="single" w:sz="12" w:space="0" w:color="000000" w:themeColor="text1"/>
              <w:right w:val="nil"/>
            </w:tcBorders>
            <w:noWrap/>
            <w:vAlign w:val="bottom"/>
            <w:hideMark/>
          </w:tcPr>
          <w:p w14:paraId="140382B7"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1.86</w:t>
            </w:r>
          </w:p>
        </w:tc>
        <w:tc>
          <w:tcPr>
            <w:tcW w:w="755" w:type="dxa"/>
            <w:tcBorders>
              <w:top w:val="nil"/>
              <w:left w:val="nil"/>
              <w:bottom w:val="single" w:sz="12" w:space="0" w:color="000000" w:themeColor="text1"/>
              <w:right w:val="nil"/>
            </w:tcBorders>
            <w:noWrap/>
            <w:vAlign w:val="bottom"/>
            <w:hideMark/>
          </w:tcPr>
          <w:p w14:paraId="65BA6737"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39.12</w:t>
            </w:r>
          </w:p>
        </w:tc>
        <w:tc>
          <w:tcPr>
            <w:tcW w:w="1089" w:type="dxa"/>
            <w:tcBorders>
              <w:top w:val="nil"/>
              <w:left w:val="nil"/>
              <w:bottom w:val="single" w:sz="12" w:space="0" w:color="000000" w:themeColor="text1"/>
              <w:right w:val="nil"/>
            </w:tcBorders>
            <w:noWrap/>
            <w:vAlign w:val="bottom"/>
            <w:hideMark/>
          </w:tcPr>
          <w:p w14:paraId="3B16A6C9"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2.436</w:t>
            </w:r>
          </w:p>
        </w:tc>
        <w:tc>
          <w:tcPr>
            <w:tcW w:w="1043" w:type="dxa"/>
            <w:tcBorders>
              <w:top w:val="nil"/>
              <w:left w:val="nil"/>
              <w:bottom w:val="single" w:sz="12" w:space="0" w:color="000000" w:themeColor="text1"/>
              <w:right w:val="nil"/>
            </w:tcBorders>
            <w:noWrap/>
            <w:vAlign w:val="bottom"/>
            <w:hideMark/>
          </w:tcPr>
          <w:p w14:paraId="6F0945E2"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1F4E9E"/>
                <w:sz w:val="20"/>
                <w:szCs w:val="20"/>
              </w:rPr>
              <w:t>p = .104</w:t>
            </w:r>
          </w:p>
        </w:tc>
        <w:tc>
          <w:tcPr>
            <w:tcW w:w="1429" w:type="dxa"/>
            <w:tcBorders>
              <w:top w:val="nil"/>
              <w:left w:val="nil"/>
              <w:bottom w:val="single" w:sz="12" w:space="0" w:color="000000" w:themeColor="text1"/>
              <w:right w:val="nil"/>
            </w:tcBorders>
            <w:noWrap/>
            <w:vAlign w:val="bottom"/>
            <w:hideMark/>
          </w:tcPr>
          <w:p w14:paraId="51CAD94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0.104</w:t>
            </w:r>
          </w:p>
        </w:tc>
      </w:tr>
    </w:tbl>
    <w:p w14:paraId="4D2E4B22" w14:textId="77777777" w:rsidR="00DD431E" w:rsidRPr="00DD431E" w:rsidRDefault="00382ACE" w:rsidP="00554B3C">
      <w:pPr>
        <w:spacing w:before="120" w:after="120" w:line="259" w:lineRule="auto"/>
        <w:rPr>
          <w:sz w:val="20"/>
          <w:szCs w:val="20"/>
        </w:rPr>
      </w:pPr>
      <w:r w:rsidRPr="00382ACE">
        <w:rPr>
          <w:i/>
          <w:sz w:val="20"/>
          <w:szCs w:val="20"/>
        </w:rPr>
        <w:t>Note</w:t>
      </w:r>
      <w:r w:rsidRPr="00382ACE">
        <w:rPr>
          <w:iCs/>
          <w:sz w:val="20"/>
          <w:szCs w:val="20"/>
        </w:rPr>
        <w:t>.</w:t>
      </w:r>
      <w:r w:rsidRPr="00382ACE">
        <w:rPr>
          <w:rStyle w:val="mord"/>
          <w:sz w:val="20"/>
          <w:szCs w:val="20"/>
        </w:rPr>
        <w:t xml:space="preserve"> </w:t>
      </w:r>
      <w:r w:rsidR="00D3354D">
        <w:rPr>
          <w:sz w:val="20"/>
        </w:rPr>
        <w:t>A p</w:t>
      </w:r>
      <w:r w:rsidR="00D3354D" w:rsidRPr="00D3354D">
        <w:rPr>
          <w:sz w:val="20"/>
        </w:rPr>
        <w:t xml:space="preserve">artial </w:t>
      </w:r>
      <w:r w:rsidR="007417A8">
        <w:rPr>
          <w:sz w:val="20"/>
        </w:rPr>
        <w:t>eta</w:t>
      </w:r>
      <w:r w:rsidR="007417A8" w:rsidRPr="00D3354D">
        <w:rPr>
          <w:sz w:val="20"/>
        </w:rPr>
        <w:t xml:space="preserve"> squared</w:t>
      </w:r>
      <w:r w:rsidR="007417A8">
        <w:rPr>
          <w:sz w:val="20"/>
        </w:rPr>
        <w:t xml:space="preserve"> statistic</w:t>
      </w:r>
      <w:r w:rsidR="007417A8" w:rsidRPr="00D3354D">
        <w:rPr>
          <w:sz w:val="20"/>
        </w:rPr>
        <w:t xml:space="preserve"> </w:t>
      </w:r>
      <w:r w:rsidR="007417A8">
        <w:rPr>
          <w:sz w:val="20"/>
        </w:rPr>
        <w:t>(</w:t>
      </w:r>
      <w:r w:rsidR="007417A8" w:rsidRPr="00C922B6">
        <w:rPr>
          <w:bCs/>
          <w:i/>
          <w:sz w:val="22"/>
          <w:szCs w:val="22"/>
        </w:rPr>
        <w:t>η</w:t>
      </w:r>
      <w:r w:rsidR="007417A8" w:rsidRPr="00C922B6">
        <w:rPr>
          <w:i/>
          <w:sz w:val="20"/>
          <w:vertAlign w:val="subscript"/>
        </w:rPr>
        <w:t>p</w:t>
      </w:r>
      <w:r w:rsidR="007417A8" w:rsidRPr="00C922B6">
        <w:rPr>
          <w:i/>
          <w:sz w:val="20"/>
          <w:vertAlign w:val="superscript"/>
        </w:rPr>
        <w:t>2</w:t>
      </w:r>
      <w:r w:rsidR="007417A8">
        <w:rPr>
          <w:sz w:val="20"/>
        </w:rPr>
        <w:t>)</w:t>
      </w:r>
      <w:r w:rsidR="007417A8" w:rsidRPr="00D3354D">
        <w:rPr>
          <w:sz w:val="20"/>
        </w:rPr>
        <w:t xml:space="preserve"> </w:t>
      </w:r>
      <w:r>
        <w:rPr>
          <w:iCs/>
          <w:sz w:val="20"/>
          <w:szCs w:val="20"/>
        </w:rPr>
        <w:t>is reported as a measure of effect size.</w:t>
      </w:r>
      <w:r w:rsidR="00DD2CFA">
        <w:rPr>
          <w:iCs/>
          <w:sz w:val="20"/>
          <w:szCs w:val="20"/>
        </w:rPr>
        <w:t xml:space="preserve"> Degrees of freedom (</w:t>
      </w:r>
      <w:proofErr w:type="spellStart"/>
      <w:r w:rsidR="00DD2CFA">
        <w:rPr>
          <w:iCs/>
          <w:sz w:val="20"/>
          <w:szCs w:val="20"/>
        </w:rPr>
        <w:t>df</w:t>
      </w:r>
      <w:proofErr w:type="spellEnd"/>
      <w:r w:rsidR="00DD2CFA">
        <w:rPr>
          <w:iCs/>
          <w:sz w:val="20"/>
          <w:szCs w:val="20"/>
        </w:rPr>
        <w:t>) with decimals indicate that a Greenhouse-Geisser correction was applied.</w:t>
      </w:r>
    </w:p>
    <w:p w14:paraId="04052668" w14:textId="77777777" w:rsidR="00E9704A" w:rsidRDefault="00E9704A" w:rsidP="00D171AA">
      <w:pPr>
        <w:spacing w:before="240" w:after="0" w:line="360" w:lineRule="auto"/>
        <w:rPr>
          <w:b/>
          <w:szCs w:val="22"/>
        </w:rPr>
        <w:sectPr w:rsidR="00E9704A">
          <w:pgSz w:w="11906" w:h="16838"/>
          <w:pgMar w:top="1417" w:right="1417" w:bottom="1417" w:left="1417" w:header="708" w:footer="708" w:gutter="0"/>
          <w:cols w:space="708"/>
          <w:docGrid w:linePitch="360"/>
        </w:sectPr>
      </w:pPr>
    </w:p>
    <w:p w14:paraId="549F0918" w14:textId="77777777" w:rsidR="00D171AA" w:rsidRPr="006A51AB" w:rsidRDefault="002A70D9" w:rsidP="00A30E3E">
      <w:pPr>
        <w:spacing w:line="276" w:lineRule="auto"/>
        <w:rPr>
          <w:b/>
          <w:sz w:val="22"/>
          <w:szCs w:val="22"/>
        </w:rPr>
      </w:pPr>
      <w:r w:rsidRPr="006A51AB">
        <w:rPr>
          <w:b/>
          <w:sz w:val="22"/>
          <w:szCs w:val="22"/>
        </w:rPr>
        <w:lastRenderedPageBreak/>
        <w:t>Table S2</w:t>
      </w:r>
      <w:r w:rsidR="00A30E3E" w:rsidRPr="006A51AB">
        <w:rPr>
          <w:b/>
          <w:sz w:val="22"/>
          <w:szCs w:val="22"/>
        </w:rPr>
        <w:t xml:space="preserve">. </w:t>
      </w:r>
      <w:r w:rsidR="009B49DA" w:rsidRPr="006A51AB">
        <w:rPr>
          <w:b/>
          <w:sz w:val="22"/>
          <w:szCs w:val="22"/>
        </w:rPr>
        <w:t xml:space="preserve">Full ANOVA results for </w:t>
      </w:r>
      <w:r w:rsidR="001E1D3C" w:rsidRPr="006A51AB">
        <w:rPr>
          <w:b/>
          <w:sz w:val="22"/>
          <w:szCs w:val="22"/>
        </w:rPr>
        <w:t>partial muscle activation rate in the electromyographic channel of the responding effector</w:t>
      </w:r>
      <w:r w:rsidR="008663A3" w:rsidRPr="006A51AB">
        <w:rPr>
          <w:b/>
          <w:sz w:val="22"/>
          <w:szCs w:val="22"/>
        </w:rPr>
        <w:t xml:space="preserve"> </w:t>
      </w:r>
      <w:r w:rsidR="009B49DA" w:rsidRPr="006A51AB">
        <w:rPr>
          <w:b/>
          <w:sz w:val="22"/>
          <w:szCs w:val="22"/>
        </w:rPr>
        <w:t>across</w:t>
      </w:r>
      <w:r w:rsidR="001E1D3C" w:rsidRPr="006A51AB">
        <w:rPr>
          <w:b/>
          <w:sz w:val="22"/>
          <w:szCs w:val="22"/>
        </w:rPr>
        <w:t xml:space="preserve"> task periods</w:t>
      </w:r>
      <w:r w:rsidR="00A30E3E" w:rsidRPr="006A51AB">
        <w:rPr>
          <w:b/>
          <w:sz w:val="22"/>
          <w:szCs w:val="22"/>
        </w:rPr>
        <w:t>.</w:t>
      </w:r>
    </w:p>
    <w:tbl>
      <w:tblPr>
        <w:tblW w:w="8931" w:type="dxa"/>
        <w:tblLook w:val="04A0" w:firstRow="1" w:lastRow="0" w:firstColumn="1" w:lastColumn="0" w:noHBand="0" w:noVBand="1"/>
      </w:tblPr>
      <w:tblGrid>
        <w:gridCol w:w="1463"/>
        <w:gridCol w:w="2512"/>
        <w:gridCol w:w="681"/>
        <w:gridCol w:w="1272"/>
        <w:gridCol w:w="876"/>
        <w:gridCol w:w="1276"/>
        <w:gridCol w:w="851"/>
      </w:tblGrid>
      <w:tr w:rsidR="002A378E" w:rsidRPr="008B5651" w14:paraId="7FB54482" w14:textId="77777777" w:rsidTr="00824E12">
        <w:trPr>
          <w:trHeight w:val="143"/>
        </w:trPr>
        <w:tc>
          <w:tcPr>
            <w:tcW w:w="1463" w:type="dxa"/>
            <w:tcBorders>
              <w:top w:val="single" w:sz="4" w:space="0" w:color="auto"/>
              <w:left w:val="nil"/>
              <w:bottom w:val="single" w:sz="12" w:space="0" w:color="000000" w:themeColor="text1"/>
              <w:right w:val="nil"/>
            </w:tcBorders>
            <w:vAlign w:val="center"/>
            <w:hideMark/>
          </w:tcPr>
          <w:p w14:paraId="742CC917"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sz w:val="22"/>
                <w:szCs w:val="22"/>
              </w:rPr>
              <w:t>Period</w:t>
            </w:r>
          </w:p>
        </w:tc>
        <w:tc>
          <w:tcPr>
            <w:tcW w:w="2538" w:type="dxa"/>
            <w:tcBorders>
              <w:top w:val="single" w:sz="4" w:space="0" w:color="auto"/>
              <w:left w:val="nil"/>
              <w:bottom w:val="single" w:sz="12" w:space="0" w:color="000000" w:themeColor="text1"/>
              <w:right w:val="nil"/>
            </w:tcBorders>
            <w:vAlign w:val="center"/>
            <w:hideMark/>
          </w:tcPr>
          <w:p w14:paraId="752B5C5B" w14:textId="77777777" w:rsidR="00824E12" w:rsidRPr="00A30E3E" w:rsidRDefault="002A378E" w:rsidP="00582126">
            <w:pPr>
              <w:spacing w:after="0" w:line="240" w:lineRule="auto"/>
              <w:jc w:val="center"/>
              <w:rPr>
                <w:rFonts w:eastAsia="Times New Roman"/>
                <w:bCs/>
                <w:color w:val="000000"/>
                <w:sz w:val="22"/>
                <w:szCs w:val="22"/>
              </w:rPr>
            </w:pPr>
            <w:r w:rsidRPr="00A30E3E">
              <w:rPr>
                <w:rFonts w:eastAsia="Times New Roman"/>
                <w:bCs/>
                <w:sz w:val="22"/>
                <w:szCs w:val="22"/>
              </w:rPr>
              <w:t>Effect tested</w:t>
            </w:r>
          </w:p>
        </w:tc>
        <w:tc>
          <w:tcPr>
            <w:tcW w:w="681" w:type="dxa"/>
            <w:tcBorders>
              <w:top w:val="single" w:sz="4" w:space="0" w:color="auto"/>
              <w:left w:val="nil"/>
              <w:bottom w:val="single" w:sz="12" w:space="0" w:color="000000" w:themeColor="text1"/>
              <w:right w:val="nil"/>
            </w:tcBorders>
            <w:noWrap/>
            <w:vAlign w:val="bottom"/>
            <w:hideMark/>
          </w:tcPr>
          <w:p w14:paraId="1B830992"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sz w:val="22"/>
                <w:szCs w:val="22"/>
              </w:rPr>
              <w:t>df1</w:t>
            </w:r>
          </w:p>
        </w:tc>
        <w:tc>
          <w:tcPr>
            <w:tcW w:w="1272" w:type="dxa"/>
            <w:tcBorders>
              <w:top w:val="single" w:sz="4" w:space="0" w:color="auto"/>
              <w:left w:val="nil"/>
              <w:bottom w:val="single" w:sz="12" w:space="0" w:color="000000" w:themeColor="text1"/>
              <w:right w:val="nil"/>
            </w:tcBorders>
            <w:noWrap/>
            <w:vAlign w:val="bottom"/>
            <w:hideMark/>
          </w:tcPr>
          <w:p w14:paraId="0D12D8EB"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sz w:val="22"/>
                <w:szCs w:val="22"/>
              </w:rPr>
              <w:t>df2</w:t>
            </w:r>
          </w:p>
        </w:tc>
        <w:tc>
          <w:tcPr>
            <w:tcW w:w="850" w:type="dxa"/>
            <w:tcBorders>
              <w:top w:val="single" w:sz="4" w:space="0" w:color="auto"/>
              <w:left w:val="nil"/>
              <w:bottom w:val="single" w:sz="12" w:space="0" w:color="000000" w:themeColor="text1"/>
              <w:right w:val="nil"/>
            </w:tcBorders>
            <w:noWrap/>
            <w:vAlign w:val="bottom"/>
            <w:hideMark/>
          </w:tcPr>
          <w:p w14:paraId="27186FA9" w14:textId="77777777" w:rsidR="002A378E" w:rsidRPr="00A30E3E" w:rsidRDefault="002A378E" w:rsidP="00DD431E">
            <w:pPr>
              <w:spacing w:after="0" w:line="240" w:lineRule="auto"/>
              <w:jc w:val="center"/>
              <w:rPr>
                <w:rFonts w:eastAsia="Times New Roman"/>
                <w:bCs/>
                <w:i/>
                <w:color w:val="000000"/>
                <w:sz w:val="22"/>
                <w:szCs w:val="22"/>
              </w:rPr>
            </w:pPr>
            <w:r w:rsidRPr="00A30E3E">
              <w:rPr>
                <w:rFonts w:eastAsia="Times New Roman"/>
                <w:bCs/>
                <w:i/>
                <w:color w:val="000000"/>
                <w:sz w:val="22"/>
                <w:szCs w:val="22"/>
              </w:rPr>
              <w:t>F</w:t>
            </w:r>
          </w:p>
        </w:tc>
        <w:tc>
          <w:tcPr>
            <w:tcW w:w="1276" w:type="dxa"/>
            <w:tcBorders>
              <w:top w:val="single" w:sz="4" w:space="0" w:color="auto"/>
              <w:left w:val="nil"/>
              <w:bottom w:val="single" w:sz="12" w:space="0" w:color="000000" w:themeColor="text1"/>
              <w:right w:val="nil"/>
            </w:tcBorders>
            <w:noWrap/>
            <w:vAlign w:val="bottom"/>
            <w:hideMark/>
          </w:tcPr>
          <w:p w14:paraId="6F807A63"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i/>
                <w:color w:val="000000"/>
                <w:sz w:val="22"/>
                <w:szCs w:val="22"/>
              </w:rPr>
              <w:t>p</w:t>
            </w:r>
            <w:r w:rsidRPr="00A30E3E">
              <w:rPr>
                <w:rFonts w:eastAsia="Times New Roman"/>
                <w:bCs/>
                <w:sz w:val="22"/>
                <w:szCs w:val="22"/>
              </w:rPr>
              <w:t>-value</w:t>
            </w:r>
          </w:p>
        </w:tc>
        <w:tc>
          <w:tcPr>
            <w:tcW w:w="851" w:type="dxa"/>
            <w:tcBorders>
              <w:top w:val="single" w:sz="4" w:space="0" w:color="auto"/>
              <w:left w:val="nil"/>
              <w:bottom w:val="single" w:sz="12" w:space="0" w:color="000000" w:themeColor="text1"/>
              <w:right w:val="nil"/>
            </w:tcBorders>
            <w:vAlign w:val="bottom"/>
            <w:hideMark/>
          </w:tcPr>
          <w:p w14:paraId="2EE4198F" w14:textId="77777777" w:rsidR="002A378E" w:rsidRPr="00A30E3E" w:rsidRDefault="00136D45" w:rsidP="00DD431E">
            <w:pPr>
              <w:spacing w:after="0" w:line="240" w:lineRule="auto"/>
              <w:jc w:val="center"/>
              <w:rPr>
                <w:rFonts w:eastAsia="Times New Roman"/>
                <w:bCs/>
                <w:i/>
                <w:color w:val="000000"/>
                <w:sz w:val="22"/>
                <w:szCs w:val="22"/>
              </w:rPr>
            </w:pPr>
            <w:r w:rsidRPr="00A30E3E">
              <w:rPr>
                <w:i/>
                <w:sz w:val="22"/>
                <w:szCs w:val="22"/>
              </w:rPr>
              <w:t>η</w:t>
            </w:r>
            <w:r w:rsidR="002A378E" w:rsidRPr="00A30E3E">
              <w:rPr>
                <w:rStyle w:val="mord"/>
                <w:i/>
                <w:sz w:val="22"/>
                <w:szCs w:val="22"/>
                <w:vertAlign w:val="subscript"/>
              </w:rPr>
              <w:t>p</w:t>
            </w:r>
            <w:r w:rsidR="002A378E" w:rsidRPr="00A30E3E">
              <w:rPr>
                <w:rStyle w:val="mord"/>
                <w:i/>
                <w:sz w:val="22"/>
                <w:szCs w:val="22"/>
                <w:vertAlign w:val="superscript"/>
              </w:rPr>
              <w:t>2</w:t>
            </w:r>
          </w:p>
        </w:tc>
      </w:tr>
      <w:tr w:rsidR="002A378E" w:rsidRPr="008B5651" w14:paraId="280BCFF9" w14:textId="77777777" w:rsidTr="00F15443">
        <w:trPr>
          <w:trHeight w:val="143"/>
        </w:trPr>
        <w:tc>
          <w:tcPr>
            <w:tcW w:w="1463" w:type="dxa"/>
            <w:vMerge w:val="restart"/>
            <w:tcBorders>
              <w:top w:val="single" w:sz="12" w:space="0" w:color="000000" w:themeColor="text1"/>
              <w:left w:val="nil"/>
              <w:bottom w:val="nil"/>
              <w:right w:val="nil"/>
            </w:tcBorders>
            <w:noWrap/>
            <w:vAlign w:val="center"/>
            <w:hideMark/>
          </w:tcPr>
          <w:p w14:paraId="68122CF4" w14:textId="77777777" w:rsidR="002A378E" w:rsidRPr="00A30E3E" w:rsidRDefault="002A378E" w:rsidP="00DD431E">
            <w:pPr>
              <w:spacing w:after="0" w:line="240" w:lineRule="auto"/>
              <w:jc w:val="center"/>
              <w:rPr>
                <w:rFonts w:eastAsia="Times New Roman"/>
                <w:bCs/>
                <w:color w:val="000000"/>
                <w:sz w:val="22"/>
                <w:szCs w:val="20"/>
              </w:rPr>
            </w:pPr>
            <w:r>
              <w:t>Stimulus</w:t>
            </w:r>
          </w:p>
        </w:tc>
        <w:tc>
          <w:tcPr>
            <w:tcW w:w="2538" w:type="dxa"/>
            <w:tcBorders>
              <w:top w:val="single" w:sz="12" w:space="0" w:color="000000" w:themeColor="text1"/>
              <w:left w:val="nil"/>
              <w:bottom w:val="nil"/>
              <w:right w:val="nil"/>
            </w:tcBorders>
            <w:vAlign w:val="center"/>
            <w:hideMark/>
          </w:tcPr>
          <w:p w14:paraId="1C5384E7"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w:t>
            </w:r>
          </w:p>
        </w:tc>
        <w:tc>
          <w:tcPr>
            <w:tcW w:w="681" w:type="dxa"/>
            <w:tcBorders>
              <w:top w:val="single" w:sz="12" w:space="0" w:color="000000" w:themeColor="text1"/>
              <w:left w:val="nil"/>
              <w:bottom w:val="nil"/>
              <w:right w:val="nil"/>
            </w:tcBorders>
            <w:noWrap/>
            <w:vAlign w:val="bottom"/>
            <w:hideMark/>
          </w:tcPr>
          <w:p w14:paraId="4B1E59D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single" w:sz="12" w:space="0" w:color="000000" w:themeColor="text1"/>
              <w:left w:val="nil"/>
              <w:bottom w:val="nil"/>
              <w:right w:val="nil"/>
            </w:tcBorders>
            <w:noWrap/>
            <w:vAlign w:val="bottom"/>
            <w:hideMark/>
          </w:tcPr>
          <w:p w14:paraId="6669C20E"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21</w:t>
            </w:r>
          </w:p>
        </w:tc>
        <w:tc>
          <w:tcPr>
            <w:tcW w:w="850" w:type="dxa"/>
            <w:tcBorders>
              <w:top w:val="single" w:sz="12" w:space="0" w:color="000000" w:themeColor="text1"/>
              <w:left w:val="nil"/>
              <w:bottom w:val="nil"/>
              <w:right w:val="nil"/>
            </w:tcBorders>
            <w:noWrap/>
            <w:vAlign w:val="bottom"/>
            <w:hideMark/>
          </w:tcPr>
          <w:p w14:paraId="02468654"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13.381</w:t>
            </w:r>
          </w:p>
        </w:tc>
        <w:tc>
          <w:tcPr>
            <w:tcW w:w="1276" w:type="dxa"/>
            <w:tcBorders>
              <w:top w:val="single" w:sz="12" w:space="0" w:color="000000" w:themeColor="text1"/>
              <w:left w:val="nil"/>
              <w:bottom w:val="nil"/>
              <w:right w:val="nil"/>
            </w:tcBorders>
            <w:noWrap/>
            <w:vAlign w:val="center"/>
            <w:hideMark/>
          </w:tcPr>
          <w:p w14:paraId="669C05ED" w14:textId="77777777" w:rsidR="002A378E" w:rsidRPr="008C2F99" w:rsidRDefault="00FE73F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36796B">
              <w:rPr>
                <w:rFonts w:eastAsia="Times New Roman"/>
                <w:i/>
                <w:sz w:val="18"/>
                <w:szCs w:val="20"/>
              </w:rPr>
              <w:t xml:space="preserve"> </w:t>
            </w:r>
            <w:r w:rsidR="002A378E" w:rsidRPr="008C2F99">
              <w:rPr>
                <w:rFonts w:eastAsia="Times New Roman"/>
                <w:bCs/>
                <w:sz w:val="18"/>
                <w:szCs w:val="18"/>
              </w:rPr>
              <w:t>.001</w:t>
            </w:r>
          </w:p>
        </w:tc>
        <w:tc>
          <w:tcPr>
            <w:tcW w:w="851" w:type="dxa"/>
            <w:tcBorders>
              <w:top w:val="single" w:sz="12" w:space="0" w:color="000000" w:themeColor="text1"/>
              <w:left w:val="nil"/>
              <w:bottom w:val="nil"/>
              <w:right w:val="nil"/>
            </w:tcBorders>
            <w:noWrap/>
            <w:vAlign w:val="bottom"/>
            <w:hideMark/>
          </w:tcPr>
          <w:p w14:paraId="0A9C44E6" w14:textId="77777777" w:rsidR="002A378E" w:rsidRPr="008C2F99" w:rsidRDefault="00710772" w:rsidP="00DD431E">
            <w:pPr>
              <w:spacing w:after="0" w:line="240" w:lineRule="auto"/>
              <w:jc w:val="center"/>
              <w:rPr>
                <w:rFonts w:eastAsia="Times New Roman"/>
                <w:color w:val="000000"/>
                <w:sz w:val="18"/>
                <w:szCs w:val="18"/>
              </w:rPr>
            </w:pPr>
            <w:r w:rsidRPr="008C2F99">
              <w:rPr>
                <w:rFonts w:eastAsia="Times New Roman"/>
                <w:sz w:val="18"/>
                <w:szCs w:val="18"/>
              </w:rPr>
              <w:t>0.389</w:t>
            </w:r>
          </w:p>
        </w:tc>
      </w:tr>
      <w:tr w:rsidR="002A378E" w:rsidRPr="008B5651" w14:paraId="21C2493F" w14:textId="77777777" w:rsidTr="00F15443">
        <w:trPr>
          <w:trHeight w:val="143"/>
        </w:trPr>
        <w:tc>
          <w:tcPr>
            <w:tcW w:w="1463" w:type="dxa"/>
            <w:vMerge/>
            <w:tcBorders>
              <w:top w:val="nil"/>
              <w:left w:val="nil"/>
              <w:bottom w:val="nil"/>
              <w:right w:val="nil"/>
            </w:tcBorders>
            <w:vAlign w:val="center"/>
            <w:hideMark/>
          </w:tcPr>
          <w:p w14:paraId="68364192"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047E6E23"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coherence</w:t>
            </w:r>
          </w:p>
        </w:tc>
        <w:tc>
          <w:tcPr>
            <w:tcW w:w="681" w:type="dxa"/>
            <w:tcBorders>
              <w:top w:val="nil"/>
              <w:left w:val="nil"/>
              <w:bottom w:val="nil"/>
              <w:right w:val="nil"/>
            </w:tcBorders>
            <w:noWrap/>
            <w:vAlign w:val="bottom"/>
            <w:hideMark/>
          </w:tcPr>
          <w:p w14:paraId="0153DE01"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1.33</w:t>
            </w:r>
          </w:p>
        </w:tc>
        <w:tc>
          <w:tcPr>
            <w:tcW w:w="1272" w:type="dxa"/>
            <w:tcBorders>
              <w:top w:val="nil"/>
              <w:left w:val="nil"/>
              <w:bottom w:val="nil"/>
              <w:right w:val="nil"/>
            </w:tcBorders>
            <w:noWrap/>
            <w:vAlign w:val="bottom"/>
            <w:hideMark/>
          </w:tcPr>
          <w:p w14:paraId="09788311"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28.01</w:t>
            </w:r>
          </w:p>
        </w:tc>
        <w:tc>
          <w:tcPr>
            <w:tcW w:w="850" w:type="dxa"/>
            <w:tcBorders>
              <w:top w:val="nil"/>
              <w:left w:val="nil"/>
              <w:bottom w:val="nil"/>
              <w:right w:val="nil"/>
            </w:tcBorders>
            <w:noWrap/>
            <w:vAlign w:val="bottom"/>
            <w:hideMark/>
          </w:tcPr>
          <w:p w14:paraId="6F48C737"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5.251</w:t>
            </w:r>
          </w:p>
        </w:tc>
        <w:tc>
          <w:tcPr>
            <w:tcW w:w="1276" w:type="dxa"/>
            <w:tcBorders>
              <w:top w:val="nil"/>
              <w:left w:val="nil"/>
              <w:bottom w:val="nil"/>
              <w:right w:val="nil"/>
            </w:tcBorders>
            <w:noWrap/>
            <w:vAlign w:val="center"/>
            <w:hideMark/>
          </w:tcPr>
          <w:p w14:paraId="560F7C7B" w14:textId="77777777" w:rsidR="002A378E" w:rsidRPr="00C73FFF" w:rsidRDefault="0036796B" w:rsidP="00DD431E">
            <w:pPr>
              <w:spacing w:after="0" w:line="240" w:lineRule="auto"/>
              <w:jc w:val="center"/>
              <w:rPr>
                <w:rFonts w:eastAsia="Times New Roman"/>
                <w:bCs/>
                <w:i/>
                <w:iCs/>
                <w:sz w:val="18"/>
                <w:szCs w:val="18"/>
              </w:rPr>
            </w:pPr>
            <w:r w:rsidRPr="00C73FFF">
              <w:rPr>
                <w:rFonts w:eastAsia="Times New Roman"/>
                <w:i/>
                <w:sz w:val="18"/>
                <w:szCs w:val="20"/>
              </w:rPr>
              <w:t xml:space="preserve">p </w:t>
            </w:r>
            <w:r w:rsidRPr="00C73FFF">
              <w:rPr>
                <w:rFonts w:eastAsia="Times New Roman"/>
                <w:sz w:val="18"/>
                <w:szCs w:val="20"/>
              </w:rPr>
              <w:t>=</w:t>
            </w:r>
            <w:r w:rsidRPr="00C73FFF">
              <w:rPr>
                <w:rFonts w:eastAsia="Times New Roman"/>
                <w:i/>
                <w:sz w:val="18"/>
                <w:szCs w:val="20"/>
              </w:rPr>
              <w:t xml:space="preserve"> </w:t>
            </w:r>
            <w:r w:rsidR="002A378E" w:rsidRPr="00C73FFF">
              <w:rPr>
                <w:rFonts w:eastAsia="Times New Roman"/>
                <w:bCs/>
                <w:sz w:val="18"/>
                <w:szCs w:val="18"/>
              </w:rPr>
              <w:t>.021</w:t>
            </w:r>
          </w:p>
        </w:tc>
        <w:tc>
          <w:tcPr>
            <w:tcW w:w="851" w:type="dxa"/>
            <w:tcBorders>
              <w:top w:val="nil"/>
              <w:left w:val="nil"/>
              <w:bottom w:val="nil"/>
              <w:right w:val="nil"/>
            </w:tcBorders>
            <w:noWrap/>
            <w:vAlign w:val="bottom"/>
            <w:hideMark/>
          </w:tcPr>
          <w:p w14:paraId="2B2767B5" w14:textId="77777777" w:rsidR="002A378E" w:rsidRPr="008C2F99" w:rsidRDefault="00F15443" w:rsidP="00DD431E">
            <w:pPr>
              <w:spacing w:after="0" w:line="240" w:lineRule="auto"/>
              <w:jc w:val="center"/>
              <w:rPr>
                <w:rFonts w:eastAsia="Times New Roman"/>
                <w:color w:val="000000"/>
                <w:sz w:val="18"/>
                <w:szCs w:val="18"/>
              </w:rPr>
            </w:pPr>
            <w:r w:rsidRPr="008C2F99">
              <w:rPr>
                <w:rFonts w:eastAsia="Times New Roman"/>
                <w:sz w:val="18"/>
                <w:szCs w:val="18"/>
              </w:rPr>
              <w:t>0</w:t>
            </w:r>
            <w:r w:rsidR="00A3721E" w:rsidRPr="008C2F99">
              <w:rPr>
                <w:rFonts w:eastAsia="Times New Roman"/>
                <w:sz w:val="18"/>
                <w:szCs w:val="18"/>
              </w:rPr>
              <w:t>.</w:t>
            </w:r>
            <w:r w:rsidR="00710772" w:rsidRPr="008C2F99">
              <w:rPr>
                <w:rFonts w:eastAsia="Times New Roman"/>
                <w:sz w:val="18"/>
                <w:szCs w:val="18"/>
              </w:rPr>
              <w:t>200</w:t>
            </w:r>
          </w:p>
        </w:tc>
      </w:tr>
      <w:tr w:rsidR="002A378E" w:rsidRPr="008B5651" w14:paraId="5290A3CF" w14:textId="77777777" w:rsidTr="00F15443">
        <w:trPr>
          <w:trHeight w:val="143"/>
        </w:trPr>
        <w:tc>
          <w:tcPr>
            <w:tcW w:w="1463" w:type="dxa"/>
            <w:vMerge/>
            <w:tcBorders>
              <w:top w:val="nil"/>
              <w:left w:val="nil"/>
              <w:bottom w:val="nil"/>
              <w:right w:val="nil"/>
            </w:tcBorders>
            <w:vAlign w:val="center"/>
            <w:hideMark/>
          </w:tcPr>
          <w:p w14:paraId="3580BC18"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26BCC621" w14:textId="77777777" w:rsidR="002A378E" w:rsidRPr="00A30E3E" w:rsidRDefault="002A378E" w:rsidP="00DD431E">
            <w:pPr>
              <w:spacing w:after="0" w:line="240" w:lineRule="auto"/>
              <w:jc w:val="center"/>
              <w:rPr>
                <w:rFonts w:eastAsia="Times New Roman"/>
                <w:color w:val="000000"/>
                <w:sz w:val="18"/>
                <w:szCs w:val="18"/>
              </w:rPr>
            </w:pPr>
            <w:r>
              <w:t>time, linear</w:t>
            </w:r>
          </w:p>
        </w:tc>
        <w:tc>
          <w:tcPr>
            <w:tcW w:w="681" w:type="dxa"/>
            <w:tcBorders>
              <w:top w:val="nil"/>
              <w:left w:val="nil"/>
              <w:bottom w:val="nil"/>
              <w:right w:val="nil"/>
            </w:tcBorders>
            <w:noWrap/>
            <w:vAlign w:val="bottom"/>
            <w:hideMark/>
          </w:tcPr>
          <w:p w14:paraId="3309988F" w14:textId="77777777" w:rsidR="00205CBC" w:rsidRDefault="00000000">
            <w:r>
              <w:rPr>
                <w:color w:val="1F4E9E"/>
              </w:rPr>
              <w:t>1</w:t>
            </w:r>
          </w:p>
        </w:tc>
        <w:tc>
          <w:tcPr>
            <w:tcW w:w="1272" w:type="dxa"/>
            <w:tcBorders>
              <w:top w:val="nil"/>
              <w:left w:val="nil"/>
              <w:bottom w:val="nil"/>
              <w:right w:val="nil"/>
            </w:tcBorders>
            <w:noWrap/>
            <w:vAlign w:val="bottom"/>
            <w:hideMark/>
          </w:tcPr>
          <w:p w14:paraId="122E851C" w14:textId="77777777" w:rsidR="00205CBC" w:rsidRDefault="00000000">
            <w:r>
              <w:rPr>
                <w:color w:val="1F4E9E"/>
              </w:rPr>
              <w:t>21</w:t>
            </w:r>
          </w:p>
        </w:tc>
        <w:tc>
          <w:tcPr>
            <w:tcW w:w="850" w:type="dxa"/>
            <w:tcBorders>
              <w:top w:val="nil"/>
              <w:left w:val="nil"/>
              <w:bottom w:val="nil"/>
              <w:right w:val="nil"/>
            </w:tcBorders>
            <w:noWrap/>
            <w:vAlign w:val="bottom"/>
            <w:hideMark/>
          </w:tcPr>
          <w:p w14:paraId="1DB550E0" w14:textId="77777777" w:rsidR="00205CBC" w:rsidRDefault="00000000">
            <w:r>
              <w:rPr>
                <w:color w:val="1F4E9E"/>
              </w:rPr>
              <w:t>30.869</w:t>
            </w:r>
          </w:p>
        </w:tc>
        <w:tc>
          <w:tcPr>
            <w:tcW w:w="1276" w:type="dxa"/>
            <w:tcBorders>
              <w:top w:val="nil"/>
              <w:left w:val="nil"/>
              <w:bottom w:val="nil"/>
              <w:right w:val="nil"/>
            </w:tcBorders>
            <w:noWrap/>
            <w:vAlign w:val="center"/>
            <w:hideMark/>
          </w:tcPr>
          <w:p w14:paraId="4FEC62B6" w14:textId="77777777" w:rsidR="00205CBC" w:rsidRDefault="00000000">
            <w:r>
              <w:t>p &lt; .001</w:t>
            </w:r>
          </w:p>
        </w:tc>
        <w:tc>
          <w:tcPr>
            <w:tcW w:w="851" w:type="dxa"/>
            <w:tcBorders>
              <w:top w:val="nil"/>
              <w:left w:val="nil"/>
              <w:bottom w:val="nil"/>
              <w:right w:val="nil"/>
            </w:tcBorders>
            <w:noWrap/>
            <w:vAlign w:val="bottom"/>
            <w:hideMark/>
          </w:tcPr>
          <w:p w14:paraId="3A93C8F1" w14:textId="77777777" w:rsidR="00205CBC" w:rsidRDefault="00000000">
            <w:r>
              <w:rPr>
                <w:color w:val="1F4E9E"/>
              </w:rPr>
              <w:t>0.595</w:t>
            </w:r>
          </w:p>
        </w:tc>
      </w:tr>
      <w:tr w:rsidR="002A378E" w:rsidRPr="008B5651" w14:paraId="04A85864" w14:textId="77777777" w:rsidTr="00F15443">
        <w:trPr>
          <w:trHeight w:val="143"/>
        </w:trPr>
        <w:tc>
          <w:tcPr>
            <w:tcW w:w="1463" w:type="dxa"/>
            <w:vMerge/>
            <w:tcBorders>
              <w:top w:val="nil"/>
              <w:left w:val="nil"/>
              <w:bottom w:val="nil"/>
              <w:right w:val="nil"/>
            </w:tcBorders>
            <w:vAlign w:val="center"/>
            <w:hideMark/>
          </w:tcPr>
          <w:p w14:paraId="11E9295F"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38E4EDF0"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 × coherence</w:t>
            </w:r>
          </w:p>
        </w:tc>
        <w:tc>
          <w:tcPr>
            <w:tcW w:w="681" w:type="dxa"/>
            <w:tcBorders>
              <w:top w:val="nil"/>
              <w:left w:val="nil"/>
              <w:bottom w:val="nil"/>
              <w:right w:val="nil"/>
            </w:tcBorders>
            <w:noWrap/>
            <w:vAlign w:val="bottom"/>
            <w:hideMark/>
          </w:tcPr>
          <w:p w14:paraId="4188F484"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1.98</w:t>
            </w:r>
          </w:p>
        </w:tc>
        <w:tc>
          <w:tcPr>
            <w:tcW w:w="1272" w:type="dxa"/>
            <w:tcBorders>
              <w:top w:val="nil"/>
              <w:left w:val="nil"/>
              <w:bottom w:val="nil"/>
              <w:right w:val="nil"/>
            </w:tcBorders>
            <w:noWrap/>
            <w:vAlign w:val="bottom"/>
            <w:hideMark/>
          </w:tcPr>
          <w:p w14:paraId="3E194E1C"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41.51</w:t>
            </w:r>
          </w:p>
        </w:tc>
        <w:tc>
          <w:tcPr>
            <w:tcW w:w="850" w:type="dxa"/>
            <w:tcBorders>
              <w:top w:val="nil"/>
              <w:left w:val="nil"/>
              <w:bottom w:val="nil"/>
              <w:right w:val="nil"/>
            </w:tcBorders>
            <w:noWrap/>
            <w:vAlign w:val="bottom"/>
            <w:hideMark/>
          </w:tcPr>
          <w:p w14:paraId="6BD6600F"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0.312</w:t>
            </w:r>
          </w:p>
        </w:tc>
        <w:tc>
          <w:tcPr>
            <w:tcW w:w="1276" w:type="dxa"/>
            <w:tcBorders>
              <w:top w:val="nil"/>
              <w:left w:val="nil"/>
              <w:bottom w:val="nil"/>
              <w:right w:val="nil"/>
            </w:tcBorders>
            <w:noWrap/>
            <w:vAlign w:val="center"/>
            <w:hideMark/>
          </w:tcPr>
          <w:p w14:paraId="1A302220" w14:textId="77777777" w:rsidR="002A378E" w:rsidRPr="00C73FFF" w:rsidRDefault="0036796B" w:rsidP="00DD431E">
            <w:pPr>
              <w:spacing w:after="0" w:line="240" w:lineRule="auto"/>
              <w:jc w:val="center"/>
              <w:rPr>
                <w:rFonts w:eastAsia="Times New Roman"/>
                <w:sz w:val="18"/>
                <w:szCs w:val="18"/>
              </w:rPr>
            </w:pPr>
            <w:r w:rsidRPr="00C73FFF">
              <w:rPr>
                <w:rFonts w:eastAsia="Times New Roman"/>
                <w:i/>
                <w:color w:val="1F4E9E"/>
                <w:sz w:val="18"/>
                <w:szCs w:val="20"/>
              </w:rPr>
              <w:t>p = .731</w:t>
            </w:r>
          </w:p>
        </w:tc>
        <w:tc>
          <w:tcPr>
            <w:tcW w:w="851" w:type="dxa"/>
            <w:tcBorders>
              <w:top w:val="nil"/>
              <w:left w:val="nil"/>
              <w:bottom w:val="nil"/>
              <w:right w:val="nil"/>
            </w:tcBorders>
            <w:noWrap/>
            <w:vAlign w:val="bottom"/>
            <w:hideMark/>
          </w:tcPr>
          <w:p w14:paraId="4399F712" w14:textId="77777777"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0232448A" w14:textId="77777777" w:rsidTr="00F15443">
        <w:trPr>
          <w:trHeight w:val="143"/>
        </w:trPr>
        <w:tc>
          <w:tcPr>
            <w:tcW w:w="1463" w:type="dxa"/>
            <w:vMerge/>
            <w:tcBorders>
              <w:top w:val="nil"/>
              <w:left w:val="nil"/>
              <w:bottom w:val="nil"/>
              <w:right w:val="nil"/>
            </w:tcBorders>
            <w:vAlign w:val="center"/>
            <w:hideMark/>
          </w:tcPr>
          <w:p w14:paraId="4953A88E"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29761A37" w14:textId="77777777" w:rsidR="002A378E" w:rsidRPr="00A30E3E" w:rsidRDefault="002A378E" w:rsidP="00DD431E">
            <w:pPr>
              <w:spacing w:after="0" w:line="240" w:lineRule="auto"/>
              <w:jc w:val="center"/>
              <w:rPr>
                <w:rFonts w:eastAsia="Times New Roman"/>
                <w:color w:val="000000"/>
                <w:sz w:val="18"/>
                <w:szCs w:val="18"/>
              </w:rPr>
            </w:pPr>
            <w:r>
              <w:t>duration × time, linear</w:t>
            </w:r>
          </w:p>
        </w:tc>
        <w:tc>
          <w:tcPr>
            <w:tcW w:w="681" w:type="dxa"/>
            <w:tcBorders>
              <w:top w:val="nil"/>
              <w:left w:val="nil"/>
              <w:bottom w:val="nil"/>
              <w:right w:val="nil"/>
            </w:tcBorders>
            <w:noWrap/>
            <w:vAlign w:val="bottom"/>
            <w:hideMark/>
          </w:tcPr>
          <w:p w14:paraId="32D88686" w14:textId="77777777" w:rsidR="00205CBC" w:rsidRDefault="00000000">
            <w:r>
              <w:rPr>
                <w:color w:val="1F4E9E"/>
              </w:rPr>
              <w:t>1</w:t>
            </w:r>
          </w:p>
        </w:tc>
        <w:tc>
          <w:tcPr>
            <w:tcW w:w="1272" w:type="dxa"/>
            <w:tcBorders>
              <w:top w:val="nil"/>
              <w:left w:val="nil"/>
              <w:bottom w:val="nil"/>
              <w:right w:val="nil"/>
            </w:tcBorders>
            <w:noWrap/>
            <w:vAlign w:val="bottom"/>
            <w:hideMark/>
          </w:tcPr>
          <w:p w14:paraId="37AD94A7" w14:textId="77777777" w:rsidR="00205CBC" w:rsidRDefault="00000000">
            <w:r>
              <w:rPr>
                <w:color w:val="1F4E9E"/>
              </w:rPr>
              <w:t>21</w:t>
            </w:r>
          </w:p>
        </w:tc>
        <w:tc>
          <w:tcPr>
            <w:tcW w:w="850" w:type="dxa"/>
            <w:tcBorders>
              <w:top w:val="nil"/>
              <w:left w:val="nil"/>
              <w:bottom w:val="nil"/>
              <w:right w:val="nil"/>
            </w:tcBorders>
            <w:noWrap/>
            <w:vAlign w:val="bottom"/>
            <w:hideMark/>
          </w:tcPr>
          <w:p w14:paraId="192C9992" w14:textId="77777777" w:rsidR="00205CBC" w:rsidRDefault="00000000">
            <w:r>
              <w:rPr>
                <w:color w:val="1F4E9E"/>
              </w:rPr>
              <w:t>9.532</w:t>
            </w:r>
          </w:p>
        </w:tc>
        <w:tc>
          <w:tcPr>
            <w:tcW w:w="1276" w:type="dxa"/>
            <w:tcBorders>
              <w:top w:val="nil"/>
              <w:left w:val="nil"/>
              <w:bottom w:val="nil"/>
              <w:right w:val="nil"/>
            </w:tcBorders>
            <w:noWrap/>
            <w:vAlign w:val="center"/>
            <w:hideMark/>
          </w:tcPr>
          <w:p w14:paraId="5F0C33C7" w14:textId="77777777" w:rsidR="00205CBC" w:rsidRDefault="00000000">
            <w:r>
              <w:rPr>
                <w:color w:val="1F4E9E"/>
              </w:rPr>
              <w:t>p = .006</w:t>
            </w:r>
          </w:p>
        </w:tc>
        <w:tc>
          <w:tcPr>
            <w:tcW w:w="851" w:type="dxa"/>
            <w:tcBorders>
              <w:top w:val="nil"/>
              <w:left w:val="nil"/>
              <w:bottom w:val="nil"/>
              <w:right w:val="nil"/>
            </w:tcBorders>
            <w:noWrap/>
            <w:vAlign w:val="bottom"/>
            <w:hideMark/>
          </w:tcPr>
          <w:p w14:paraId="722B4CE8" w14:textId="77777777" w:rsidR="00205CBC" w:rsidRDefault="00000000">
            <w:r>
              <w:rPr>
                <w:color w:val="1F4E9E"/>
              </w:rPr>
              <w:t>0.312</w:t>
            </w:r>
          </w:p>
        </w:tc>
      </w:tr>
      <w:tr w:rsidR="002A378E" w:rsidRPr="008B5651" w14:paraId="33857C19" w14:textId="77777777" w:rsidTr="00F15443">
        <w:trPr>
          <w:trHeight w:val="143"/>
        </w:trPr>
        <w:tc>
          <w:tcPr>
            <w:tcW w:w="1463" w:type="dxa"/>
            <w:vMerge/>
            <w:tcBorders>
              <w:top w:val="nil"/>
              <w:left w:val="nil"/>
              <w:bottom w:val="nil"/>
              <w:right w:val="nil"/>
            </w:tcBorders>
            <w:vAlign w:val="center"/>
            <w:hideMark/>
          </w:tcPr>
          <w:p w14:paraId="5D7C16F5"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C899104" w14:textId="77777777" w:rsidR="002A378E" w:rsidRPr="00A30E3E" w:rsidRDefault="002A378E" w:rsidP="00DD431E">
            <w:pPr>
              <w:spacing w:after="0" w:line="240" w:lineRule="auto"/>
              <w:jc w:val="center"/>
              <w:rPr>
                <w:rFonts w:eastAsia="Times New Roman"/>
                <w:color w:val="000000"/>
                <w:sz w:val="18"/>
                <w:szCs w:val="18"/>
              </w:rPr>
            </w:pPr>
            <w:r>
              <w:t>coherence × time, linear</w:t>
            </w:r>
          </w:p>
        </w:tc>
        <w:tc>
          <w:tcPr>
            <w:tcW w:w="681" w:type="dxa"/>
            <w:tcBorders>
              <w:top w:val="nil"/>
              <w:left w:val="nil"/>
              <w:bottom w:val="nil"/>
              <w:right w:val="nil"/>
            </w:tcBorders>
            <w:noWrap/>
            <w:vAlign w:val="bottom"/>
            <w:hideMark/>
          </w:tcPr>
          <w:p w14:paraId="448D3965" w14:textId="77777777" w:rsidR="00205CBC" w:rsidRDefault="00000000">
            <w:r>
              <w:rPr>
                <w:color w:val="1F4E9E"/>
              </w:rPr>
              <w:t>1.72</w:t>
            </w:r>
          </w:p>
        </w:tc>
        <w:tc>
          <w:tcPr>
            <w:tcW w:w="1272" w:type="dxa"/>
            <w:tcBorders>
              <w:top w:val="nil"/>
              <w:left w:val="nil"/>
              <w:bottom w:val="nil"/>
              <w:right w:val="nil"/>
            </w:tcBorders>
            <w:noWrap/>
            <w:vAlign w:val="bottom"/>
            <w:hideMark/>
          </w:tcPr>
          <w:p w14:paraId="78DFA397" w14:textId="77777777" w:rsidR="00205CBC" w:rsidRDefault="00000000">
            <w:r>
              <w:rPr>
                <w:color w:val="1F4E9E"/>
              </w:rPr>
              <w:t>36.20</w:t>
            </w:r>
          </w:p>
        </w:tc>
        <w:tc>
          <w:tcPr>
            <w:tcW w:w="850" w:type="dxa"/>
            <w:tcBorders>
              <w:top w:val="nil"/>
              <w:left w:val="nil"/>
              <w:bottom w:val="nil"/>
              <w:right w:val="nil"/>
            </w:tcBorders>
            <w:noWrap/>
            <w:vAlign w:val="bottom"/>
            <w:hideMark/>
          </w:tcPr>
          <w:p w14:paraId="3693D822" w14:textId="77777777" w:rsidR="00205CBC" w:rsidRDefault="00000000">
            <w:r>
              <w:rPr>
                <w:color w:val="1F4E9E"/>
              </w:rPr>
              <w:t>6.145</w:t>
            </w:r>
          </w:p>
        </w:tc>
        <w:tc>
          <w:tcPr>
            <w:tcW w:w="1276" w:type="dxa"/>
            <w:tcBorders>
              <w:top w:val="nil"/>
              <w:left w:val="nil"/>
              <w:bottom w:val="nil"/>
              <w:right w:val="nil"/>
            </w:tcBorders>
            <w:noWrap/>
            <w:vAlign w:val="center"/>
            <w:hideMark/>
          </w:tcPr>
          <w:p w14:paraId="60D768FD" w14:textId="77777777" w:rsidR="00205CBC" w:rsidRDefault="00000000">
            <w:r>
              <w:rPr>
                <w:color w:val="1F4E9E"/>
              </w:rPr>
              <w:t>p = .007</w:t>
            </w:r>
          </w:p>
        </w:tc>
        <w:tc>
          <w:tcPr>
            <w:tcW w:w="851" w:type="dxa"/>
            <w:tcBorders>
              <w:top w:val="nil"/>
              <w:left w:val="nil"/>
              <w:bottom w:val="nil"/>
              <w:right w:val="nil"/>
            </w:tcBorders>
            <w:noWrap/>
            <w:vAlign w:val="bottom"/>
            <w:hideMark/>
          </w:tcPr>
          <w:p w14:paraId="42E3AD8B" w14:textId="77777777" w:rsidR="00205CBC" w:rsidRDefault="00000000">
            <w:r>
              <w:rPr>
                <w:color w:val="1F4E9E"/>
              </w:rPr>
              <w:t>0.226</w:t>
            </w:r>
          </w:p>
        </w:tc>
      </w:tr>
      <w:tr w:rsidR="002A378E" w:rsidRPr="008B5651" w14:paraId="2FACCBD6" w14:textId="77777777" w:rsidTr="00F15443">
        <w:trPr>
          <w:trHeight w:val="143"/>
        </w:trPr>
        <w:tc>
          <w:tcPr>
            <w:tcW w:w="1463" w:type="dxa"/>
            <w:vMerge/>
            <w:tcBorders>
              <w:top w:val="nil"/>
              <w:left w:val="nil"/>
              <w:bottom w:val="nil"/>
              <w:right w:val="nil"/>
            </w:tcBorders>
            <w:vAlign w:val="center"/>
            <w:hideMark/>
          </w:tcPr>
          <w:p w14:paraId="22F69351"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687E41CC" w14:textId="77777777" w:rsidR="002A378E" w:rsidRPr="00A30E3E" w:rsidRDefault="002A378E" w:rsidP="00DD431E">
            <w:pPr>
              <w:spacing w:after="0" w:line="240" w:lineRule="auto"/>
              <w:jc w:val="center"/>
              <w:rPr>
                <w:rFonts w:eastAsia="Times New Roman"/>
                <w:color w:val="000000"/>
                <w:sz w:val="18"/>
                <w:szCs w:val="18"/>
              </w:rPr>
            </w:pPr>
            <w:r>
              <w:t>duration × coherence × time, linear</w:t>
            </w:r>
          </w:p>
        </w:tc>
        <w:tc>
          <w:tcPr>
            <w:tcW w:w="681" w:type="dxa"/>
            <w:tcBorders>
              <w:top w:val="nil"/>
              <w:left w:val="nil"/>
              <w:bottom w:val="nil"/>
              <w:right w:val="nil"/>
            </w:tcBorders>
            <w:noWrap/>
            <w:vAlign w:val="bottom"/>
            <w:hideMark/>
          </w:tcPr>
          <w:p w14:paraId="4EAF11DD" w14:textId="77777777" w:rsidR="00205CBC" w:rsidRDefault="00000000">
            <w:r>
              <w:rPr>
                <w:color w:val="1F4E9E"/>
              </w:rPr>
              <w:t>1.87</w:t>
            </w:r>
          </w:p>
        </w:tc>
        <w:tc>
          <w:tcPr>
            <w:tcW w:w="1272" w:type="dxa"/>
            <w:tcBorders>
              <w:top w:val="nil"/>
              <w:left w:val="nil"/>
              <w:bottom w:val="nil"/>
              <w:right w:val="nil"/>
            </w:tcBorders>
            <w:noWrap/>
            <w:vAlign w:val="bottom"/>
            <w:hideMark/>
          </w:tcPr>
          <w:p w14:paraId="2D4D3490" w14:textId="77777777" w:rsidR="00205CBC" w:rsidRDefault="00000000">
            <w:r>
              <w:rPr>
                <w:color w:val="1F4E9E"/>
              </w:rPr>
              <w:t>39.18</w:t>
            </w:r>
          </w:p>
        </w:tc>
        <w:tc>
          <w:tcPr>
            <w:tcW w:w="850" w:type="dxa"/>
            <w:tcBorders>
              <w:top w:val="nil"/>
              <w:left w:val="nil"/>
              <w:bottom w:val="nil"/>
              <w:right w:val="nil"/>
            </w:tcBorders>
            <w:noWrap/>
            <w:vAlign w:val="bottom"/>
            <w:hideMark/>
          </w:tcPr>
          <w:p w14:paraId="05E633A9" w14:textId="77777777" w:rsidR="00205CBC" w:rsidRDefault="00000000">
            <w:r>
              <w:rPr>
                <w:color w:val="1F4E9E"/>
              </w:rPr>
              <w:t>0.729</w:t>
            </w:r>
          </w:p>
        </w:tc>
        <w:tc>
          <w:tcPr>
            <w:tcW w:w="1276" w:type="dxa"/>
            <w:tcBorders>
              <w:top w:val="nil"/>
              <w:left w:val="nil"/>
              <w:bottom w:val="nil"/>
              <w:right w:val="nil"/>
            </w:tcBorders>
            <w:noWrap/>
            <w:vAlign w:val="center"/>
            <w:hideMark/>
          </w:tcPr>
          <w:p w14:paraId="6B588879" w14:textId="77777777" w:rsidR="00205CBC" w:rsidRDefault="00000000">
            <w:r>
              <w:rPr>
                <w:color w:val="1F4E9E"/>
              </w:rPr>
              <w:t>p = .480</w:t>
            </w:r>
          </w:p>
        </w:tc>
        <w:tc>
          <w:tcPr>
            <w:tcW w:w="851" w:type="dxa"/>
            <w:tcBorders>
              <w:top w:val="nil"/>
              <w:left w:val="nil"/>
              <w:bottom w:val="nil"/>
              <w:right w:val="nil"/>
            </w:tcBorders>
            <w:noWrap/>
            <w:vAlign w:val="bottom"/>
            <w:hideMark/>
          </w:tcPr>
          <w:p w14:paraId="3E787EFF" w14:textId="77777777" w:rsidR="00205CBC" w:rsidRDefault="00000000">
            <w:r>
              <w:rPr>
                <w:color w:val="1F4E9E"/>
              </w:rPr>
              <w:t>0.034</w:t>
            </w:r>
          </w:p>
        </w:tc>
      </w:tr>
      <w:tr w:rsidR="002A378E" w:rsidRPr="008B5651" w14:paraId="2FACCBD6" w14:textId="77777777" w:rsidTr="00F15443">
        <w:trPr>
          <w:trHeight w:val="143"/>
        </w:trPr>
        <w:tc>
          <w:tcPr>
            <w:tcW w:w="1463" w:type="dxa"/>
            <w:vMerge/>
            <w:tcBorders>
              <w:top w:val="nil"/>
              <w:left w:val="nil"/>
              <w:bottom w:val="nil"/>
              <w:right w:val="nil"/>
            </w:tcBorders>
            <w:vAlign w:val="center"/>
            <w:hideMark/>
          </w:tcPr>
          <w:p w14:paraId="22F69351"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687E41CC" w14:textId="77777777" w:rsidR="002A378E" w:rsidRPr="00A30E3E" w:rsidRDefault="002A378E" w:rsidP="00DD431E">
            <w:pPr>
              <w:spacing w:after="0" w:line="240" w:lineRule="auto"/>
              <w:jc w:val="center"/>
              <w:rPr>
                <w:rFonts w:eastAsia="Times New Roman"/>
                <w:color w:val="000000"/>
                <w:sz w:val="18"/>
                <w:szCs w:val="18"/>
              </w:rPr>
            </w:pPr>
            <w:r>
              <w:t>time, quadratic</w:t>
            </w:r>
          </w:p>
        </w:tc>
        <w:tc>
          <w:tcPr>
            <w:tcW w:w="681" w:type="dxa"/>
            <w:tcBorders>
              <w:top w:val="nil"/>
              <w:left w:val="nil"/>
              <w:bottom w:val="nil"/>
              <w:right w:val="nil"/>
            </w:tcBorders>
            <w:noWrap/>
            <w:vAlign w:val="bottom"/>
            <w:hideMark/>
          </w:tcPr>
          <w:p w14:paraId="4EAF11DD" w14:textId="77777777" w:rsidR="00205CBC" w:rsidRDefault="00000000">
            <w:r>
              <w:rPr>
                <w:color w:val="1F4E9E"/>
              </w:rPr>
              <w:t>1</w:t>
            </w:r>
          </w:p>
        </w:tc>
        <w:tc>
          <w:tcPr>
            <w:tcW w:w="1272" w:type="dxa"/>
            <w:tcBorders>
              <w:top w:val="nil"/>
              <w:left w:val="nil"/>
              <w:bottom w:val="nil"/>
              <w:right w:val="nil"/>
            </w:tcBorders>
            <w:noWrap/>
            <w:vAlign w:val="bottom"/>
            <w:hideMark/>
          </w:tcPr>
          <w:p w14:paraId="2D4D3490" w14:textId="77777777" w:rsidR="00205CBC" w:rsidRDefault="00000000">
            <w:r>
              <w:rPr>
                <w:color w:val="1F4E9E"/>
              </w:rPr>
              <w:t>21</w:t>
            </w:r>
          </w:p>
        </w:tc>
        <w:tc>
          <w:tcPr>
            <w:tcW w:w="850" w:type="dxa"/>
            <w:tcBorders>
              <w:top w:val="nil"/>
              <w:left w:val="nil"/>
              <w:bottom w:val="nil"/>
              <w:right w:val="nil"/>
            </w:tcBorders>
            <w:noWrap/>
            <w:vAlign w:val="bottom"/>
            <w:hideMark/>
          </w:tcPr>
          <w:p w14:paraId="05E633A9" w14:textId="77777777" w:rsidR="00205CBC" w:rsidRDefault="00000000">
            <w:r>
              <w:t>2.621</w:t>
            </w:r>
          </w:p>
        </w:tc>
        <w:tc>
          <w:tcPr>
            <w:tcW w:w="1276" w:type="dxa"/>
            <w:tcBorders>
              <w:top w:val="nil"/>
              <w:left w:val="nil"/>
              <w:bottom w:val="nil"/>
              <w:right w:val="nil"/>
            </w:tcBorders>
            <w:noWrap/>
            <w:vAlign w:val="center"/>
            <w:hideMark/>
          </w:tcPr>
          <w:p w14:paraId="6B588879" w14:textId="77777777" w:rsidR="00205CBC" w:rsidRDefault="00000000">
            <w:r>
              <w:t>p = .120</w:t>
            </w:r>
          </w:p>
        </w:tc>
        <w:tc>
          <w:tcPr>
            <w:tcW w:w="851" w:type="dxa"/>
            <w:tcBorders>
              <w:top w:val="nil"/>
              <w:left w:val="nil"/>
              <w:bottom w:val="nil"/>
              <w:right w:val="nil"/>
            </w:tcBorders>
            <w:noWrap/>
            <w:vAlign w:val="bottom"/>
            <w:hideMark/>
          </w:tcPr>
          <w:p w14:paraId="3E787EFF" w14:textId="77777777" w:rsidR="00205CBC" w:rsidRDefault="00000000">
            <w:r>
              <w:t>0.111</w:t>
            </w:r>
          </w:p>
        </w:tc>
      </w:tr>
      <w:tr w:rsidR="002A378E" w:rsidRPr="008B5651" w14:paraId="2FACCBD6" w14:textId="77777777" w:rsidTr="00F15443">
        <w:trPr>
          <w:trHeight w:val="143"/>
        </w:trPr>
        <w:tc>
          <w:tcPr>
            <w:tcW w:w="1463" w:type="dxa"/>
            <w:vMerge/>
            <w:tcBorders>
              <w:top w:val="nil"/>
              <w:left w:val="nil"/>
              <w:bottom w:val="nil"/>
              <w:right w:val="nil"/>
            </w:tcBorders>
            <w:vAlign w:val="center"/>
            <w:hideMark/>
          </w:tcPr>
          <w:p w14:paraId="22F69351"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687E41CC" w14:textId="77777777" w:rsidR="002A378E" w:rsidRPr="00A30E3E" w:rsidRDefault="002A378E" w:rsidP="00DD431E">
            <w:pPr>
              <w:spacing w:after="0" w:line="240" w:lineRule="auto"/>
              <w:jc w:val="center"/>
              <w:rPr>
                <w:rFonts w:eastAsia="Times New Roman"/>
                <w:color w:val="000000"/>
                <w:sz w:val="18"/>
                <w:szCs w:val="18"/>
              </w:rPr>
            </w:pPr>
            <w:r>
              <w:t>duration × time, quadratic</w:t>
            </w:r>
          </w:p>
        </w:tc>
        <w:tc>
          <w:tcPr>
            <w:tcW w:w="681" w:type="dxa"/>
            <w:tcBorders>
              <w:top w:val="nil"/>
              <w:left w:val="nil"/>
              <w:bottom w:val="nil"/>
              <w:right w:val="nil"/>
            </w:tcBorders>
            <w:noWrap/>
            <w:vAlign w:val="bottom"/>
            <w:hideMark/>
          </w:tcPr>
          <w:p w14:paraId="4EAF11DD" w14:textId="77777777" w:rsidR="00205CBC" w:rsidRDefault="00000000">
            <w:r>
              <w:rPr>
                <w:color w:val="1F4E9E"/>
              </w:rPr>
              <w:t>1</w:t>
            </w:r>
          </w:p>
        </w:tc>
        <w:tc>
          <w:tcPr>
            <w:tcW w:w="1272" w:type="dxa"/>
            <w:tcBorders>
              <w:top w:val="nil"/>
              <w:left w:val="nil"/>
              <w:bottom w:val="nil"/>
              <w:right w:val="nil"/>
            </w:tcBorders>
            <w:noWrap/>
            <w:vAlign w:val="bottom"/>
            <w:hideMark/>
          </w:tcPr>
          <w:p w14:paraId="2D4D3490" w14:textId="77777777" w:rsidR="00205CBC" w:rsidRDefault="00000000">
            <w:r>
              <w:rPr>
                <w:color w:val="1F4E9E"/>
              </w:rPr>
              <w:t>21</w:t>
            </w:r>
          </w:p>
        </w:tc>
        <w:tc>
          <w:tcPr>
            <w:tcW w:w="850" w:type="dxa"/>
            <w:tcBorders>
              <w:top w:val="nil"/>
              <w:left w:val="nil"/>
              <w:bottom w:val="nil"/>
              <w:right w:val="nil"/>
            </w:tcBorders>
            <w:noWrap/>
            <w:vAlign w:val="bottom"/>
            <w:hideMark/>
          </w:tcPr>
          <w:p w14:paraId="05E633A9" w14:textId="77777777" w:rsidR="00205CBC" w:rsidRDefault="00000000">
            <w:r>
              <w:t>3.555</w:t>
            </w:r>
          </w:p>
        </w:tc>
        <w:tc>
          <w:tcPr>
            <w:tcW w:w="1276" w:type="dxa"/>
            <w:tcBorders>
              <w:top w:val="nil"/>
              <w:left w:val="nil"/>
              <w:bottom w:val="nil"/>
              <w:right w:val="nil"/>
            </w:tcBorders>
            <w:noWrap/>
            <w:vAlign w:val="center"/>
            <w:hideMark/>
          </w:tcPr>
          <w:p w14:paraId="6B588879" w14:textId="77777777" w:rsidR="00205CBC" w:rsidRDefault="00000000">
            <w:r>
              <w:t>p = .073</w:t>
            </w:r>
          </w:p>
        </w:tc>
        <w:tc>
          <w:tcPr>
            <w:tcW w:w="851" w:type="dxa"/>
            <w:tcBorders>
              <w:top w:val="nil"/>
              <w:left w:val="nil"/>
              <w:bottom w:val="nil"/>
              <w:right w:val="nil"/>
            </w:tcBorders>
            <w:noWrap/>
            <w:vAlign w:val="bottom"/>
            <w:hideMark/>
          </w:tcPr>
          <w:p w14:paraId="3E787EFF" w14:textId="77777777" w:rsidR="00205CBC" w:rsidRDefault="00000000">
            <w:r>
              <w:t>0.145</w:t>
            </w:r>
          </w:p>
        </w:tc>
      </w:tr>
      <w:tr w:rsidR="002A378E" w:rsidRPr="008B5651" w14:paraId="2FACCBD6" w14:textId="77777777" w:rsidTr="00F15443">
        <w:trPr>
          <w:trHeight w:val="143"/>
        </w:trPr>
        <w:tc>
          <w:tcPr>
            <w:tcW w:w="1463" w:type="dxa"/>
            <w:vMerge/>
            <w:tcBorders>
              <w:top w:val="nil"/>
              <w:left w:val="nil"/>
              <w:bottom w:val="nil"/>
              <w:right w:val="nil"/>
            </w:tcBorders>
            <w:vAlign w:val="center"/>
            <w:hideMark/>
          </w:tcPr>
          <w:p w14:paraId="22F69351"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687E41CC" w14:textId="77777777" w:rsidR="002A378E" w:rsidRPr="00A30E3E" w:rsidRDefault="002A378E" w:rsidP="00DD431E">
            <w:pPr>
              <w:spacing w:after="0" w:line="240" w:lineRule="auto"/>
              <w:jc w:val="center"/>
              <w:rPr>
                <w:rFonts w:eastAsia="Times New Roman"/>
                <w:color w:val="000000"/>
                <w:sz w:val="18"/>
                <w:szCs w:val="18"/>
              </w:rPr>
            </w:pPr>
            <w:r>
              <w:t>coherence × time, quadratic</w:t>
            </w:r>
          </w:p>
        </w:tc>
        <w:tc>
          <w:tcPr>
            <w:tcW w:w="681" w:type="dxa"/>
            <w:tcBorders>
              <w:top w:val="nil"/>
              <w:left w:val="nil"/>
              <w:bottom w:val="nil"/>
              <w:right w:val="nil"/>
            </w:tcBorders>
            <w:noWrap/>
            <w:vAlign w:val="bottom"/>
            <w:hideMark/>
          </w:tcPr>
          <w:p w14:paraId="4EAF11DD" w14:textId="77777777" w:rsidR="00205CBC" w:rsidRDefault="00000000">
            <w:r>
              <w:t>1.90</w:t>
            </w:r>
          </w:p>
        </w:tc>
        <w:tc>
          <w:tcPr>
            <w:tcW w:w="1272" w:type="dxa"/>
            <w:tcBorders>
              <w:top w:val="nil"/>
              <w:left w:val="nil"/>
              <w:bottom w:val="nil"/>
              <w:right w:val="nil"/>
            </w:tcBorders>
            <w:noWrap/>
            <w:vAlign w:val="bottom"/>
            <w:hideMark/>
          </w:tcPr>
          <w:p w14:paraId="2D4D3490" w14:textId="77777777" w:rsidR="00205CBC" w:rsidRDefault="00000000">
            <w:r>
              <w:t>39.81</w:t>
            </w:r>
          </w:p>
        </w:tc>
        <w:tc>
          <w:tcPr>
            <w:tcW w:w="850" w:type="dxa"/>
            <w:tcBorders>
              <w:top w:val="nil"/>
              <w:left w:val="nil"/>
              <w:bottom w:val="nil"/>
              <w:right w:val="nil"/>
            </w:tcBorders>
            <w:noWrap/>
            <w:vAlign w:val="bottom"/>
            <w:hideMark/>
          </w:tcPr>
          <w:p w14:paraId="05E633A9" w14:textId="77777777" w:rsidR="00205CBC" w:rsidRDefault="00000000">
            <w:r>
              <w:t>0.525</w:t>
            </w:r>
          </w:p>
        </w:tc>
        <w:tc>
          <w:tcPr>
            <w:tcW w:w="1276" w:type="dxa"/>
            <w:tcBorders>
              <w:top w:val="nil"/>
              <w:left w:val="nil"/>
              <w:bottom w:val="nil"/>
              <w:right w:val="nil"/>
            </w:tcBorders>
            <w:noWrap/>
            <w:vAlign w:val="center"/>
            <w:hideMark/>
          </w:tcPr>
          <w:p w14:paraId="6B588879" w14:textId="77777777" w:rsidR="00205CBC" w:rsidRDefault="00000000">
            <w:r>
              <w:t>p = .586</w:t>
            </w:r>
          </w:p>
        </w:tc>
        <w:tc>
          <w:tcPr>
            <w:tcW w:w="851" w:type="dxa"/>
            <w:tcBorders>
              <w:top w:val="nil"/>
              <w:left w:val="nil"/>
              <w:bottom w:val="nil"/>
              <w:right w:val="nil"/>
            </w:tcBorders>
            <w:noWrap/>
            <w:vAlign w:val="bottom"/>
            <w:hideMark/>
          </w:tcPr>
          <w:p w14:paraId="3E787EFF" w14:textId="77777777" w:rsidR="00205CBC" w:rsidRDefault="00000000">
            <w:r>
              <w:t>0.024</w:t>
            </w:r>
          </w:p>
        </w:tc>
      </w:tr>
      <w:tr w:rsidR="002A378E" w:rsidRPr="008B5651" w14:paraId="2FACCBD6" w14:textId="77777777" w:rsidTr="00F15443">
        <w:trPr>
          <w:trHeight w:val="143"/>
        </w:trPr>
        <w:tc>
          <w:tcPr>
            <w:tcW w:w="1463" w:type="dxa"/>
            <w:vMerge/>
            <w:tcBorders>
              <w:top w:val="nil"/>
              <w:left w:val="nil"/>
              <w:bottom w:val="nil"/>
              <w:right w:val="nil"/>
            </w:tcBorders>
            <w:vAlign w:val="center"/>
            <w:hideMark/>
          </w:tcPr>
          <w:p w14:paraId="22F69351"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687E41CC" w14:textId="77777777" w:rsidR="002A378E" w:rsidRPr="00A30E3E" w:rsidRDefault="002A378E" w:rsidP="00DD431E">
            <w:pPr>
              <w:spacing w:after="0" w:line="240" w:lineRule="auto"/>
              <w:jc w:val="center"/>
              <w:rPr>
                <w:rFonts w:eastAsia="Times New Roman"/>
                <w:color w:val="000000"/>
                <w:sz w:val="18"/>
                <w:szCs w:val="18"/>
              </w:rPr>
            </w:pPr>
            <w:r>
              <w:t>duration × coherence × time, quadratic</w:t>
            </w:r>
          </w:p>
        </w:tc>
        <w:tc>
          <w:tcPr>
            <w:tcW w:w="681" w:type="dxa"/>
            <w:tcBorders>
              <w:top w:val="nil"/>
              <w:left w:val="nil"/>
              <w:bottom w:val="nil"/>
              <w:right w:val="nil"/>
            </w:tcBorders>
            <w:noWrap/>
            <w:vAlign w:val="bottom"/>
            <w:hideMark/>
          </w:tcPr>
          <w:p w14:paraId="4EAF11DD" w14:textId="77777777" w:rsidR="00205CBC" w:rsidRDefault="00000000">
            <w:r>
              <w:t>1.59</w:t>
            </w:r>
          </w:p>
        </w:tc>
        <w:tc>
          <w:tcPr>
            <w:tcW w:w="1272" w:type="dxa"/>
            <w:tcBorders>
              <w:top w:val="nil"/>
              <w:left w:val="nil"/>
              <w:bottom w:val="nil"/>
              <w:right w:val="nil"/>
            </w:tcBorders>
            <w:noWrap/>
            <w:vAlign w:val="bottom"/>
            <w:hideMark/>
          </w:tcPr>
          <w:p w14:paraId="2D4D3490" w14:textId="77777777" w:rsidR="00205CBC" w:rsidRDefault="00000000">
            <w:r>
              <w:t>33.42</w:t>
            </w:r>
          </w:p>
        </w:tc>
        <w:tc>
          <w:tcPr>
            <w:tcW w:w="850" w:type="dxa"/>
            <w:tcBorders>
              <w:top w:val="nil"/>
              <w:left w:val="nil"/>
              <w:bottom w:val="nil"/>
              <w:right w:val="nil"/>
            </w:tcBorders>
            <w:noWrap/>
            <w:vAlign w:val="bottom"/>
            <w:hideMark/>
          </w:tcPr>
          <w:p w14:paraId="05E633A9" w14:textId="77777777" w:rsidR="00205CBC" w:rsidRDefault="00000000">
            <w:r>
              <w:t>0.403</w:t>
            </w:r>
          </w:p>
        </w:tc>
        <w:tc>
          <w:tcPr>
            <w:tcW w:w="1276" w:type="dxa"/>
            <w:tcBorders>
              <w:top w:val="nil"/>
              <w:left w:val="nil"/>
              <w:bottom w:val="nil"/>
              <w:right w:val="nil"/>
            </w:tcBorders>
            <w:noWrap/>
            <w:vAlign w:val="center"/>
            <w:hideMark/>
          </w:tcPr>
          <w:p w14:paraId="6B588879" w14:textId="77777777" w:rsidR="00205CBC" w:rsidRDefault="00000000">
            <w:r>
              <w:t>p = .625</w:t>
            </w:r>
          </w:p>
        </w:tc>
        <w:tc>
          <w:tcPr>
            <w:tcW w:w="851" w:type="dxa"/>
            <w:tcBorders>
              <w:top w:val="nil"/>
              <w:left w:val="nil"/>
              <w:bottom w:val="nil"/>
              <w:right w:val="nil"/>
            </w:tcBorders>
            <w:noWrap/>
            <w:vAlign w:val="bottom"/>
            <w:hideMark/>
          </w:tcPr>
          <w:p w14:paraId="3E787EFF" w14:textId="77777777" w:rsidR="00205CBC" w:rsidRDefault="00000000">
            <w:r>
              <w:t>0.019</w:t>
            </w:r>
          </w:p>
        </w:tc>
      </w:tr>
      <w:tr w:rsidR="002A378E" w:rsidRPr="008B5651" w14:paraId="14E37011" w14:textId="77777777" w:rsidTr="00F15443">
        <w:trPr>
          <w:trHeight w:val="143"/>
        </w:trPr>
        <w:tc>
          <w:tcPr>
            <w:tcW w:w="1463" w:type="dxa"/>
            <w:tcBorders>
              <w:top w:val="nil"/>
              <w:left w:val="nil"/>
              <w:bottom w:val="nil"/>
              <w:right w:val="nil"/>
            </w:tcBorders>
            <w:noWrap/>
            <w:vAlign w:val="bottom"/>
            <w:hideMark/>
          </w:tcPr>
          <w:p w14:paraId="1314AA5C" w14:textId="77777777" w:rsidR="002A378E" w:rsidRPr="00A30E3E" w:rsidRDefault="002A378E" w:rsidP="00DD431E">
            <w:pPr>
              <w:spacing w:after="0" w:line="240" w:lineRule="auto"/>
              <w:jc w:val="center"/>
              <w:rPr>
                <w:rFonts w:eastAsia="Times New Roman"/>
                <w:sz w:val="22"/>
                <w:szCs w:val="20"/>
              </w:rPr>
            </w:pPr>
          </w:p>
        </w:tc>
        <w:tc>
          <w:tcPr>
            <w:tcW w:w="2538" w:type="dxa"/>
            <w:tcBorders>
              <w:top w:val="nil"/>
              <w:left w:val="nil"/>
              <w:bottom w:val="nil"/>
              <w:right w:val="nil"/>
            </w:tcBorders>
            <w:vAlign w:val="bottom"/>
            <w:hideMark/>
          </w:tcPr>
          <w:p w14:paraId="1AD84831" w14:textId="77777777" w:rsidR="002A378E" w:rsidRPr="00A30E3E" w:rsidRDefault="002A378E" w:rsidP="00DD431E">
            <w:pPr>
              <w:spacing w:after="0" w:line="240" w:lineRule="auto"/>
              <w:jc w:val="center"/>
              <w:rPr>
                <w:rFonts w:eastAsia="Times New Roman"/>
                <w:sz w:val="18"/>
                <w:szCs w:val="18"/>
              </w:rPr>
            </w:pPr>
          </w:p>
        </w:tc>
        <w:tc>
          <w:tcPr>
            <w:tcW w:w="681" w:type="dxa"/>
            <w:tcBorders>
              <w:top w:val="nil"/>
              <w:left w:val="nil"/>
              <w:bottom w:val="nil"/>
              <w:right w:val="nil"/>
            </w:tcBorders>
            <w:noWrap/>
            <w:vAlign w:val="bottom"/>
            <w:hideMark/>
          </w:tcPr>
          <w:p w14:paraId="76563F30" w14:textId="77777777" w:rsidR="002A378E" w:rsidRPr="00C73FFF" w:rsidRDefault="002A378E" w:rsidP="00DD431E">
            <w:pPr>
              <w:spacing w:after="0" w:line="240" w:lineRule="auto"/>
              <w:jc w:val="center"/>
              <w:rPr>
                <w:rFonts w:eastAsia="Times New Roman"/>
                <w:sz w:val="18"/>
                <w:szCs w:val="18"/>
              </w:rPr>
            </w:pPr>
          </w:p>
        </w:tc>
        <w:tc>
          <w:tcPr>
            <w:tcW w:w="1272" w:type="dxa"/>
            <w:tcBorders>
              <w:top w:val="nil"/>
              <w:left w:val="nil"/>
              <w:bottom w:val="nil"/>
              <w:right w:val="nil"/>
            </w:tcBorders>
            <w:noWrap/>
            <w:vAlign w:val="bottom"/>
            <w:hideMark/>
          </w:tcPr>
          <w:p w14:paraId="65C307E6" w14:textId="77777777" w:rsidR="002A378E" w:rsidRPr="00C73FFF" w:rsidRDefault="002A378E" w:rsidP="00DD431E">
            <w:pPr>
              <w:spacing w:after="0" w:line="240" w:lineRule="auto"/>
              <w:jc w:val="center"/>
              <w:rPr>
                <w:rFonts w:eastAsia="Times New Roman"/>
                <w:sz w:val="18"/>
                <w:szCs w:val="18"/>
              </w:rPr>
            </w:pPr>
          </w:p>
        </w:tc>
        <w:tc>
          <w:tcPr>
            <w:tcW w:w="850" w:type="dxa"/>
            <w:tcBorders>
              <w:top w:val="nil"/>
              <w:left w:val="nil"/>
              <w:bottom w:val="nil"/>
              <w:right w:val="nil"/>
            </w:tcBorders>
            <w:noWrap/>
            <w:vAlign w:val="bottom"/>
            <w:hideMark/>
          </w:tcPr>
          <w:p w14:paraId="0612FF50" w14:textId="77777777" w:rsidR="002A378E" w:rsidRPr="00C73FFF" w:rsidRDefault="002A378E" w:rsidP="00DD431E">
            <w:pPr>
              <w:spacing w:after="0" w:line="240" w:lineRule="auto"/>
              <w:jc w:val="center"/>
              <w:rPr>
                <w:rFonts w:eastAsia="Times New Roman"/>
                <w:sz w:val="18"/>
                <w:szCs w:val="18"/>
              </w:rPr>
            </w:pPr>
          </w:p>
        </w:tc>
        <w:tc>
          <w:tcPr>
            <w:tcW w:w="1276" w:type="dxa"/>
            <w:tcBorders>
              <w:top w:val="nil"/>
              <w:left w:val="nil"/>
              <w:bottom w:val="single" w:sz="4" w:space="0" w:color="000000" w:themeColor="text1"/>
              <w:right w:val="nil"/>
            </w:tcBorders>
            <w:noWrap/>
            <w:vAlign w:val="bottom"/>
            <w:hideMark/>
          </w:tcPr>
          <w:p w14:paraId="21D96419" w14:textId="77777777" w:rsidR="002A378E" w:rsidRPr="00C73FFF" w:rsidRDefault="002A378E" w:rsidP="00DD431E">
            <w:pPr>
              <w:spacing w:after="0" w:line="240" w:lineRule="auto"/>
              <w:jc w:val="center"/>
              <w:rPr>
                <w:rFonts w:eastAsia="Times New Roman"/>
                <w:sz w:val="18"/>
                <w:szCs w:val="18"/>
              </w:rPr>
            </w:pPr>
          </w:p>
        </w:tc>
        <w:tc>
          <w:tcPr>
            <w:tcW w:w="851" w:type="dxa"/>
            <w:tcBorders>
              <w:top w:val="nil"/>
              <w:left w:val="nil"/>
              <w:bottom w:val="nil"/>
              <w:right w:val="nil"/>
            </w:tcBorders>
            <w:noWrap/>
            <w:vAlign w:val="bottom"/>
            <w:hideMark/>
          </w:tcPr>
          <w:p w14:paraId="2BE1EA3A" w14:textId="77777777" w:rsidR="002A378E" w:rsidRPr="008C2F99" w:rsidRDefault="002A378E" w:rsidP="00DD431E">
            <w:pPr>
              <w:spacing w:after="0" w:line="240" w:lineRule="auto"/>
              <w:jc w:val="center"/>
              <w:rPr>
                <w:rFonts w:eastAsia="Times New Roman"/>
                <w:sz w:val="18"/>
                <w:szCs w:val="18"/>
              </w:rPr>
            </w:pPr>
          </w:p>
        </w:tc>
      </w:tr>
      <w:tr w:rsidR="002A378E" w:rsidRPr="008B5651" w14:paraId="205662CC" w14:textId="77777777" w:rsidTr="00F15443">
        <w:trPr>
          <w:trHeight w:val="143"/>
        </w:trPr>
        <w:tc>
          <w:tcPr>
            <w:tcW w:w="1463" w:type="dxa"/>
            <w:vMerge w:val="restart"/>
            <w:tcBorders>
              <w:top w:val="single" w:sz="4" w:space="0" w:color="auto"/>
              <w:left w:val="nil"/>
              <w:bottom w:val="nil"/>
              <w:right w:val="nil"/>
            </w:tcBorders>
            <w:noWrap/>
            <w:vAlign w:val="center"/>
            <w:hideMark/>
          </w:tcPr>
          <w:p w14:paraId="744EEA1B" w14:textId="77777777" w:rsidR="002A378E" w:rsidRPr="00A30E3E" w:rsidRDefault="002A378E" w:rsidP="00DD431E">
            <w:pPr>
              <w:spacing w:after="0" w:line="240" w:lineRule="auto"/>
              <w:jc w:val="center"/>
              <w:rPr>
                <w:rFonts w:eastAsia="Times New Roman"/>
                <w:bCs/>
                <w:color w:val="000000"/>
                <w:sz w:val="22"/>
                <w:szCs w:val="20"/>
              </w:rPr>
            </w:pPr>
            <w:r>
              <w:t>Delay</w:t>
            </w:r>
          </w:p>
        </w:tc>
        <w:tc>
          <w:tcPr>
            <w:tcW w:w="2538" w:type="dxa"/>
            <w:tcBorders>
              <w:top w:val="single" w:sz="4" w:space="0" w:color="auto"/>
              <w:left w:val="nil"/>
              <w:bottom w:val="nil"/>
              <w:right w:val="nil"/>
            </w:tcBorders>
            <w:vAlign w:val="center"/>
            <w:hideMark/>
          </w:tcPr>
          <w:p w14:paraId="1277F4E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w:t>
            </w:r>
          </w:p>
        </w:tc>
        <w:tc>
          <w:tcPr>
            <w:tcW w:w="681" w:type="dxa"/>
            <w:tcBorders>
              <w:top w:val="single" w:sz="4" w:space="0" w:color="auto"/>
              <w:left w:val="nil"/>
              <w:bottom w:val="nil"/>
              <w:right w:val="nil"/>
            </w:tcBorders>
            <w:noWrap/>
            <w:vAlign w:val="bottom"/>
            <w:hideMark/>
          </w:tcPr>
          <w:p w14:paraId="1EFB6617"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1</w:t>
            </w:r>
          </w:p>
        </w:tc>
        <w:tc>
          <w:tcPr>
            <w:tcW w:w="1272" w:type="dxa"/>
            <w:tcBorders>
              <w:top w:val="single" w:sz="4" w:space="0" w:color="auto"/>
              <w:left w:val="nil"/>
              <w:bottom w:val="nil"/>
              <w:right w:val="nil"/>
            </w:tcBorders>
            <w:noWrap/>
            <w:vAlign w:val="bottom"/>
            <w:hideMark/>
          </w:tcPr>
          <w:p w14:paraId="2D8832DC"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21</w:t>
            </w:r>
          </w:p>
        </w:tc>
        <w:tc>
          <w:tcPr>
            <w:tcW w:w="850" w:type="dxa"/>
            <w:tcBorders>
              <w:top w:val="single" w:sz="4" w:space="0" w:color="auto"/>
              <w:left w:val="nil"/>
              <w:bottom w:val="nil"/>
              <w:right w:val="nil"/>
            </w:tcBorders>
            <w:noWrap/>
            <w:vAlign w:val="bottom"/>
            <w:hideMark/>
          </w:tcPr>
          <w:p w14:paraId="5D13E5BB"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33.186</w:t>
            </w:r>
          </w:p>
        </w:tc>
        <w:tc>
          <w:tcPr>
            <w:tcW w:w="1276" w:type="dxa"/>
            <w:tcBorders>
              <w:top w:val="single" w:sz="4" w:space="0" w:color="auto"/>
              <w:left w:val="nil"/>
              <w:bottom w:val="nil"/>
              <w:right w:val="nil"/>
            </w:tcBorders>
            <w:noWrap/>
            <w:vAlign w:val="center"/>
            <w:hideMark/>
          </w:tcPr>
          <w:p w14:paraId="5F611F88" w14:textId="77777777" w:rsidR="002A378E" w:rsidRPr="00C73FFF" w:rsidRDefault="0036796B" w:rsidP="00DD431E">
            <w:pPr>
              <w:spacing w:after="0" w:line="240" w:lineRule="auto"/>
              <w:jc w:val="center"/>
              <w:rPr>
                <w:rFonts w:eastAsia="Times New Roman"/>
                <w:bCs/>
                <w:i/>
                <w:iCs/>
                <w:sz w:val="18"/>
                <w:szCs w:val="18"/>
              </w:rPr>
            </w:pPr>
            <w:r w:rsidRPr="00C73FFF">
              <w:rPr>
                <w:rFonts w:eastAsia="Times New Roman"/>
                <w:i/>
                <w:sz w:val="18"/>
                <w:szCs w:val="20"/>
              </w:rPr>
              <w:t>p</w:t>
            </w:r>
            <w:r w:rsidRPr="00C73FFF">
              <w:rPr>
                <w:rFonts w:eastAsia="Times New Roman"/>
                <w:bCs/>
                <w:sz w:val="18"/>
                <w:szCs w:val="18"/>
              </w:rPr>
              <w:t xml:space="preserve"> </w:t>
            </w:r>
            <w:r w:rsidR="002A378E" w:rsidRPr="00C73FFF">
              <w:rPr>
                <w:rFonts w:eastAsia="Times New Roman"/>
                <w:bCs/>
                <w:sz w:val="18"/>
                <w:szCs w:val="18"/>
              </w:rPr>
              <w:t>&lt; .001</w:t>
            </w:r>
          </w:p>
        </w:tc>
        <w:tc>
          <w:tcPr>
            <w:tcW w:w="851" w:type="dxa"/>
            <w:tcBorders>
              <w:top w:val="single" w:sz="4" w:space="0" w:color="auto"/>
              <w:left w:val="nil"/>
              <w:bottom w:val="nil"/>
              <w:right w:val="nil"/>
            </w:tcBorders>
            <w:noWrap/>
            <w:vAlign w:val="bottom"/>
            <w:hideMark/>
          </w:tcPr>
          <w:p w14:paraId="2C039420"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w:t>
            </w:r>
            <w:r w:rsidR="0020277F" w:rsidRPr="008C2F99">
              <w:rPr>
                <w:rFonts w:eastAsia="Times New Roman"/>
                <w:sz w:val="18"/>
                <w:szCs w:val="18"/>
              </w:rPr>
              <w:t>612</w:t>
            </w:r>
          </w:p>
        </w:tc>
      </w:tr>
      <w:tr w:rsidR="002A378E" w:rsidRPr="008B5651" w14:paraId="48729C42" w14:textId="77777777" w:rsidTr="00710772">
        <w:trPr>
          <w:trHeight w:val="143"/>
        </w:trPr>
        <w:tc>
          <w:tcPr>
            <w:tcW w:w="1463" w:type="dxa"/>
            <w:vMerge/>
            <w:tcBorders>
              <w:top w:val="single" w:sz="4" w:space="0" w:color="auto"/>
              <w:left w:val="nil"/>
              <w:bottom w:val="nil"/>
              <w:right w:val="nil"/>
            </w:tcBorders>
            <w:vAlign w:val="center"/>
            <w:hideMark/>
          </w:tcPr>
          <w:p w14:paraId="2D18F76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31D8660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coherence</w:t>
            </w:r>
          </w:p>
        </w:tc>
        <w:tc>
          <w:tcPr>
            <w:tcW w:w="681" w:type="dxa"/>
            <w:tcBorders>
              <w:top w:val="nil"/>
              <w:left w:val="nil"/>
              <w:bottom w:val="nil"/>
              <w:right w:val="nil"/>
            </w:tcBorders>
            <w:noWrap/>
            <w:vAlign w:val="bottom"/>
            <w:hideMark/>
          </w:tcPr>
          <w:p w14:paraId="55CF60E1"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1.96</w:t>
            </w:r>
          </w:p>
        </w:tc>
        <w:tc>
          <w:tcPr>
            <w:tcW w:w="1272" w:type="dxa"/>
            <w:tcBorders>
              <w:top w:val="nil"/>
              <w:left w:val="nil"/>
              <w:bottom w:val="nil"/>
              <w:right w:val="nil"/>
            </w:tcBorders>
            <w:noWrap/>
            <w:vAlign w:val="bottom"/>
            <w:hideMark/>
          </w:tcPr>
          <w:p w14:paraId="0FC46A03"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41.15</w:t>
            </w:r>
          </w:p>
        </w:tc>
        <w:tc>
          <w:tcPr>
            <w:tcW w:w="850" w:type="dxa"/>
            <w:tcBorders>
              <w:top w:val="nil"/>
              <w:left w:val="nil"/>
              <w:bottom w:val="nil"/>
              <w:right w:val="nil"/>
            </w:tcBorders>
            <w:noWrap/>
            <w:vAlign w:val="bottom"/>
            <w:hideMark/>
          </w:tcPr>
          <w:p w14:paraId="7D23B97F"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3.361</w:t>
            </w:r>
          </w:p>
        </w:tc>
        <w:tc>
          <w:tcPr>
            <w:tcW w:w="1276" w:type="dxa"/>
            <w:tcBorders>
              <w:top w:val="nil"/>
              <w:left w:val="nil"/>
              <w:bottom w:val="nil"/>
              <w:right w:val="nil"/>
            </w:tcBorders>
            <w:noWrap/>
            <w:vAlign w:val="center"/>
            <w:hideMark/>
          </w:tcPr>
          <w:p w14:paraId="5E90371E" w14:textId="77777777" w:rsidR="002A378E" w:rsidRPr="00C73FFF" w:rsidRDefault="0036796B" w:rsidP="00DD431E">
            <w:pPr>
              <w:spacing w:after="0" w:line="240" w:lineRule="auto"/>
              <w:jc w:val="center"/>
              <w:rPr>
                <w:rFonts w:eastAsia="Times New Roman"/>
                <w:bCs/>
                <w:i/>
                <w:iCs/>
                <w:sz w:val="18"/>
                <w:szCs w:val="18"/>
              </w:rPr>
            </w:pPr>
            <w:r w:rsidRPr="00C73FFF">
              <w:rPr>
                <w:rFonts w:eastAsia="Times New Roman"/>
                <w:i/>
                <w:color w:val="1F4E9E"/>
                <w:sz w:val="18"/>
                <w:szCs w:val="20"/>
              </w:rPr>
              <w:t>p = .045</w:t>
            </w:r>
          </w:p>
        </w:tc>
        <w:tc>
          <w:tcPr>
            <w:tcW w:w="851" w:type="dxa"/>
            <w:tcBorders>
              <w:top w:val="nil"/>
              <w:left w:val="nil"/>
              <w:bottom w:val="nil"/>
              <w:right w:val="nil"/>
            </w:tcBorders>
            <w:noWrap/>
            <w:vAlign w:val="bottom"/>
          </w:tcPr>
          <w:p w14:paraId="5D9F6F03" w14:textId="77777777" w:rsidR="002A378E" w:rsidRPr="008C2F99" w:rsidRDefault="0020277F" w:rsidP="00DD431E">
            <w:pPr>
              <w:spacing w:after="0" w:line="240" w:lineRule="auto"/>
              <w:jc w:val="center"/>
              <w:rPr>
                <w:rFonts w:eastAsia="Times New Roman"/>
                <w:color w:val="000000"/>
                <w:sz w:val="18"/>
                <w:szCs w:val="18"/>
              </w:rPr>
            </w:pPr>
            <w:r w:rsidRPr="008C2F99">
              <w:rPr>
                <w:rFonts w:eastAsia="Times New Roman"/>
                <w:sz w:val="18"/>
                <w:szCs w:val="18"/>
              </w:rPr>
              <w:t>0.138</w:t>
            </w:r>
          </w:p>
        </w:tc>
      </w:tr>
      <w:tr w:rsidR="002A378E" w:rsidRPr="008B5651" w14:paraId="77082D02" w14:textId="77777777" w:rsidTr="00710772">
        <w:trPr>
          <w:trHeight w:val="143"/>
        </w:trPr>
        <w:tc>
          <w:tcPr>
            <w:tcW w:w="1463" w:type="dxa"/>
            <w:vMerge/>
            <w:tcBorders>
              <w:top w:val="single" w:sz="4" w:space="0" w:color="auto"/>
              <w:left w:val="nil"/>
              <w:bottom w:val="nil"/>
              <w:right w:val="nil"/>
            </w:tcBorders>
            <w:vAlign w:val="center"/>
            <w:hideMark/>
          </w:tcPr>
          <w:p w14:paraId="6FE16578"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34FE9019" w14:textId="77777777" w:rsidR="002A378E" w:rsidRPr="00A30E3E" w:rsidRDefault="002A378E" w:rsidP="00DD431E">
            <w:pPr>
              <w:spacing w:after="0" w:line="240" w:lineRule="auto"/>
              <w:jc w:val="center"/>
              <w:rPr>
                <w:rFonts w:eastAsia="Times New Roman"/>
                <w:color w:val="000000"/>
                <w:sz w:val="18"/>
                <w:szCs w:val="18"/>
              </w:rPr>
            </w:pPr>
            <w:r>
              <w:t>time, linear</w:t>
            </w:r>
          </w:p>
        </w:tc>
        <w:tc>
          <w:tcPr>
            <w:tcW w:w="681" w:type="dxa"/>
            <w:tcBorders>
              <w:top w:val="nil"/>
              <w:left w:val="nil"/>
              <w:bottom w:val="nil"/>
              <w:right w:val="nil"/>
            </w:tcBorders>
            <w:noWrap/>
            <w:vAlign w:val="bottom"/>
            <w:hideMark/>
          </w:tcPr>
          <w:p w14:paraId="24EAF151" w14:textId="77777777" w:rsidR="00205CBC" w:rsidRDefault="00000000">
            <w:r>
              <w:rPr>
                <w:color w:val="1F4E9E"/>
              </w:rPr>
              <w:t>1</w:t>
            </w:r>
          </w:p>
        </w:tc>
        <w:tc>
          <w:tcPr>
            <w:tcW w:w="1272" w:type="dxa"/>
            <w:tcBorders>
              <w:top w:val="nil"/>
              <w:left w:val="nil"/>
              <w:bottom w:val="nil"/>
              <w:right w:val="nil"/>
            </w:tcBorders>
            <w:noWrap/>
            <w:vAlign w:val="bottom"/>
            <w:hideMark/>
          </w:tcPr>
          <w:p w14:paraId="643868EB" w14:textId="77777777" w:rsidR="00205CBC" w:rsidRDefault="00000000">
            <w:r>
              <w:rPr>
                <w:color w:val="1F4E9E"/>
              </w:rPr>
              <w:t>21</w:t>
            </w:r>
          </w:p>
        </w:tc>
        <w:tc>
          <w:tcPr>
            <w:tcW w:w="850" w:type="dxa"/>
            <w:tcBorders>
              <w:top w:val="nil"/>
              <w:left w:val="nil"/>
              <w:bottom w:val="nil"/>
              <w:right w:val="nil"/>
            </w:tcBorders>
            <w:noWrap/>
            <w:vAlign w:val="bottom"/>
            <w:hideMark/>
          </w:tcPr>
          <w:p w14:paraId="631DFDEC" w14:textId="77777777" w:rsidR="00205CBC" w:rsidRDefault="00000000">
            <w:r>
              <w:rPr>
                <w:color w:val="1F4E9E"/>
              </w:rPr>
              <w:t>35.238</w:t>
            </w:r>
          </w:p>
        </w:tc>
        <w:tc>
          <w:tcPr>
            <w:tcW w:w="1276" w:type="dxa"/>
            <w:tcBorders>
              <w:top w:val="nil"/>
              <w:left w:val="nil"/>
              <w:bottom w:val="nil"/>
              <w:right w:val="nil"/>
            </w:tcBorders>
            <w:noWrap/>
            <w:vAlign w:val="center"/>
            <w:hideMark/>
          </w:tcPr>
          <w:p w14:paraId="10A33EEC" w14:textId="77777777" w:rsidR="00205CBC" w:rsidRDefault="00000000">
            <w:r>
              <w:t>p &lt; .001</w:t>
            </w:r>
          </w:p>
        </w:tc>
        <w:tc>
          <w:tcPr>
            <w:tcW w:w="851" w:type="dxa"/>
            <w:tcBorders>
              <w:top w:val="nil"/>
              <w:left w:val="nil"/>
              <w:bottom w:val="nil"/>
              <w:right w:val="nil"/>
            </w:tcBorders>
            <w:noWrap/>
            <w:vAlign w:val="bottom"/>
          </w:tcPr>
          <w:p w14:paraId="61B1A4B2" w14:textId="77777777" w:rsidR="00205CBC" w:rsidRDefault="00000000">
            <w:r>
              <w:rPr>
                <w:color w:val="1F4E9E"/>
              </w:rPr>
              <w:t>0.627</w:t>
            </w:r>
          </w:p>
        </w:tc>
      </w:tr>
      <w:tr w:rsidR="002A378E" w:rsidRPr="008B5651" w14:paraId="730FBFC5" w14:textId="77777777" w:rsidTr="00710772">
        <w:trPr>
          <w:trHeight w:val="143"/>
        </w:trPr>
        <w:tc>
          <w:tcPr>
            <w:tcW w:w="1463" w:type="dxa"/>
            <w:vMerge/>
            <w:tcBorders>
              <w:top w:val="single" w:sz="4" w:space="0" w:color="auto"/>
              <w:left w:val="nil"/>
              <w:bottom w:val="nil"/>
              <w:right w:val="nil"/>
            </w:tcBorders>
            <w:vAlign w:val="center"/>
            <w:hideMark/>
          </w:tcPr>
          <w:p w14:paraId="0FB39898"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7F1C43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 × coherence</w:t>
            </w:r>
          </w:p>
        </w:tc>
        <w:tc>
          <w:tcPr>
            <w:tcW w:w="681" w:type="dxa"/>
            <w:tcBorders>
              <w:top w:val="nil"/>
              <w:left w:val="nil"/>
              <w:bottom w:val="nil"/>
              <w:right w:val="nil"/>
            </w:tcBorders>
            <w:noWrap/>
            <w:vAlign w:val="bottom"/>
            <w:hideMark/>
          </w:tcPr>
          <w:p w14:paraId="1101CA14"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1.92</w:t>
            </w:r>
          </w:p>
        </w:tc>
        <w:tc>
          <w:tcPr>
            <w:tcW w:w="1272" w:type="dxa"/>
            <w:tcBorders>
              <w:top w:val="nil"/>
              <w:left w:val="nil"/>
              <w:bottom w:val="nil"/>
              <w:right w:val="nil"/>
            </w:tcBorders>
            <w:noWrap/>
            <w:vAlign w:val="bottom"/>
            <w:hideMark/>
          </w:tcPr>
          <w:p w14:paraId="0CB20F0D"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40.42</w:t>
            </w:r>
          </w:p>
        </w:tc>
        <w:tc>
          <w:tcPr>
            <w:tcW w:w="850" w:type="dxa"/>
            <w:tcBorders>
              <w:top w:val="nil"/>
              <w:left w:val="nil"/>
              <w:bottom w:val="nil"/>
              <w:right w:val="nil"/>
            </w:tcBorders>
            <w:noWrap/>
            <w:vAlign w:val="bottom"/>
            <w:hideMark/>
          </w:tcPr>
          <w:p w14:paraId="25F81887"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3.474</w:t>
            </w:r>
          </w:p>
        </w:tc>
        <w:tc>
          <w:tcPr>
            <w:tcW w:w="1276" w:type="dxa"/>
            <w:tcBorders>
              <w:top w:val="nil"/>
              <w:left w:val="nil"/>
              <w:bottom w:val="nil"/>
              <w:right w:val="nil"/>
            </w:tcBorders>
            <w:noWrap/>
            <w:vAlign w:val="center"/>
            <w:hideMark/>
          </w:tcPr>
          <w:p w14:paraId="39D1AC5D" w14:textId="77777777" w:rsidR="002A378E" w:rsidRPr="00C73FFF" w:rsidRDefault="0036796B" w:rsidP="00DD431E">
            <w:pPr>
              <w:spacing w:after="0" w:line="240" w:lineRule="auto"/>
              <w:jc w:val="center"/>
              <w:rPr>
                <w:rFonts w:eastAsia="Times New Roman"/>
                <w:bCs/>
                <w:i/>
                <w:iCs/>
                <w:sz w:val="18"/>
                <w:szCs w:val="18"/>
              </w:rPr>
            </w:pPr>
            <w:r w:rsidRPr="00C73FFF">
              <w:rPr>
                <w:rFonts w:eastAsia="Times New Roman"/>
                <w:i/>
                <w:color w:val="1F4E9E"/>
                <w:sz w:val="18"/>
                <w:szCs w:val="20"/>
              </w:rPr>
              <w:t>p = .042</w:t>
            </w:r>
          </w:p>
        </w:tc>
        <w:tc>
          <w:tcPr>
            <w:tcW w:w="851" w:type="dxa"/>
            <w:tcBorders>
              <w:top w:val="nil"/>
              <w:left w:val="nil"/>
              <w:bottom w:val="nil"/>
              <w:right w:val="nil"/>
            </w:tcBorders>
            <w:noWrap/>
            <w:vAlign w:val="bottom"/>
          </w:tcPr>
          <w:p w14:paraId="3BCE43E7" w14:textId="77777777" w:rsidR="002A378E" w:rsidRPr="008C2F99" w:rsidRDefault="0020277F" w:rsidP="00DD431E">
            <w:pPr>
              <w:spacing w:after="0" w:line="240" w:lineRule="auto"/>
              <w:jc w:val="center"/>
              <w:rPr>
                <w:rFonts w:eastAsia="Times New Roman"/>
                <w:color w:val="000000"/>
                <w:sz w:val="18"/>
                <w:szCs w:val="18"/>
              </w:rPr>
            </w:pPr>
            <w:r w:rsidRPr="008C2F99">
              <w:rPr>
                <w:rFonts w:eastAsia="Times New Roman"/>
                <w:sz w:val="18"/>
                <w:szCs w:val="18"/>
              </w:rPr>
              <w:t>0.142</w:t>
            </w:r>
          </w:p>
        </w:tc>
      </w:tr>
      <w:tr w:rsidR="002A378E" w:rsidRPr="008B5651" w14:paraId="784DF4DD" w14:textId="77777777" w:rsidTr="00710772">
        <w:trPr>
          <w:trHeight w:val="143"/>
        </w:trPr>
        <w:tc>
          <w:tcPr>
            <w:tcW w:w="1463" w:type="dxa"/>
            <w:vMerge/>
            <w:tcBorders>
              <w:top w:val="single" w:sz="4" w:space="0" w:color="auto"/>
              <w:left w:val="nil"/>
              <w:bottom w:val="nil"/>
              <w:right w:val="nil"/>
            </w:tcBorders>
            <w:vAlign w:val="center"/>
            <w:hideMark/>
          </w:tcPr>
          <w:p w14:paraId="3E3CD404"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3E9E6310" w14:textId="77777777" w:rsidR="002A378E" w:rsidRPr="00A30E3E" w:rsidRDefault="002A378E" w:rsidP="00DD431E">
            <w:pPr>
              <w:spacing w:after="0" w:line="240" w:lineRule="auto"/>
              <w:jc w:val="center"/>
              <w:rPr>
                <w:rFonts w:eastAsia="Times New Roman"/>
                <w:color w:val="000000"/>
                <w:sz w:val="18"/>
                <w:szCs w:val="18"/>
              </w:rPr>
            </w:pPr>
            <w:r>
              <w:t>duration × time, linear</w:t>
            </w:r>
          </w:p>
        </w:tc>
        <w:tc>
          <w:tcPr>
            <w:tcW w:w="681" w:type="dxa"/>
            <w:tcBorders>
              <w:top w:val="nil"/>
              <w:left w:val="nil"/>
              <w:bottom w:val="nil"/>
              <w:right w:val="nil"/>
            </w:tcBorders>
            <w:noWrap/>
            <w:vAlign w:val="bottom"/>
            <w:hideMark/>
          </w:tcPr>
          <w:p w14:paraId="5D4B2CD6" w14:textId="77777777" w:rsidR="00205CBC" w:rsidRDefault="00000000">
            <w:r>
              <w:rPr>
                <w:color w:val="1F4E9E"/>
              </w:rPr>
              <w:t>1</w:t>
            </w:r>
          </w:p>
        </w:tc>
        <w:tc>
          <w:tcPr>
            <w:tcW w:w="1272" w:type="dxa"/>
            <w:tcBorders>
              <w:top w:val="nil"/>
              <w:left w:val="nil"/>
              <w:bottom w:val="nil"/>
              <w:right w:val="nil"/>
            </w:tcBorders>
            <w:noWrap/>
            <w:vAlign w:val="bottom"/>
            <w:hideMark/>
          </w:tcPr>
          <w:p w14:paraId="2803E749" w14:textId="77777777" w:rsidR="00205CBC" w:rsidRDefault="00000000">
            <w:r>
              <w:rPr>
                <w:color w:val="1F4E9E"/>
              </w:rPr>
              <w:t>21</w:t>
            </w:r>
          </w:p>
        </w:tc>
        <w:tc>
          <w:tcPr>
            <w:tcW w:w="850" w:type="dxa"/>
            <w:tcBorders>
              <w:top w:val="nil"/>
              <w:left w:val="nil"/>
              <w:bottom w:val="nil"/>
              <w:right w:val="nil"/>
            </w:tcBorders>
            <w:noWrap/>
            <w:vAlign w:val="bottom"/>
            <w:hideMark/>
          </w:tcPr>
          <w:p w14:paraId="38CC9152" w14:textId="77777777" w:rsidR="00205CBC" w:rsidRDefault="00000000">
            <w:r>
              <w:rPr>
                <w:color w:val="1F4E9E"/>
              </w:rPr>
              <w:t>11.898</w:t>
            </w:r>
          </w:p>
        </w:tc>
        <w:tc>
          <w:tcPr>
            <w:tcW w:w="1276" w:type="dxa"/>
            <w:tcBorders>
              <w:top w:val="nil"/>
              <w:left w:val="nil"/>
              <w:bottom w:val="nil"/>
              <w:right w:val="nil"/>
            </w:tcBorders>
            <w:noWrap/>
            <w:vAlign w:val="center"/>
            <w:hideMark/>
          </w:tcPr>
          <w:p w14:paraId="1AEFBA4D" w14:textId="77777777" w:rsidR="00205CBC" w:rsidRDefault="00000000">
            <w:r>
              <w:rPr>
                <w:color w:val="1F4E9E"/>
              </w:rPr>
              <w:t>p = .002</w:t>
            </w:r>
          </w:p>
        </w:tc>
        <w:tc>
          <w:tcPr>
            <w:tcW w:w="851" w:type="dxa"/>
            <w:tcBorders>
              <w:top w:val="nil"/>
              <w:left w:val="nil"/>
              <w:bottom w:val="nil"/>
              <w:right w:val="nil"/>
            </w:tcBorders>
            <w:noWrap/>
            <w:vAlign w:val="bottom"/>
          </w:tcPr>
          <w:p w14:paraId="79CAE8B2" w14:textId="77777777" w:rsidR="00205CBC" w:rsidRDefault="00000000">
            <w:r>
              <w:rPr>
                <w:color w:val="1F4E9E"/>
              </w:rPr>
              <w:t>0.362</w:t>
            </w:r>
          </w:p>
        </w:tc>
      </w:tr>
      <w:tr w:rsidR="002A378E" w:rsidRPr="008B5651" w14:paraId="2A71F96B" w14:textId="77777777" w:rsidTr="00F15443">
        <w:trPr>
          <w:trHeight w:val="143"/>
        </w:trPr>
        <w:tc>
          <w:tcPr>
            <w:tcW w:w="1463" w:type="dxa"/>
            <w:vMerge/>
            <w:tcBorders>
              <w:top w:val="single" w:sz="4" w:space="0" w:color="auto"/>
              <w:left w:val="nil"/>
              <w:bottom w:val="nil"/>
              <w:right w:val="nil"/>
            </w:tcBorders>
            <w:vAlign w:val="center"/>
            <w:hideMark/>
          </w:tcPr>
          <w:p w14:paraId="61B7BA65"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6076951F" w14:textId="77777777" w:rsidR="002A378E" w:rsidRPr="00A30E3E" w:rsidRDefault="002A378E" w:rsidP="00DD431E">
            <w:pPr>
              <w:spacing w:after="0" w:line="240" w:lineRule="auto"/>
              <w:jc w:val="center"/>
              <w:rPr>
                <w:rFonts w:eastAsia="Times New Roman"/>
                <w:color w:val="000000"/>
                <w:sz w:val="18"/>
                <w:szCs w:val="18"/>
              </w:rPr>
            </w:pPr>
            <w:r>
              <w:t>coherence × time, linear</w:t>
            </w:r>
          </w:p>
        </w:tc>
        <w:tc>
          <w:tcPr>
            <w:tcW w:w="681" w:type="dxa"/>
            <w:tcBorders>
              <w:top w:val="nil"/>
              <w:left w:val="nil"/>
              <w:bottom w:val="nil"/>
              <w:right w:val="nil"/>
            </w:tcBorders>
            <w:noWrap/>
            <w:vAlign w:val="bottom"/>
            <w:hideMark/>
          </w:tcPr>
          <w:p w14:paraId="4043BDB3" w14:textId="77777777" w:rsidR="00205CBC" w:rsidRDefault="00000000">
            <w:r>
              <w:rPr>
                <w:color w:val="1F4E9E"/>
              </w:rPr>
              <w:t>1.70</w:t>
            </w:r>
          </w:p>
        </w:tc>
        <w:tc>
          <w:tcPr>
            <w:tcW w:w="1272" w:type="dxa"/>
            <w:tcBorders>
              <w:top w:val="nil"/>
              <w:left w:val="nil"/>
              <w:bottom w:val="nil"/>
              <w:right w:val="nil"/>
            </w:tcBorders>
            <w:noWrap/>
            <w:vAlign w:val="bottom"/>
            <w:hideMark/>
          </w:tcPr>
          <w:p w14:paraId="01D1440A" w14:textId="77777777" w:rsidR="00205CBC" w:rsidRDefault="00000000">
            <w:r>
              <w:rPr>
                <w:color w:val="1F4E9E"/>
              </w:rPr>
              <w:t>35.61</w:t>
            </w:r>
          </w:p>
        </w:tc>
        <w:tc>
          <w:tcPr>
            <w:tcW w:w="850" w:type="dxa"/>
            <w:tcBorders>
              <w:top w:val="nil"/>
              <w:left w:val="nil"/>
              <w:bottom w:val="nil"/>
              <w:right w:val="nil"/>
            </w:tcBorders>
            <w:noWrap/>
            <w:vAlign w:val="bottom"/>
            <w:hideMark/>
          </w:tcPr>
          <w:p w14:paraId="542BD619" w14:textId="77777777" w:rsidR="00205CBC" w:rsidRDefault="00000000">
            <w:r>
              <w:rPr>
                <w:color w:val="1F4E9E"/>
              </w:rPr>
              <w:t>0.524</w:t>
            </w:r>
          </w:p>
        </w:tc>
        <w:tc>
          <w:tcPr>
            <w:tcW w:w="1276" w:type="dxa"/>
            <w:tcBorders>
              <w:top w:val="nil"/>
              <w:left w:val="nil"/>
              <w:bottom w:val="nil"/>
              <w:right w:val="nil"/>
            </w:tcBorders>
            <w:noWrap/>
            <w:vAlign w:val="center"/>
            <w:hideMark/>
          </w:tcPr>
          <w:p w14:paraId="30C16C34" w14:textId="77777777" w:rsidR="00205CBC" w:rsidRDefault="00000000">
            <w:r>
              <w:rPr>
                <w:color w:val="1F4E9E"/>
              </w:rPr>
              <w:t>p = .567</w:t>
            </w:r>
          </w:p>
        </w:tc>
        <w:tc>
          <w:tcPr>
            <w:tcW w:w="851" w:type="dxa"/>
            <w:tcBorders>
              <w:top w:val="nil"/>
              <w:left w:val="nil"/>
              <w:bottom w:val="nil"/>
              <w:right w:val="nil"/>
            </w:tcBorders>
            <w:noWrap/>
            <w:vAlign w:val="bottom"/>
            <w:hideMark/>
          </w:tcPr>
          <w:p w14:paraId="0760DFAF" w14:textId="77777777" w:rsidR="00205CBC" w:rsidRDefault="00000000">
            <w:r>
              <w:rPr>
                <w:color w:val="1F4E9E"/>
              </w:rPr>
              <w:t>0.024</w:t>
            </w:r>
          </w:p>
        </w:tc>
      </w:tr>
      <w:tr w:rsidR="002A378E" w:rsidRPr="008B5651" w14:paraId="35BFC0B3" w14:textId="77777777" w:rsidTr="00F15443">
        <w:trPr>
          <w:trHeight w:val="143"/>
        </w:trPr>
        <w:tc>
          <w:tcPr>
            <w:tcW w:w="1463" w:type="dxa"/>
            <w:vMerge/>
            <w:tcBorders>
              <w:top w:val="single" w:sz="4" w:space="0" w:color="auto"/>
              <w:left w:val="nil"/>
              <w:bottom w:val="nil"/>
              <w:right w:val="nil"/>
            </w:tcBorders>
            <w:vAlign w:val="center"/>
            <w:hideMark/>
          </w:tcPr>
          <w:p w14:paraId="717A443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A985469" w14:textId="77777777" w:rsidR="002A378E" w:rsidRPr="00A30E3E" w:rsidRDefault="002A378E" w:rsidP="00DD431E">
            <w:pPr>
              <w:spacing w:after="0" w:line="240" w:lineRule="auto"/>
              <w:jc w:val="center"/>
              <w:rPr>
                <w:rFonts w:eastAsia="Times New Roman"/>
                <w:color w:val="000000"/>
                <w:sz w:val="18"/>
                <w:szCs w:val="18"/>
              </w:rPr>
            </w:pPr>
            <w:r>
              <w:t>duration × coherence × time, linear</w:t>
            </w:r>
          </w:p>
        </w:tc>
        <w:tc>
          <w:tcPr>
            <w:tcW w:w="681" w:type="dxa"/>
            <w:tcBorders>
              <w:top w:val="nil"/>
              <w:left w:val="nil"/>
              <w:bottom w:val="nil"/>
              <w:right w:val="nil"/>
            </w:tcBorders>
            <w:noWrap/>
            <w:vAlign w:val="center"/>
            <w:hideMark/>
          </w:tcPr>
          <w:p w14:paraId="40EB3D33" w14:textId="77777777" w:rsidR="00205CBC" w:rsidRDefault="00000000">
            <w:r>
              <w:rPr>
                <w:color w:val="1F4E9E"/>
              </w:rPr>
              <w:t>1.74</w:t>
            </w:r>
          </w:p>
        </w:tc>
        <w:tc>
          <w:tcPr>
            <w:tcW w:w="1272" w:type="dxa"/>
            <w:tcBorders>
              <w:top w:val="nil"/>
              <w:left w:val="nil"/>
              <w:bottom w:val="nil"/>
              <w:right w:val="nil"/>
            </w:tcBorders>
            <w:noWrap/>
            <w:vAlign w:val="center"/>
            <w:hideMark/>
          </w:tcPr>
          <w:p w14:paraId="1B97AD83" w14:textId="77777777" w:rsidR="00205CBC" w:rsidRDefault="00000000">
            <w:r>
              <w:rPr>
                <w:color w:val="1F4E9E"/>
              </w:rPr>
              <w:t>36.45</w:t>
            </w:r>
          </w:p>
        </w:tc>
        <w:tc>
          <w:tcPr>
            <w:tcW w:w="850" w:type="dxa"/>
            <w:tcBorders>
              <w:top w:val="nil"/>
              <w:left w:val="nil"/>
              <w:bottom w:val="nil"/>
              <w:right w:val="nil"/>
            </w:tcBorders>
            <w:noWrap/>
            <w:vAlign w:val="center"/>
            <w:hideMark/>
          </w:tcPr>
          <w:p w14:paraId="24E84838" w14:textId="77777777" w:rsidR="00205CBC" w:rsidRDefault="00000000">
            <w:r>
              <w:rPr>
                <w:color w:val="1F4E9E"/>
              </w:rPr>
              <w:t>0.508</w:t>
            </w:r>
          </w:p>
        </w:tc>
        <w:tc>
          <w:tcPr>
            <w:tcW w:w="1276" w:type="dxa"/>
            <w:tcBorders>
              <w:top w:val="nil"/>
              <w:left w:val="nil"/>
              <w:bottom w:val="nil"/>
              <w:right w:val="nil"/>
            </w:tcBorders>
            <w:noWrap/>
            <w:vAlign w:val="center"/>
            <w:hideMark/>
          </w:tcPr>
          <w:p w14:paraId="7E2746B6" w14:textId="77777777" w:rsidR="00205CBC" w:rsidRDefault="00000000">
            <w:r>
              <w:rPr>
                <w:color w:val="1F4E9E"/>
              </w:rPr>
              <w:t>p = .580</w:t>
            </w:r>
          </w:p>
        </w:tc>
        <w:tc>
          <w:tcPr>
            <w:tcW w:w="851" w:type="dxa"/>
            <w:tcBorders>
              <w:top w:val="nil"/>
              <w:left w:val="nil"/>
              <w:bottom w:val="nil"/>
              <w:right w:val="nil"/>
            </w:tcBorders>
            <w:noWrap/>
            <w:vAlign w:val="bottom"/>
            <w:hideMark/>
          </w:tcPr>
          <w:p w14:paraId="43D0A110" w14:textId="77777777" w:rsidR="00205CBC" w:rsidRDefault="00000000">
            <w:r>
              <w:rPr>
                <w:color w:val="1F4E9E"/>
              </w:rPr>
              <w:t>0.024</w:t>
            </w:r>
          </w:p>
        </w:tc>
      </w:tr>
      <w:tr w:rsidR="002A378E" w:rsidRPr="008B5651" w14:paraId="35BFC0B3" w14:textId="77777777" w:rsidTr="00F15443">
        <w:trPr>
          <w:trHeight w:val="143"/>
        </w:trPr>
        <w:tc>
          <w:tcPr>
            <w:tcW w:w="1463" w:type="dxa"/>
            <w:vMerge/>
            <w:tcBorders>
              <w:top w:val="single" w:sz="4" w:space="0" w:color="auto"/>
              <w:left w:val="nil"/>
              <w:bottom w:val="nil"/>
              <w:right w:val="nil"/>
            </w:tcBorders>
            <w:vAlign w:val="center"/>
            <w:hideMark/>
          </w:tcPr>
          <w:p w14:paraId="717A443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A985469" w14:textId="77777777" w:rsidR="002A378E" w:rsidRPr="00A30E3E" w:rsidRDefault="002A378E" w:rsidP="00DD431E">
            <w:pPr>
              <w:spacing w:after="0" w:line="240" w:lineRule="auto"/>
              <w:jc w:val="center"/>
              <w:rPr>
                <w:rFonts w:eastAsia="Times New Roman"/>
                <w:color w:val="000000"/>
                <w:sz w:val="18"/>
                <w:szCs w:val="18"/>
              </w:rPr>
            </w:pPr>
            <w:r>
              <w:t>time, quadratic</w:t>
            </w:r>
          </w:p>
        </w:tc>
        <w:tc>
          <w:tcPr>
            <w:tcW w:w="681" w:type="dxa"/>
            <w:tcBorders>
              <w:top w:val="nil"/>
              <w:left w:val="nil"/>
              <w:bottom w:val="nil"/>
              <w:right w:val="nil"/>
            </w:tcBorders>
            <w:noWrap/>
            <w:vAlign w:val="center"/>
            <w:hideMark/>
          </w:tcPr>
          <w:p w14:paraId="40EB3D33" w14:textId="77777777" w:rsidR="00205CBC" w:rsidRDefault="00000000">
            <w:r>
              <w:rPr>
                <w:color w:val="1F4E9E"/>
              </w:rPr>
              <w:t>1</w:t>
            </w:r>
          </w:p>
        </w:tc>
        <w:tc>
          <w:tcPr>
            <w:tcW w:w="1272" w:type="dxa"/>
            <w:tcBorders>
              <w:top w:val="nil"/>
              <w:left w:val="nil"/>
              <w:bottom w:val="nil"/>
              <w:right w:val="nil"/>
            </w:tcBorders>
            <w:noWrap/>
            <w:vAlign w:val="center"/>
            <w:hideMark/>
          </w:tcPr>
          <w:p w14:paraId="1B97AD83" w14:textId="77777777" w:rsidR="00205CBC" w:rsidRDefault="00000000">
            <w:r>
              <w:rPr>
                <w:color w:val="1F4E9E"/>
              </w:rPr>
              <w:t>21</w:t>
            </w:r>
          </w:p>
        </w:tc>
        <w:tc>
          <w:tcPr>
            <w:tcW w:w="850" w:type="dxa"/>
            <w:tcBorders>
              <w:top w:val="nil"/>
              <w:left w:val="nil"/>
              <w:bottom w:val="nil"/>
              <w:right w:val="nil"/>
            </w:tcBorders>
            <w:noWrap/>
            <w:vAlign w:val="center"/>
            <w:hideMark/>
          </w:tcPr>
          <w:p w14:paraId="24E84838" w14:textId="77777777" w:rsidR="00205CBC" w:rsidRDefault="00000000">
            <w:r>
              <w:t>18.891</w:t>
            </w:r>
          </w:p>
        </w:tc>
        <w:tc>
          <w:tcPr>
            <w:tcW w:w="1276" w:type="dxa"/>
            <w:tcBorders>
              <w:top w:val="nil"/>
              <w:left w:val="nil"/>
              <w:bottom w:val="nil"/>
              <w:right w:val="nil"/>
            </w:tcBorders>
            <w:noWrap/>
            <w:vAlign w:val="center"/>
            <w:hideMark/>
          </w:tcPr>
          <w:p w14:paraId="7E2746B6" w14:textId="77777777" w:rsidR="00205CBC" w:rsidRDefault="00000000">
            <w:r>
              <w:t>p &lt; .001</w:t>
            </w:r>
          </w:p>
        </w:tc>
        <w:tc>
          <w:tcPr>
            <w:tcW w:w="851" w:type="dxa"/>
            <w:tcBorders>
              <w:top w:val="nil"/>
              <w:left w:val="nil"/>
              <w:bottom w:val="nil"/>
              <w:right w:val="nil"/>
            </w:tcBorders>
            <w:noWrap/>
            <w:vAlign w:val="bottom"/>
            <w:hideMark/>
          </w:tcPr>
          <w:p w14:paraId="43D0A110" w14:textId="77777777" w:rsidR="00205CBC" w:rsidRDefault="00000000">
            <w:r>
              <w:t>0.474</w:t>
            </w:r>
          </w:p>
        </w:tc>
      </w:tr>
      <w:tr w:rsidR="002A378E" w:rsidRPr="008B5651" w14:paraId="35BFC0B3" w14:textId="77777777" w:rsidTr="00F15443">
        <w:trPr>
          <w:trHeight w:val="143"/>
        </w:trPr>
        <w:tc>
          <w:tcPr>
            <w:tcW w:w="1463" w:type="dxa"/>
            <w:vMerge/>
            <w:tcBorders>
              <w:top w:val="single" w:sz="4" w:space="0" w:color="auto"/>
              <w:left w:val="nil"/>
              <w:bottom w:val="nil"/>
              <w:right w:val="nil"/>
            </w:tcBorders>
            <w:vAlign w:val="center"/>
            <w:hideMark/>
          </w:tcPr>
          <w:p w14:paraId="717A443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A985469" w14:textId="77777777" w:rsidR="002A378E" w:rsidRPr="00A30E3E" w:rsidRDefault="002A378E" w:rsidP="00DD431E">
            <w:pPr>
              <w:spacing w:after="0" w:line="240" w:lineRule="auto"/>
              <w:jc w:val="center"/>
              <w:rPr>
                <w:rFonts w:eastAsia="Times New Roman"/>
                <w:color w:val="000000"/>
                <w:sz w:val="18"/>
                <w:szCs w:val="18"/>
              </w:rPr>
            </w:pPr>
            <w:r>
              <w:t>duration × time, quadratic</w:t>
            </w:r>
          </w:p>
        </w:tc>
        <w:tc>
          <w:tcPr>
            <w:tcW w:w="681" w:type="dxa"/>
            <w:tcBorders>
              <w:top w:val="nil"/>
              <w:left w:val="nil"/>
              <w:bottom w:val="nil"/>
              <w:right w:val="nil"/>
            </w:tcBorders>
            <w:noWrap/>
            <w:vAlign w:val="center"/>
            <w:hideMark/>
          </w:tcPr>
          <w:p w14:paraId="40EB3D33" w14:textId="77777777" w:rsidR="00205CBC" w:rsidRDefault="00000000">
            <w:r>
              <w:rPr>
                <w:color w:val="1F4E9E"/>
              </w:rPr>
              <w:t>1</w:t>
            </w:r>
          </w:p>
        </w:tc>
        <w:tc>
          <w:tcPr>
            <w:tcW w:w="1272" w:type="dxa"/>
            <w:tcBorders>
              <w:top w:val="nil"/>
              <w:left w:val="nil"/>
              <w:bottom w:val="nil"/>
              <w:right w:val="nil"/>
            </w:tcBorders>
            <w:noWrap/>
            <w:vAlign w:val="center"/>
            <w:hideMark/>
          </w:tcPr>
          <w:p w14:paraId="1B97AD83" w14:textId="77777777" w:rsidR="00205CBC" w:rsidRDefault="00000000">
            <w:r>
              <w:rPr>
                <w:color w:val="1F4E9E"/>
              </w:rPr>
              <w:t>21</w:t>
            </w:r>
          </w:p>
        </w:tc>
        <w:tc>
          <w:tcPr>
            <w:tcW w:w="850" w:type="dxa"/>
            <w:tcBorders>
              <w:top w:val="nil"/>
              <w:left w:val="nil"/>
              <w:bottom w:val="nil"/>
              <w:right w:val="nil"/>
            </w:tcBorders>
            <w:noWrap/>
            <w:vAlign w:val="center"/>
            <w:hideMark/>
          </w:tcPr>
          <w:p w14:paraId="24E84838" w14:textId="77777777" w:rsidR="00205CBC" w:rsidRDefault="00000000">
            <w:r>
              <w:t>0.751</w:t>
            </w:r>
          </w:p>
        </w:tc>
        <w:tc>
          <w:tcPr>
            <w:tcW w:w="1276" w:type="dxa"/>
            <w:tcBorders>
              <w:top w:val="nil"/>
              <w:left w:val="nil"/>
              <w:bottom w:val="nil"/>
              <w:right w:val="nil"/>
            </w:tcBorders>
            <w:noWrap/>
            <w:vAlign w:val="center"/>
            <w:hideMark/>
          </w:tcPr>
          <w:p w14:paraId="7E2746B6" w14:textId="77777777" w:rsidR="00205CBC" w:rsidRDefault="00000000">
            <w:r>
              <w:t>p = .396</w:t>
            </w:r>
          </w:p>
        </w:tc>
        <w:tc>
          <w:tcPr>
            <w:tcW w:w="851" w:type="dxa"/>
            <w:tcBorders>
              <w:top w:val="nil"/>
              <w:left w:val="nil"/>
              <w:bottom w:val="nil"/>
              <w:right w:val="nil"/>
            </w:tcBorders>
            <w:noWrap/>
            <w:vAlign w:val="bottom"/>
            <w:hideMark/>
          </w:tcPr>
          <w:p w14:paraId="43D0A110" w14:textId="77777777" w:rsidR="00205CBC" w:rsidRDefault="00000000">
            <w:r>
              <w:t>0.035</w:t>
            </w:r>
          </w:p>
        </w:tc>
      </w:tr>
      <w:tr w:rsidR="002A378E" w:rsidRPr="008B5651" w14:paraId="35BFC0B3" w14:textId="77777777" w:rsidTr="00F15443">
        <w:trPr>
          <w:trHeight w:val="143"/>
        </w:trPr>
        <w:tc>
          <w:tcPr>
            <w:tcW w:w="1463" w:type="dxa"/>
            <w:vMerge/>
            <w:tcBorders>
              <w:top w:val="single" w:sz="4" w:space="0" w:color="auto"/>
              <w:left w:val="nil"/>
              <w:bottom w:val="nil"/>
              <w:right w:val="nil"/>
            </w:tcBorders>
            <w:vAlign w:val="center"/>
            <w:hideMark/>
          </w:tcPr>
          <w:p w14:paraId="717A443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A985469" w14:textId="77777777" w:rsidR="002A378E" w:rsidRPr="00A30E3E" w:rsidRDefault="002A378E" w:rsidP="00DD431E">
            <w:pPr>
              <w:spacing w:after="0" w:line="240" w:lineRule="auto"/>
              <w:jc w:val="center"/>
              <w:rPr>
                <w:rFonts w:eastAsia="Times New Roman"/>
                <w:color w:val="000000"/>
                <w:sz w:val="18"/>
                <w:szCs w:val="18"/>
              </w:rPr>
            </w:pPr>
            <w:r>
              <w:t>coherence × time, quadratic</w:t>
            </w:r>
          </w:p>
        </w:tc>
        <w:tc>
          <w:tcPr>
            <w:tcW w:w="681" w:type="dxa"/>
            <w:tcBorders>
              <w:top w:val="nil"/>
              <w:left w:val="nil"/>
              <w:bottom w:val="nil"/>
              <w:right w:val="nil"/>
            </w:tcBorders>
            <w:noWrap/>
            <w:vAlign w:val="center"/>
            <w:hideMark/>
          </w:tcPr>
          <w:p w14:paraId="40EB3D33" w14:textId="77777777" w:rsidR="00205CBC" w:rsidRDefault="00000000">
            <w:r>
              <w:t>1.95</w:t>
            </w:r>
          </w:p>
        </w:tc>
        <w:tc>
          <w:tcPr>
            <w:tcW w:w="1272" w:type="dxa"/>
            <w:tcBorders>
              <w:top w:val="nil"/>
              <w:left w:val="nil"/>
              <w:bottom w:val="nil"/>
              <w:right w:val="nil"/>
            </w:tcBorders>
            <w:noWrap/>
            <w:vAlign w:val="center"/>
            <w:hideMark/>
          </w:tcPr>
          <w:p w14:paraId="1B97AD83" w14:textId="77777777" w:rsidR="00205CBC" w:rsidRDefault="00000000">
            <w:r>
              <w:t>40.89</w:t>
            </w:r>
          </w:p>
        </w:tc>
        <w:tc>
          <w:tcPr>
            <w:tcW w:w="850" w:type="dxa"/>
            <w:tcBorders>
              <w:top w:val="nil"/>
              <w:left w:val="nil"/>
              <w:bottom w:val="nil"/>
              <w:right w:val="nil"/>
            </w:tcBorders>
            <w:noWrap/>
            <w:vAlign w:val="center"/>
            <w:hideMark/>
          </w:tcPr>
          <w:p w14:paraId="24E84838" w14:textId="77777777" w:rsidR="00205CBC" w:rsidRDefault="00000000">
            <w:r>
              <w:t>1.855</w:t>
            </w:r>
          </w:p>
        </w:tc>
        <w:tc>
          <w:tcPr>
            <w:tcW w:w="1276" w:type="dxa"/>
            <w:tcBorders>
              <w:top w:val="nil"/>
              <w:left w:val="nil"/>
              <w:bottom w:val="nil"/>
              <w:right w:val="nil"/>
            </w:tcBorders>
            <w:noWrap/>
            <w:vAlign w:val="center"/>
            <w:hideMark/>
          </w:tcPr>
          <w:p w14:paraId="7E2746B6" w14:textId="77777777" w:rsidR="00205CBC" w:rsidRDefault="00000000">
            <w:r>
              <w:t>p = .170</w:t>
            </w:r>
          </w:p>
        </w:tc>
        <w:tc>
          <w:tcPr>
            <w:tcW w:w="851" w:type="dxa"/>
            <w:tcBorders>
              <w:top w:val="nil"/>
              <w:left w:val="nil"/>
              <w:bottom w:val="nil"/>
              <w:right w:val="nil"/>
            </w:tcBorders>
            <w:noWrap/>
            <w:vAlign w:val="bottom"/>
            <w:hideMark/>
          </w:tcPr>
          <w:p w14:paraId="43D0A110" w14:textId="77777777" w:rsidR="00205CBC" w:rsidRDefault="00000000">
            <w:r>
              <w:t>0.081</w:t>
            </w:r>
          </w:p>
        </w:tc>
      </w:tr>
      <w:tr w:rsidR="002A378E" w:rsidRPr="008B5651" w14:paraId="35BFC0B3" w14:textId="77777777" w:rsidTr="00F15443">
        <w:trPr>
          <w:trHeight w:val="143"/>
        </w:trPr>
        <w:tc>
          <w:tcPr>
            <w:tcW w:w="1463" w:type="dxa"/>
            <w:vMerge/>
            <w:tcBorders>
              <w:top w:val="single" w:sz="4" w:space="0" w:color="auto"/>
              <w:left w:val="nil"/>
              <w:bottom w:val="nil"/>
              <w:right w:val="nil"/>
            </w:tcBorders>
            <w:vAlign w:val="center"/>
            <w:hideMark/>
          </w:tcPr>
          <w:p w14:paraId="717A443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A985469" w14:textId="77777777" w:rsidR="002A378E" w:rsidRPr="00A30E3E" w:rsidRDefault="002A378E" w:rsidP="00DD431E">
            <w:pPr>
              <w:spacing w:after="0" w:line="240" w:lineRule="auto"/>
              <w:jc w:val="center"/>
              <w:rPr>
                <w:rFonts w:eastAsia="Times New Roman"/>
                <w:color w:val="000000"/>
                <w:sz w:val="18"/>
                <w:szCs w:val="18"/>
              </w:rPr>
            </w:pPr>
            <w:r>
              <w:t>duration × coherence × time, quadratic</w:t>
            </w:r>
          </w:p>
        </w:tc>
        <w:tc>
          <w:tcPr>
            <w:tcW w:w="681" w:type="dxa"/>
            <w:tcBorders>
              <w:top w:val="nil"/>
              <w:left w:val="nil"/>
              <w:bottom w:val="nil"/>
              <w:right w:val="nil"/>
            </w:tcBorders>
            <w:noWrap/>
            <w:vAlign w:val="center"/>
            <w:hideMark/>
          </w:tcPr>
          <w:p w14:paraId="40EB3D33" w14:textId="77777777" w:rsidR="00205CBC" w:rsidRDefault="00000000">
            <w:r>
              <w:t>1.86</w:t>
            </w:r>
          </w:p>
        </w:tc>
        <w:tc>
          <w:tcPr>
            <w:tcW w:w="1272" w:type="dxa"/>
            <w:tcBorders>
              <w:top w:val="nil"/>
              <w:left w:val="nil"/>
              <w:bottom w:val="nil"/>
              <w:right w:val="nil"/>
            </w:tcBorders>
            <w:noWrap/>
            <w:vAlign w:val="center"/>
            <w:hideMark/>
          </w:tcPr>
          <w:p w14:paraId="1B97AD83" w14:textId="77777777" w:rsidR="00205CBC" w:rsidRDefault="00000000">
            <w:r>
              <w:t>39.04</w:t>
            </w:r>
          </w:p>
        </w:tc>
        <w:tc>
          <w:tcPr>
            <w:tcW w:w="850" w:type="dxa"/>
            <w:tcBorders>
              <w:top w:val="nil"/>
              <w:left w:val="nil"/>
              <w:bottom w:val="nil"/>
              <w:right w:val="nil"/>
            </w:tcBorders>
            <w:noWrap/>
            <w:vAlign w:val="center"/>
            <w:hideMark/>
          </w:tcPr>
          <w:p w14:paraId="24E84838" w14:textId="77777777" w:rsidR="00205CBC" w:rsidRDefault="00000000">
            <w:r>
              <w:t>0.946</w:t>
            </w:r>
          </w:p>
        </w:tc>
        <w:tc>
          <w:tcPr>
            <w:tcW w:w="1276" w:type="dxa"/>
            <w:tcBorders>
              <w:top w:val="nil"/>
              <w:left w:val="nil"/>
              <w:bottom w:val="nil"/>
              <w:right w:val="nil"/>
            </w:tcBorders>
            <w:noWrap/>
            <w:vAlign w:val="center"/>
            <w:hideMark/>
          </w:tcPr>
          <w:p w14:paraId="7E2746B6" w14:textId="77777777" w:rsidR="00205CBC" w:rsidRDefault="00000000">
            <w:r>
              <w:t>p = .391</w:t>
            </w:r>
          </w:p>
        </w:tc>
        <w:tc>
          <w:tcPr>
            <w:tcW w:w="851" w:type="dxa"/>
            <w:tcBorders>
              <w:top w:val="nil"/>
              <w:left w:val="nil"/>
              <w:bottom w:val="nil"/>
              <w:right w:val="nil"/>
            </w:tcBorders>
            <w:noWrap/>
            <w:vAlign w:val="bottom"/>
            <w:hideMark/>
          </w:tcPr>
          <w:p w14:paraId="43D0A110" w14:textId="77777777" w:rsidR="00205CBC" w:rsidRDefault="00000000">
            <w:r>
              <w:t>0.043</w:t>
            </w:r>
          </w:p>
        </w:tc>
      </w:tr>
      <w:tr w:rsidR="002A378E" w:rsidRPr="008B5651" w14:paraId="7574CA88" w14:textId="77777777" w:rsidTr="00F15443">
        <w:trPr>
          <w:trHeight w:val="143"/>
        </w:trPr>
        <w:tc>
          <w:tcPr>
            <w:tcW w:w="1463" w:type="dxa"/>
            <w:tcBorders>
              <w:top w:val="nil"/>
              <w:left w:val="nil"/>
              <w:bottom w:val="nil"/>
              <w:right w:val="nil"/>
            </w:tcBorders>
            <w:noWrap/>
            <w:vAlign w:val="bottom"/>
            <w:hideMark/>
          </w:tcPr>
          <w:p w14:paraId="18505D5C" w14:textId="77777777" w:rsidR="002A378E" w:rsidRPr="00A30E3E" w:rsidRDefault="002A378E" w:rsidP="00DD431E">
            <w:pPr>
              <w:spacing w:after="0" w:line="240" w:lineRule="auto"/>
              <w:jc w:val="center"/>
              <w:rPr>
                <w:rFonts w:eastAsia="Times New Roman"/>
                <w:sz w:val="22"/>
                <w:szCs w:val="20"/>
              </w:rPr>
            </w:pPr>
          </w:p>
        </w:tc>
        <w:tc>
          <w:tcPr>
            <w:tcW w:w="2538" w:type="dxa"/>
            <w:tcBorders>
              <w:top w:val="nil"/>
              <w:left w:val="nil"/>
              <w:bottom w:val="nil"/>
              <w:right w:val="nil"/>
            </w:tcBorders>
            <w:vAlign w:val="bottom"/>
            <w:hideMark/>
          </w:tcPr>
          <w:p w14:paraId="5E1A4D17" w14:textId="77777777" w:rsidR="002A378E" w:rsidRPr="00A30E3E" w:rsidRDefault="002A378E" w:rsidP="00DD431E">
            <w:pPr>
              <w:spacing w:after="0" w:line="240" w:lineRule="auto"/>
              <w:jc w:val="center"/>
              <w:rPr>
                <w:rFonts w:eastAsia="Times New Roman"/>
                <w:sz w:val="18"/>
                <w:szCs w:val="18"/>
              </w:rPr>
            </w:pPr>
          </w:p>
        </w:tc>
        <w:tc>
          <w:tcPr>
            <w:tcW w:w="681" w:type="dxa"/>
            <w:tcBorders>
              <w:top w:val="nil"/>
              <w:left w:val="nil"/>
              <w:bottom w:val="nil"/>
              <w:right w:val="nil"/>
            </w:tcBorders>
            <w:noWrap/>
            <w:vAlign w:val="bottom"/>
            <w:hideMark/>
          </w:tcPr>
          <w:p w14:paraId="320C4DD0" w14:textId="77777777" w:rsidR="002A378E" w:rsidRPr="008C2F99" w:rsidRDefault="002A378E" w:rsidP="00DD431E">
            <w:pPr>
              <w:spacing w:after="0" w:line="240" w:lineRule="auto"/>
              <w:jc w:val="center"/>
              <w:rPr>
                <w:rFonts w:eastAsia="Times New Roman"/>
                <w:sz w:val="18"/>
                <w:szCs w:val="18"/>
              </w:rPr>
            </w:pPr>
          </w:p>
        </w:tc>
        <w:tc>
          <w:tcPr>
            <w:tcW w:w="1272" w:type="dxa"/>
            <w:tcBorders>
              <w:top w:val="nil"/>
              <w:left w:val="nil"/>
              <w:bottom w:val="nil"/>
              <w:right w:val="nil"/>
            </w:tcBorders>
            <w:noWrap/>
            <w:vAlign w:val="bottom"/>
            <w:hideMark/>
          </w:tcPr>
          <w:p w14:paraId="1D11F1F7" w14:textId="77777777" w:rsidR="002A378E" w:rsidRPr="008C2F99" w:rsidRDefault="002A378E" w:rsidP="00DD431E">
            <w:pPr>
              <w:spacing w:after="0" w:line="240" w:lineRule="auto"/>
              <w:jc w:val="center"/>
              <w:rPr>
                <w:rFonts w:eastAsia="Times New Roman"/>
                <w:sz w:val="18"/>
                <w:szCs w:val="18"/>
              </w:rPr>
            </w:pPr>
          </w:p>
        </w:tc>
        <w:tc>
          <w:tcPr>
            <w:tcW w:w="850" w:type="dxa"/>
            <w:tcBorders>
              <w:top w:val="nil"/>
              <w:left w:val="nil"/>
              <w:bottom w:val="nil"/>
              <w:right w:val="nil"/>
            </w:tcBorders>
            <w:noWrap/>
            <w:vAlign w:val="bottom"/>
            <w:hideMark/>
          </w:tcPr>
          <w:p w14:paraId="547C5C8F" w14:textId="77777777" w:rsidR="002A378E" w:rsidRPr="008C2F99" w:rsidRDefault="002A378E" w:rsidP="00DD431E">
            <w:pPr>
              <w:spacing w:after="0" w:line="240" w:lineRule="auto"/>
              <w:jc w:val="center"/>
              <w:rPr>
                <w:rFonts w:eastAsia="Times New Roman"/>
                <w:sz w:val="18"/>
                <w:szCs w:val="18"/>
              </w:rPr>
            </w:pPr>
          </w:p>
        </w:tc>
        <w:tc>
          <w:tcPr>
            <w:tcW w:w="1276" w:type="dxa"/>
            <w:tcBorders>
              <w:top w:val="nil"/>
              <w:left w:val="nil"/>
              <w:bottom w:val="single" w:sz="4" w:space="0" w:color="000000" w:themeColor="text1"/>
              <w:right w:val="nil"/>
            </w:tcBorders>
            <w:noWrap/>
            <w:vAlign w:val="bottom"/>
            <w:hideMark/>
          </w:tcPr>
          <w:p w14:paraId="41F7ACE5" w14:textId="77777777" w:rsidR="002A378E" w:rsidRPr="008C2F99" w:rsidRDefault="002A378E" w:rsidP="00DD431E">
            <w:pPr>
              <w:spacing w:after="0" w:line="240" w:lineRule="auto"/>
              <w:jc w:val="center"/>
              <w:rPr>
                <w:rFonts w:eastAsia="Times New Roman"/>
                <w:sz w:val="18"/>
                <w:szCs w:val="18"/>
              </w:rPr>
            </w:pPr>
          </w:p>
        </w:tc>
        <w:tc>
          <w:tcPr>
            <w:tcW w:w="851" w:type="dxa"/>
            <w:tcBorders>
              <w:top w:val="nil"/>
              <w:left w:val="nil"/>
              <w:bottom w:val="nil"/>
              <w:right w:val="nil"/>
            </w:tcBorders>
            <w:noWrap/>
            <w:vAlign w:val="bottom"/>
            <w:hideMark/>
          </w:tcPr>
          <w:p w14:paraId="55B0A9F4" w14:textId="77777777" w:rsidR="002A378E" w:rsidRPr="008C2F99" w:rsidRDefault="002A378E" w:rsidP="00DD431E">
            <w:pPr>
              <w:spacing w:after="0" w:line="240" w:lineRule="auto"/>
              <w:jc w:val="center"/>
              <w:rPr>
                <w:rFonts w:eastAsia="Times New Roman"/>
                <w:sz w:val="18"/>
                <w:szCs w:val="18"/>
              </w:rPr>
            </w:pPr>
          </w:p>
        </w:tc>
      </w:tr>
      <w:tr w:rsidR="002A378E" w:rsidRPr="008B5651" w14:paraId="1A63A9FF" w14:textId="77777777" w:rsidTr="00F15443">
        <w:trPr>
          <w:trHeight w:val="143"/>
        </w:trPr>
        <w:tc>
          <w:tcPr>
            <w:tcW w:w="1463" w:type="dxa"/>
            <w:vMerge w:val="restart"/>
            <w:tcBorders>
              <w:top w:val="single" w:sz="4" w:space="0" w:color="auto"/>
              <w:left w:val="nil"/>
              <w:bottom w:val="nil"/>
              <w:right w:val="nil"/>
            </w:tcBorders>
            <w:noWrap/>
            <w:vAlign w:val="center"/>
            <w:hideMark/>
          </w:tcPr>
          <w:p w14:paraId="1C8ABBE5" w14:textId="77777777" w:rsidR="002A378E" w:rsidRPr="00A30E3E" w:rsidRDefault="0089064B" w:rsidP="00DD431E">
            <w:pPr>
              <w:spacing w:after="0" w:line="240" w:lineRule="auto"/>
              <w:jc w:val="center"/>
              <w:rPr>
                <w:rFonts w:eastAsia="Times New Roman"/>
                <w:bCs/>
                <w:color w:val="000000"/>
                <w:sz w:val="22"/>
                <w:szCs w:val="20"/>
              </w:rPr>
            </w:pPr>
            <w:r w:rsidRPr="00A30E3E">
              <w:rPr>
                <w:rFonts w:eastAsia="Times New Roman"/>
                <w:bCs/>
                <w:sz w:val="22"/>
                <w:szCs w:val="20"/>
              </w:rPr>
              <w:t>Response signal</w:t>
            </w:r>
          </w:p>
        </w:tc>
        <w:tc>
          <w:tcPr>
            <w:tcW w:w="2538" w:type="dxa"/>
            <w:tcBorders>
              <w:top w:val="single" w:sz="4" w:space="0" w:color="auto"/>
              <w:left w:val="nil"/>
              <w:bottom w:val="nil"/>
              <w:right w:val="nil"/>
            </w:tcBorders>
            <w:vAlign w:val="center"/>
            <w:hideMark/>
          </w:tcPr>
          <w:p w14:paraId="1156F6AB"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w:t>
            </w:r>
          </w:p>
        </w:tc>
        <w:tc>
          <w:tcPr>
            <w:tcW w:w="681" w:type="dxa"/>
            <w:tcBorders>
              <w:top w:val="single" w:sz="4" w:space="0" w:color="auto"/>
              <w:left w:val="nil"/>
              <w:bottom w:val="nil"/>
              <w:right w:val="nil"/>
            </w:tcBorders>
            <w:noWrap/>
            <w:vAlign w:val="bottom"/>
            <w:hideMark/>
          </w:tcPr>
          <w:p w14:paraId="5041B39F"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single" w:sz="4" w:space="0" w:color="auto"/>
              <w:left w:val="nil"/>
              <w:bottom w:val="nil"/>
              <w:right w:val="nil"/>
            </w:tcBorders>
            <w:noWrap/>
            <w:vAlign w:val="bottom"/>
            <w:hideMark/>
          </w:tcPr>
          <w:p w14:paraId="0394A8C4"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21</w:t>
            </w:r>
          </w:p>
        </w:tc>
        <w:tc>
          <w:tcPr>
            <w:tcW w:w="850" w:type="dxa"/>
            <w:tcBorders>
              <w:top w:val="single" w:sz="4" w:space="0" w:color="auto"/>
              <w:left w:val="nil"/>
              <w:bottom w:val="nil"/>
              <w:right w:val="nil"/>
            </w:tcBorders>
            <w:noWrap/>
            <w:vAlign w:val="bottom"/>
            <w:hideMark/>
          </w:tcPr>
          <w:p w14:paraId="791B1E0C"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36.559</w:t>
            </w:r>
          </w:p>
        </w:tc>
        <w:tc>
          <w:tcPr>
            <w:tcW w:w="1276" w:type="dxa"/>
            <w:tcBorders>
              <w:top w:val="single" w:sz="4" w:space="0" w:color="auto"/>
              <w:left w:val="nil"/>
              <w:bottom w:val="nil"/>
              <w:right w:val="nil"/>
            </w:tcBorders>
            <w:noWrap/>
            <w:vAlign w:val="center"/>
            <w:hideMark/>
          </w:tcPr>
          <w:p w14:paraId="205CB111" w14:textId="77777777"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p</w:t>
            </w:r>
            <w:r w:rsidRPr="008C2F99">
              <w:rPr>
                <w:rFonts w:eastAsia="Times New Roman"/>
                <w:bCs/>
                <w:sz w:val="18"/>
                <w:szCs w:val="18"/>
              </w:rPr>
              <w:t xml:space="preserve"> </w:t>
            </w:r>
            <w:r w:rsidR="002A378E" w:rsidRPr="008C2F99">
              <w:rPr>
                <w:rFonts w:eastAsia="Times New Roman"/>
                <w:bCs/>
                <w:sz w:val="18"/>
                <w:szCs w:val="18"/>
              </w:rPr>
              <w:t>&lt; .001</w:t>
            </w:r>
          </w:p>
        </w:tc>
        <w:tc>
          <w:tcPr>
            <w:tcW w:w="851" w:type="dxa"/>
            <w:tcBorders>
              <w:top w:val="single" w:sz="4" w:space="0" w:color="auto"/>
              <w:left w:val="nil"/>
              <w:bottom w:val="nil"/>
              <w:right w:val="nil"/>
            </w:tcBorders>
            <w:noWrap/>
            <w:vAlign w:val="bottom"/>
            <w:hideMark/>
          </w:tcPr>
          <w:p w14:paraId="1F0192A6"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w:t>
            </w:r>
            <w:r w:rsidR="0020277F" w:rsidRPr="008C2F99">
              <w:rPr>
                <w:rFonts w:eastAsia="Times New Roman"/>
                <w:sz w:val="18"/>
                <w:szCs w:val="18"/>
              </w:rPr>
              <w:t>635</w:t>
            </w:r>
          </w:p>
        </w:tc>
      </w:tr>
      <w:tr w:rsidR="002A378E" w:rsidRPr="008B5651" w14:paraId="3020E79F" w14:textId="77777777" w:rsidTr="0020277F">
        <w:trPr>
          <w:trHeight w:val="143"/>
        </w:trPr>
        <w:tc>
          <w:tcPr>
            <w:tcW w:w="1463" w:type="dxa"/>
            <w:vMerge/>
            <w:tcBorders>
              <w:top w:val="single" w:sz="4" w:space="0" w:color="auto"/>
              <w:left w:val="nil"/>
              <w:bottom w:val="nil"/>
              <w:right w:val="nil"/>
            </w:tcBorders>
            <w:vAlign w:val="center"/>
            <w:hideMark/>
          </w:tcPr>
          <w:p w14:paraId="7C7D5E3F"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0958315"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coherence</w:t>
            </w:r>
          </w:p>
        </w:tc>
        <w:tc>
          <w:tcPr>
            <w:tcW w:w="681" w:type="dxa"/>
            <w:tcBorders>
              <w:top w:val="nil"/>
              <w:left w:val="nil"/>
              <w:bottom w:val="nil"/>
              <w:right w:val="nil"/>
            </w:tcBorders>
            <w:noWrap/>
            <w:vAlign w:val="bottom"/>
            <w:hideMark/>
          </w:tcPr>
          <w:p w14:paraId="32D2A18F"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1.56</w:t>
            </w:r>
          </w:p>
        </w:tc>
        <w:tc>
          <w:tcPr>
            <w:tcW w:w="1272" w:type="dxa"/>
            <w:tcBorders>
              <w:top w:val="nil"/>
              <w:left w:val="nil"/>
              <w:bottom w:val="nil"/>
              <w:right w:val="nil"/>
            </w:tcBorders>
            <w:noWrap/>
            <w:vAlign w:val="bottom"/>
            <w:hideMark/>
          </w:tcPr>
          <w:p w14:paraId="558CB833"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32.82</w:t>
            </w:r>
          </w:p>
        </w:tc>
        <w:tc>
          <w:tcPr>
            <w:tcW w:w="850" w:type="dxa"/>
            <w:tcBorders>
              <w:top w:val="nil"/>
              <w:left w:val="nil"/>
              <w:bottom w:val="nil"/>
              <w:right w:val="nil"/>
            </w:tcBorders>
            <w:noWrap/>
            <w:vAlign w:val="bottom"/>
            <w:hideMark/>
          </w:tcPr>
          <w:p w14:paraId="128360C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1.159</w:t>
            </w:r>
          </w:p>
        </w:tc>
        <w:tc>
          <w:tcPr>
            <w:tcW w:w="1276" w:type="dxa"/>
            <w:tcBorders>
              <w:top w:val="nil"/>
              <w:left w:val="nil"/>
              <w:bottom w:val="nil"/>
              <w:right w:val="nil"/>
            </w:tcBorders>
            <w:noWrap/>
            <w:vAlign w:val="bottom"/>
            <w:hideMark/>
          </w:tcPr>
          <w:p w14:paraId="5524B3D8" w14:textId="77777777" w:rsidR="002A378E" w:rsidRPr="008C2F99" w:rsidRDefault="0036796B" w:rsidP="00DD431E">
            <w:pPr>
              <w:spacing w:after="0" w:line="240" w:lineRule="auto"/>
              <w:jc w:val="center"/>
              <w:rPr>
                <w:rFonts w:eastAsia="Times New Roman"/>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sz w:val="18"/>
                <w:szCs w:val="20"/>
              </w:rPr>
              <w:t xml:space="preserve"> </w:t>
            </w:r>
            <w:r w:rsidR="002A378E" w:rsidRPr="008C2F99">
              <w:rPr>
                <w:rFonts w:eastAsia="Times New Roman"/>
                <w:color w:val="000000"/>
                <w:sz w:val="18"/>
                <w:szCs w:val="18"/>
              </w:rPr>
              <w:t>.3</w:t>
            </w:r>
            <w:r w:rsidR="00ED68F4" w:rsidRPr="008C2F99">
              <w:rPr>
                <w:rFonts w:eastAsia="Times New Roman"/>
                <w:sz w:val="18"/>
                <w:szCs w:val="18"/>
              </w:rPr>
              <w:t>15</w:t>
            </w:r>
          </w:p>
        </w:tc>
        <w:tc>
          <w:tcPr>
            <w:tcW w:w="851" w:type="dxa"/>
            <w:tcBorders>
              <w:top w:val="nil"/>
              <w:left w:val="nil"/>
              <w:bottom w:val="nil"/>
              <w:right w:val="nil"/>
            </w:tcBorders>
            <w:noWrap/>
            <w:vAlign w:val="bottom"/>
          </w:tcPr>
          <w:p w14:paraId="7C14417A" w14:textId="77777777"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6F32FCF5" w14:textId="77777777" w:rsidTr="0020277F">
        <w:trPr>
          <w:trHeight w:val="143"/>
        </w:trPr>
        <w:tc>
          <w:tcPr>
            <w:tcW w:w="1463" w:type="dxa"/>
            <w:vMerge/>
            <w:tcBorders>
              <w:top w:val="single" w:sz="4" w:space="0" w:color="auto"/>
              <w:left w:val="nil"/>
              <w:bottom w:val="nil"/>
              <w:right w:val="nil"/>
            </w:tcBorders>
            <w:vAlign w:val="center"/>
            <w:hideMark/>
          </w:tcPr>
          <w:p w14:paraId="796293CD"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55CD25E5"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time</w:t>
            </w:r>
          </w:p>
        </w:tc>
        <w:tc>
          <w:tcPr>
            <w:tcW w:w="681" w:type="dxa"/>
            <w:tcBorders>
              <w:top w:val="nil"/>
              <w:left w:val="nil"/>
              <w:bottom w:val="nil"/>
              <w:right w:val="nil"/>
            </w:tcBorders>
            <w:noWrap/>
            <w:vAlign w:val="bottom"/>
            <w:hideMark/>
          </w:tcPr>
          <w:p w14:paraId="3A3396C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nil"/>
              <w:left w:val="nil"/>
              <w:bottom w:val="nil"/>
              <w:right w:val="nil"/>
            </w:tcBorders>
            <w:noWrap/>
            <w:vAlign w:val="bottom"/>
            <w:hideMark/>
          </w:tcPr>
          <w:p w14:paraId="682C79A1"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21</w:t>
            </w:r>
          </w:p>
        </w:tc>
        <w:tc>
          <w:tcPr>
            <w:tcW w:w="850" w:type="dxa"/>
            <w:tcBorders>
              <w:top w:val="nil"/>
              <w:left w:val="nil"/>
              <w:bottom w:val="nil"/>
              <w:right w:val="nil"/>
            </w:tcBorders>
            <w:noWrap/>
            <w:vAlign w:val="bottom"/>
            <w:hideMark/>
          </w:tcPr>
          <w:p w14:paraId="0D4302D0"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21.964</w:t>
            </w:r>
          </w:p>
        </w:tc>
        <w:tc>
          <w:tcPr>
            <w:tcW w:w="1276" w:type="dxa"/>
            <w:tcBorders>
              <w:top w:val="nil"/>
              <w:left w:val="nil"/>
              <w:bottom w:val="nil"/>
              <w:right w:val="nil"/>
            </w:tcBorders>
            <w:noWrap/>
            <w:vAlign w:val="center"/>
            <w:hideMark/>
          </w:tcPr>
          <w:p w14:paraId="5ECF9990" w14:textId="77777777"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p</w:t>
            </w:r>
            <w:r w:rsidRPr="008C2F99">
              <w:rPr>
                <w:rFonts w:eastAsia="Times New Roman"/>
                <w:bCs/>
                <w:sz w:val="18"/>
                <w:szCs w:val="18"/>
              </w:rPr>
              <w:t xml:space="preserve"> </w:t>
            </w:r>
            <w:r w:rsidR="002A378E" w:rsidRPr="008C2F99">
              <w:rPr>
                <w:rFonts w:eastAsia="Times New Roman"/>
                <w:bCs/>
                <w:sz w:val="18"/>
                <w:szCs w:val="18"/>
              </w:rPr>
              <w:t>&lt; .001</w:t>
            </w:r>
          </w:p>
        </w:tc>
        <w:tc>
          <w:tcPr>
            <w:tcW w:w="851" w:type="dxa"/>
            <w:tcBorders>
              <w:top w:val="nil"/>
              <w:left w:val="nil"/>
              <w:bottom w:val="nil"/>
              <w:right w:val="nil"/>
            </w:tcBorders>
            <w:noWrap/>
            <w:vAlign w:val="bottom"/>
          </w:tcPr>
          <w:p w14:paraId="5D430566" w14:textId="77777777" w:rsidR="002A378E" w:rsidRPr="008C2F99" w:rsidRDefault="0020277F" w:rsidP="00DD431E">
            <w:pPr>
              <w:spacing w:after="0" w:line="240" w:lineRule="auto"/>
              <w:jc w:val="center"/>
              <w:rPr>
                <w:rFonts w:eastAsia="Times New Roman"/>
                <w:color w:val="000000"/>
                <w:sz w:val="18"/>
                <w:szCs w:val="18"/>
              </w:rPr>
            </w:pPr>
            <w:r w:rsidRPr="008C2F99">
              <w:rPr>
                <w:rFonts w:eastAsia="Times New Roman"/>
                <w:sz w:val="18"/>
                <w:szCs w:val="18"/>
              </w:rPr>
              <w:t>0.511</w:t>
            </w:r>
          </w:p>
        </w:tc>
      </w:tr>
      <w:tr w:rsidR="002A378E" w:rsidRPr="008B5651" w14:paraId="5F79BD22" w14:textId="77777777" w:rsidTr="0020277F">
        <w:trPr>
          <w:trHeight w:val="143"/>
        </w:trPr>
        <w:tc>
          <w:tcPr>
            <w:tcW w:w="1463" w:type="dxa"/>
            <w:vMerge/>
            <w:tcBorders>
              <w:top w:val="single" w:sz="4" w:space="0" w:color="auto"/>
              <w:left w:val="nil"/>
              <w:bottom w:val="nil"/>
              <w:right w:val="nil"/>
            </w:tcBorders>
            <w:vAlign w:val="center"/>
            <w:hideMark/>
          </w:tcPr>
          <w:p w14:paraId="121F3A38"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53092985"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 × coherence</w:t>
            </w:r>
          </w:p>
        </w:tc>
        <w:tc>
          <w:tcPr>
            <w:tcW w:w="681" w:type="dxa"/>
            <w:tcBorders>
              <w:top w:val="nil"/>
              <w:left w:val="nil"/>
              <w:bottom w:val="nil"/>
              <w:right w:val="nil"/>
            </w:tcBorders>
            <w:noWrap/>
            <w:vAlign w:val="bottom"/>
            <w:hideMark/>
          </w:tcPr>
          <w:p w14:paraId="218AAF7B"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1.91</w:t>
            </w:r>
          </w:p>
        </w:tc>
        <w:tc>
          <w:tcPr>
            <w:tcW w:w="1272" w:type="dxa"/>
            <w:tcBorders>
              <w:top w:val="nil"/>
              <w:left w:val="nil"/>
              <w:bottom w:val="nil"/>
              <w:right w:val="nil"/>
            </w:tcBorders>
            <w:noWrap/>
            <w:vAlign w:val="bottom"/>
            <w:hideMark/>
          </w:tcPr>
          <w:p w14:paraId="607AC531"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40.04</w:t>
            </w:r>
          </w:p>
        </w:tc>
        <w:tc>
          <w:tcPr>
            <w:tcW w:w="850" w:type="dxa"/>
            <w:tcBorders>
              <w:top w:val="nil"/>
              <w:left w:val="nil"/>
              <w:bottom w:val="nil"/>
              <w:right w:val="nil"/>
            </w:tcBorders>
            <w:noWrap/>
            <w:vAlign w:val="bottom"/>
            <w:hideMark/>
          </w:tcPr>
          <w:p w14:paraId="60EBDBE4"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0.041</w:t>
            </w:r>
          </w:p>
        </w:tc>
        <w:tc>
          <w:tcPr>
            <w:tcW w:w="1276" w:type="dxa"/>
            <w:tcBorders>
              <w:top w:val="nil"/>
              <w:left w:val="nil"/>
              <w:bottom w:val="nil"/>
              <w:right w:val="nil"/>
            </w:tcBorders>
            <w:noWrap/>
            <w:vAlign w:val="center"/>
            <w:hideMark/>
          </w:tcPr>
          <w:p w14:paraId="535F93AB" w14:textId="77777777" w:rsidR="002A378E" w:rsidRPr="008C2F99" w:rsidRDefault="0036796B" w:rsidP="00DD431E">
            <w:pPr>
              <w:spacing w:after="0" w:line="240" w:lineRule="auto"/>
              <w:jc w:val="center"/>
              <w:rPr>
                <w:rFonts w:eastAsia="Times New Roman"/>
                <w:i/>
                <w:iCs/>
                <w:color w:val="000000"/>
                <w:sz w:val="18"/>
                <w:szCs w:val="18"/>
              </w:rPr>
            </w:pPr>
            <w:r w:rsidRPr="00FE73FB">
              <w:rPr>
                <w:rFonts w:eastAsia="Times New Roman"/>
                <w:i/>
                <w:color w:val="1F4E9E"/>
                <w:sz w:val="18"/>
                <w:szCs w:val="20"/>
              </w:rPr>
              <w:t>p = .954</w:t>
            </w:r>
          </w:p>
        </w:tc>
        <w:tc>
          <w:tcPr>
            <w:tcW w:w="851" w:type="dxa"/>
            <w:tcBorders>
              <w:top w:val="nil"/>
              <w:left w:val="nil"/>
              <w:bottom w:val="nil"/>
              <w:right w:val="nil"/>
            </w:tcBorders>
            <w:noWrap/>
            <w:vAlign w:val="bottom"/>
          </w:tcPr>
          <w:p w14:paraId="14B0D8CC" w14:textId="77777777"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328A2CF9" w14:textId="77777777" w:rsidTr="0020277F">
        <w:trPr>
          <w:trHeight w:val="143"/>
        </w:trPr>
        <w:tc>
          <w:tcPr>
            <w:tcW w:w="1463" w:type="dxa"/>
            <w:vMerge/>
            <w:tcBorders>
              <w:top w:val="single" w:sz="4" w:space="0" w:color="auto"/>
              <w:left w:val="nil"/>
              <w:bottom w:val="nil"/>
              <w:right w:val="nil"/>
            </w:tcBorders>
            <w:vAlign w:val="center"/>
            <w:hideMark/>
          </w:tcPr>
          <w:p w14:paraId="5C59B5F0"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8A5AA4D"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 × time</w:t>
            </w:r>
          </w:p>
        </w:tc>
        <w:tc>
          <w:tcPr>
            <w:tcW w:w="681" w:type="dxa"/>
            <w:tcBorders>
              <w:top w:val="nil"/>
              <w:left w:val="nil"/>
              <w:bottom w:val="nil"/>
              <w:right w:val="nil"/>
            </w:tcBorders>
            <w:noWrap/>
            <w:vAlign w:val="bottom"/>
            <w:hideMark/>
          </w:tcPr>
          <w:p w14:paraId="06833E51"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nil"/>
              <w:left w:val="nil"/>
              <w:bottom w:val="nil"/>
              <w:right w:val="nil"/>
            </w:tcBorders>
            <w:noWrap/>
            <w:vAlign w:val="bottom"/>
            <w:hideMark/>
          </w:tcPr>
          <w:p w14:paraId="73FA63F1"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21</w:t>
            </w:r>
          </w:p>
        </w:tc>
        <w:tc>
          <w:tcPr>
            <w:tcW w:w="850" w:type="dxa"/>
            <w:tcBorders>
              <w:top w:val="nil"/>
              <w:left w:val="nil"/>
              <w:bottom w:val="nil"/>
              <w:right w:val="nil"/>
            </w:tcBorders>
            <w:noWrap/>
            <w:vAlign w:val="bottom"/>
            <w:hideMark/>
          </w:tcPr>
          <w:p w14:paraId="67D90F6E"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7.046</w:t>
            </w:r>
          </w:p>
        </w:tc>
        <w:tc>
          <w:tcPr>
            <w:tcW w:w="1276" w:type="dxa"/>
            <w:tcBorders>
              <w:top w:val="nil"/>
              <w:left w:val="nil"/>
              <w:bottom w:val="nil"/>
              <w:right w:val="nil"/>
            </w:tcBorders>
            <w:noWrap/>
            <w:vAlign w:val="center"/>
            <w:hideMark/>
          </w:tcPr>
          <w:p w14:paraId="0D31EAF8" w14:textId="77777777"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sz w:val="18"/>
                <w:szCs w:val="20"/>
              </w:rPr>
              <w:t xml:space="preserve"> </w:t>
            </w:r>
            <w:r w:rsidR="002A378E" w:rsidRPr="008C2F99">
              <w:rPr>
                <w:rFonts w:eastAsia="Times New Roman"/>
                <w:bCs/>
                <w:sz w:val="18"/>
                <w:szCs w:val="18"/>
              </w:rPr>
              <w:t>.015</w:t>
            </w:r>
          </w:p>
        </w:tc>
        <w:tc>
          <w:tcPr>
            <w:tcW w:w="851" w:type="dxa"/>
            <w:tcBorders>
              <w:top w:val="nil"/>
              <w:left w:val="nil"/>
              <w:bottom w:val="nil"/>
              <w:right w:val="nil"/>
            </w:tcBorders>
            <w:noWrap/>
            <w:vAlign w:val="bottom"/>
          </w:tcPr>
          <w:p w14:paraId="4F0FF72C" w14:textId="77777777" w:rsidR="002A378E" w:rsidRPr="008C2F99" w:rsidRDefault="0020277F" w:rsidP="00DD431E">
            <w:pPr>
              <w:spacing w:after="0" w:line="240" w:lineRule="auto"/>
              <w:jc w:val="center"/>
              <w:rPr>
                <w:rFonts w:eastAsia="Times New Roman"/>
                <w:color w:val="000000"/>
                <w:sz w:val="18"/>
                <w:szCs w:val="18"/>
              </w:rPr>
            </w:pPr>
            <w:r w:rsidRPr="008C2F99">
              <w:rPr>
                <w:rFonts w:eastAsia="Times New Roman"/>
                <w:sz w:val="18"/>
                <w:szCs w:val="18"/>
              </w:rPr>
              <w:t>0.251</w:t>
            </w:r>
          </w:p>
        </w:tc>
      </w:tr>
      <w:tr w:rsidR="002A378E" w:rsidRPr="008B5651" w14:paraId="6EDEE2FE" w14:textId="77777777" w:rsidTr="00F15443">
        <w:trPr>
          <w:trHeight w:val="143"/>
        </w:trPr>
        <w:tc>
          <w:tcPr>
            <w:tcW w:w="1463" w:type="dxa"/>
            <w:vMerge/>
            <w:tcBorders>
              <w:top w:val="single" w:sz="4" w:space="0" w:color="auto"/>
              <w:left w:val="nil"/>
              <w:bottom w:val="nil"/>
              <w:right w:val="nil"/>
            </w:tcBorders>
            <w:vAlign w:val="center"/>
            <w:hideMark/>
          </w:tcPr>
          <w:p w14:paraId="79EC2C10"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4635952"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coherence × time</w:t>
            </w:r>
          </w:p>
        </w:tc>
        <w:tc>
          <w:tcPr>
            <w:tcW w:w="681" w:type="dxa"/>
            <w:tcBorders>
              <w:top w:val="nil"/>
              <w:left w:val="nil"/>
              <w:bottom w:val="nil"/>
              <w:right w:val="nil"/>
            </w:tcBorders>
            <w:noWrap/>
            <w:vAlign w:val="bottom"/>
            <w:hideMark/>
          </w:tcPr>
          <w:p w14:paraId="22669434"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1.84</w:t>
            </w:r>
          </w:p>
        </w:tc>
        <w:tc>
          <w:tcPr>
            <w:tcW w:w="1272" w:type="dxa"/>
            <w:tcBorders>
              <w:top w:val="nil"/>
              <w:left w:val="nil"/>
              <w:bottom w:val="nil"/>
              <w:right w:val="nil"/>
            </w:tcBorders>
            <w:noWrap/>
            <w:vAlign w:val="bottom"/>
            <w:hideMark/>
          </w:tcPr>
          <w:p w14:paraId="54505AA4"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38.61</w:t>
            </w:r>
          </w:p>
        </w:tc>
        <w:tc>
          <w:tcPr>
            <w:tcW w:w="850" w:type="dxa"/>
            <w:tcBorders>
              <w:top w:val="nil"/>
              <w:left w:val="nil"/>
              <w:bottom w:val="nil"/>
              <w:right w:val="nil"/>
            </w:tcBorders>
            <w:noWrap/>
            <w:vAlign w:val="bottom"/>
            <w:hideMark/>
          </w:tcPr>
          <w:p w14:paraId="29B237EC"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0.407</w:t>
            </w:r>
          </w:p>
        </w:tc>
        <w:tc>
          <w:tcPr>
            <w:tcW w:w="1276" w:type="dxa"/>
            <w:tcBorders>
              <w:top w:val="nil"/>
              <w:left w:val="nil"/>
              <w:bottom w:val="nil"/>
              <w:right w:val="nil"/>
            </w:tcBorders>
            <w:noWrap/>
            <w:vAlign w:val="center"/>
            <w:hideMark/>
          </w:tcPr>
          <w:p w14:paraId="35181341" w14:textId="77777777" w:rsidR="002A378E" w:rsidRPr="008C2F99" w:rsidRDefault="0036796B" w:rsidP="00DD431E">
            <w:pPr>
              <w:spacing w:after="0" w:line="240" w:lineRule="auto"/>
              <w:jc w:val="center"/>
              <w:rPr>
                <w:rFonts w:eastAsia="Times New Roman"/>
                <w:i/>
                <w:iCs/>
                <w:color w:val="000000"/>
                <w:sz w:val="18"/>
                <w:szCs w:val="18"/>
              </w:rPr>
            </w:pPr>
            <w:r w:rsidRPr="00FE73FB">
              <w:rPr>
                <w:rFonts w:eastAsia="Times New Roman"/>
                <w:i/>
                <w:color w:val="1F4E9E"/>
                <w:sz w:val="18"/>
                <w:szCs w:val="20"/>
              </w:rPr>
              <w:t>p = .651</w:t>
            </w:r>
          </w:p>
        </w:tc>
        <w:tc>
          <w:tcPr>
            <w:tcW w:w="851" w:type="dxa"/>
            <w:tcBorders>
              <w:top w:val="nil"/>
              <w:left w:val="nil"/>
              <w:bottom w:val="nil"/>
              <w:right w:val="nil"/>
            </w:tcBorders>
            <w:noWrap/>
            <w:vAlign w:val="bottom"/>
            <w:hideMark/>
          </w:tcPr>
          <w:p w14:paraId="77A77921" w14:textId="77777777"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448CED8C" w14:textId="77777777" w:rsidTr="00F15443">
        <w:trPr>
          <w:trHeight w:val="143"/>
        </w:trPr>
        <w:tc>
          <w:tcPr>
            <w:tcW w:w="1463" w:type="dxa"/>
            <w:vMerge/>
            <w:tcBorders>
              <w:top w:val="single" w:sz="4" w:space="0" w:color="auto"/>
              <w:left w:val="nil"/>
              <w:bottom w:val="nil"/>
              <w:right w:val="nil"/>
            </w:tcBorders>
            <w:vAlign w:val="center"/>
            <w:hideMark/>
          </w:tcPr>
          <w:p w14:paraId="77B71BC9"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46B1F56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 × coherence × time</w:t>
            </w:r>
          </w:p>
        </w:tc>
        <w:tc>
          <w:tcPr>
            <w:tcW w:w="681" w:type="dxa"/>
            <w:tcBorders>
              <w:top w:val="nil"/>
              <w:left w:val="nil"/>
              <w:bottom w:val="nil"/>
              <w:right w:val="nil"/>
            </w:tcBorders>
            <w:noWrap/>
            <w:vAlign w:val="center"/>
            <w:hideMark/>
          </w:tcPr>
          <w:p w14:paraId="3420C60A"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1.75</w:t>
            </w:r>
          </w:p>
        </w:tc>
        <w:tc>
          <w:tcPr>
            <w:tcW w:w="1272" w:type="dxa"/>
            <w:tcBorders>
              <w:top w:val="nil"/>
              <w:left w:val="nil"/>
              <w:bottom w:val="nil"/>
              <w:right w:val="nil"/>
            </w:tcBorders>
            <w:noWrap/>
            <w:vAlign w:val="center"/>
            <w:hideMark/>
          </w:tcPr>
          <w:p w14:paraId="685A4200"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36.67</w:t>
            </w:r>
          </w:p>
        </w:tc>
        <w:tc>
          <w:tcPr>
            <w:tcW w:w="850" w:type="dxa"/>
            <w:tcBorders>
              <w:top w:val="nil"/>
              <w:left w:val="nil"/>
              <w:bottom w:val="nil"/>
              <w:right w:val="nil"/>
            </w:tcBorders>
            <w:noWrap/>
            <w:vAlign w:val="center"/>
            <w:hideMark/>
          </w:tcPr>
          <w:p w14:paraId="69A2E811"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0.587</w:t>
            </w:r>
          </w:p>
        </w:tc>
        <w:tc>
          <w:tcPr>
            <w:tcW w:w="1276" w:type="dxa"/>
            <w:tcBorders>
              <w:top w:val="nil"/>
              <w:left w:val="nil"/>
              <w:bottom w:val="nil"/>
              <w:right w:val="nil"/>
            </w:tcBorders>
            <w:noWrap/>
            <w:vAlign w:val="center"/>
            <w:hideMark/>
          </w:tcPr>
          <w:p w14:paraId="29ADCDDC" w14:textId="77777777" w:rsidR="002A378E" w:rsidRPr="008C2F99" w:rsidRDefault="0036796B" w:rsidP="00DD431E">
            <w:pPr>
              <w:spacing w:after="0" w:line="240" w:lineRule="auto"/>
              <w:jc w:val="center"/>
              <w:rPr>
                <w:rFonts w:eastAsia="Times New Roman"/>
                <w:color w:val="000000"/>
                <w:sz w:val="18"/>
                <w:szCs w:val="18"/>
              </w:rPr>
            </w:pPr>
            <w:r w:rsidRPr="00FE73FB">
              <w:rPr>
                <w:rFonts w:eastAsia="Times New Roman"/>
                <w:i/>
                <w:color w:val="1F4E9E"/>
                <w:sz w:val="18"/>
                <w:szCs w:val="20"/>
              </w:rPr>
              <w:t>p = .539</w:t>
            </w:r>
          </w:p>
        </w:tc>
        <w:tc>
          <w:tcPr>
            <w:tcW w:w="851" w:type="dxa"/>
            <w:tcBorders>
              <w:top w:val="nil"/>
              <w:left w:val="nil"/>
              <w:bottom w:val="nil"/>
              <w:right w:val="nil"/>
            </w:tcBorders>
            <w:noWrap/>
            <w:vAlign w:val="bottom"/>
            <w:hideMark/>
          </w:tcPr>
          <w:p w14:paraId="0BBF4A2A" w14:textId="77777777"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13AC3A17" w14:textId="77777777" w:rsidTr="00F15443">
        <w:trPr>
          <w:trHeight w:val="143"/>
        </w:trPr>
        <w:tc>
          <w:tcPr>
            <w:tcW w:w="1463" w:type="dxa"/>
            <w:tcBorders>
              <w:top w:val="nil"/>
              <w:left w:val="nil"/>
              <w:bottom w:val="nil"/>
              <w:right w:val="nil"/>
            </w:tcBorders>
            <w:noWrap/>
            <w:vAlign w:val="bottom"/>
            <w:hideMark/>
          </w:tcPr>
          <w:p w14:paraId="6D81E7DA" w14:textId="77777777" w:rsidR="002A378E" w:rsidRPr="00A30E3E" w:rsidRDefault="002A378E" w:rsidP="00DD431E">
            <w:pPr>
              <w:spacing w:after="0" w:line="240" w:lineRule="auto"/>
              <w:jc w:val="center"/>
              <w:rPr>
                <w:rFonts w:eastAsia="Times New Roman"/>
                <w:sz w:val="22"/>
                <w:szCs w:val="20"/>
              </w:rPr>
            </w:pPr>
          </w:p>
        </w:tc>
        <w:tc>
          <w:tcPr>
            <w:tcW w:w="2538" w:type="dxa"/>
            <w:tcBorders>
              <w:top w:val="nil"/>
              <w:left w:val="nil"/>
              <w:bottom w:val="nil"/>
              <w:right w:val="nil"/>
            </w:tcBorders>
            <w:vAlign w:val="bottom"/>
            <w:hideMark/>
          </w:tcPr>
          <w:p w14:paraId="2BA887CA" w14:textId="77777777" w:rsidR="002A378E" w:rsidRPr="00A30E3E" w:rsidRDefault="002A378E" w:rsidP="00DD431E">
            <w:pPr>
              <w:spacing w:after="0" w:line="240" w:lineRule="auto"/>
              <w:jc w:val="center"/>
              <w:rPr>
                <w:rFonts w:eastAsia="Times New Roman"/>
                <w:sz w:val="18"/>
                <w:szCs w:val="18"/>
              </w:rPr>
            </w:pPr>
          </w:p>
        </w:tc>
        <w:tc>
          <w:tcPr>
            <w:tcW w:w="681" w:type="dxa"/>
            <w:tcBorders>
              <w:top w:val="nil"/>
              <w:left w:val="nil"/>
              <w:bottom w:val="nil"/>
              <w:right w:val="nil"/>
            </w:tcBorders>
            <w:noWrap/>
            <w:vAlign w:val="bottom"/>
            <w:hideMark/>
          </w:tcPr>
          <w:p w14:paraId="7B6E11F1" w14:textId="77777777" w:rsidR="002A378E" w:rsidRPr="008C2F99" w:rsidRDefault="002A378E" w:rsidP="00DD431E">
            <w:pPr>
              <w:spacing w:after="0" w:line="240" w:lineRule="auto"/>
              <w:jc w:val="center"/>
              <w:rPr>
                <w:rFonts w:eastAsia="Times New Roman"/>
                <w:sz w:val="18"/>
                <w:szCs w:val="18"/>
              </w:rPr>
            </w:pPr>
          </w:p>
        </w:tc>
        <w:tc>
          <w:tcPr>
            <w:tcW w:w="1272" w:type="dxa"/>
            <w:tcBorders>
              <w:top w:val="nil"/>
              <w:left w:val="nil"/>
              <w:bottom w:val="nil"/>
              <w:right w:val="nil"/>
            </w:tcBorders>
            <w:noWrap/>
            <w:vAlign w:val="bottom"/>
            <w:hideMark/>
          </w:tcPr>
          <w:p w14:paraId="48B34848" w14:textId="77777777" w:rsidR="002A378E" w:rsidRPr="008C2F99" w:rsidRDefault="002A378E" w:rsidP="00DD431E">
            <w:pPr>
              <w:spacing w:after="0" w:line="240" w:lineRule="auto"/>
              <w:jc w:val="center"/>
              <w:rPr>
                <w:rFonts w:eastAsia="Times New Roman"/>
                <w:sz w:val="18"/>
                <w:szCs w:val="18"/>
              </w:rPr>
            </w:pPr>
          </w:p>
        </w:tc>
        <w:tc>
          <w:tcPr>
            <w:tcW w:w="850" w:type="dxa"/>
            <w:tcBorders>
              <w:top w:val="nil"/>
              <w:left w:val="nil"/>
              <w:bottom w:val="nil"/>
              <w:right w:val="nil"/>
            </w:tcBorders>
            <w:noWrap/>
            <w:vAlign w:val="bottom"/>
            <w:hideMark/>
          </w:tcPr>
          <w:p w14:paraId="20E8C40E" w14:textId="77777777" w:rsidR="002A378E" w:rsidRPr="008C2F99" w:rsidRDefault="002A378E" w:rsidP="00DD431E">
            <w:pPr>
              <w:spacing w:after="0" w:line="240" w:lineRule="auto"/>
              <w:jc w:val="center"/>
              <w:rPr>
                <w:rFonts w:eastAsia="Times New Roman"/>
                <w:sz w:val="18"/>
                <w:szCs w:val="18"/>
              </w:rPr>
            </w:pPr>
          </w:p>
        </w:tc>
        <w:tc>
          <w:tcPr>
            <w:tcW w:w="1276" w:type="dxa"/>
            <w:tcBorders>
              <w:top w:val="nil"/>
              <w:left w:val="nil"/>
              <w:bottom w:val="single" w:sz="4" w:space="0" w:color="000000" w:themeColor="text1"/>
              <w:right w:val="nil"/>
            </w:tcBorders>
            <w:noWrap/>
            <w:vAlign w:val="bottom"/>
            <w:hideMark/>
          </w:tcPr>
          <w:p w14:paraId="1CB61505" w14:textId="77777777" w:rsidR="002A378E" w:rsidRPr="008C2F99" w:rsidRDefault="002A378E" w:rsidP="00DD431E">
            <w:pPr>
              <w:spacing w:after="0" w:line="240" w:lineRule="auto"/>
              <w:jc w:val="center"/>
              <w:rPr>
                <w:rFonts w:eastAsia="Times New Roman"/>
                <w:sz w:val="18"/>
                <w:szCs w:val="18"/>
              </w:rPr>
            </w:pPr>
          </w:p>
        </w:tc>
        <w:tc>
          <w:tcPr>
            <w:tcW w:w="851" w:type="dxa"/>
            <w:tcBorders>
              <w:top w:val="nil"/>
              <w:left w:val="nil"/>
              <w:bottom w:val="nil"/>
              <w:right w:val="nil"/>
            </w:tcBorders>
            <w:noWrap/>
            <w:vAlign w:val="bottom"/>
            <w:hideMark/>
          </w:tcPr>
          <w:p w14:paraId="105122AE" w14:textId="77777777" w:rsidR="002A378E" w:rsidRPr="008C2F99" w:rsidRDefault="002A378E" w:rsidP="00DD431E">
            <w:pPr>
              <w:spacing w:after="0" w:line="240" w:lineRule="auto"/>
              <w:jc w:val="center"/>
              <w:rPr>
                <w:rFonts w:eastAsia="Times New Roman"/>
                <w:sz w:val="18"/>
                <w:szCs w:val="18"/>
              </w:rPr>
            </w:pPr>
          </w:p>
        </w:tc>
      </w:tr>
      <w:tr w:rsidR="00205CBC" w14:paraId="7F30217A" w14:textId="77777777">
        <w:tc>
          <w:tcPr>
            <w:tcW w:w="1463" w:type="dxa"/>
          </w:tcPr>
          <w:p w14:paraId="5072FD33" w14:textId="77777777" w:rsidR="00205CBC" w:rsidRDefault="00000000">
            <w:r>
              <w:t>Response</w:t>
            </w:r>
          </w:p>
        </w:tc>
        <w:tc>
          <w:tcPr>
            <w:tcW w:w="2538" w:type="dxa"/>
          </w:tcPr>
          <w:p w14:paraId="66687766" w14:textId="77777777" w:rsidR="00205CBC" w:rsidRDefault="00000000">
            <w:r>
              <w:rPr>
                <w:color w:val="1F4E9E"/>
              </w:rPr>
              <w:t>duration</w:t>
            </w:r>
          </w:p>
        </w:tc>
        <w:tc>
          <w:tcPr>
            <w:tcW w:w="681" w:type="dxa"/>
          </w:tcPr>
          <w:p w14:paraId="50B97725" w14:textId="77777777" w:rsidR="00205CBC" w:rsidRDefault="00000000">
            <w:r>
              <w:rPr>
                <w:color w:val="1F4E9E"/>
              </w:rPr>
              <w:t>1</w:t>
            </w:r>
          </w:p>
        </w:tc>
        <w:tc>
          <w:tcPr>
            <w:tcW w:w="1272" w:type="dxa"/>
          </w:tcPr>
          <w:p w14:paraId="761CA047" w14:textId="77777777" w:rsidR="00205CBC" w:rsidRDefault="00000000">
            <w:r>
              <w:rPr>
                <w:color w:val="1F4E9E"/>
              </w:rPr>
              <w:t>21</w:t>
            </w:r>
          </w:p>
        </w:tc>
        <w:tc>
          <w:tcPr>
            <w:tcW w:w="850" w:type="dxa"/>
          </w:tcPr>
          <w:p w14:paraId="433DBBD4" w14:textId="77777777" w:rsidR="00205CBC" w:rsidRDefault="00000000">
            <w:r>
              <w:rPr>
                <w:color w:val="1F4E9E"/>
              </w:rPr>
              <w:t>7.613</w:t>
            </w:r>
          </w:p>
        </w:tc>
        <w:tc>
          <w:tcPr>
            <w:tcW w:w="1276" w:type="dxa"/>
          </w:tcPr>
          <w:p w14:paraId="325B8D68" w14:textId="77777777" w:rsidR="00205CBC" w:rsidRDefault="00000000">
            <w:r>
              <w:rPr>
                <w:color w:val="1F4E9E"/>
              </w:rPr>
              <w:t>p = .012</w:t>
            </w:r>
          </w:p>
        </w:tc>
        <w:tc>
          <w:tcPr>
            <w:tcW w:w="851" w:type="dxa"/>
          </w:tcPr>
          <w:p w14:paraId="7D4C9D01" w14:textId="77777777" w:rsidR="00205CBC" w:rsidRDefault="00000000">
            <w:r>
              <w:rPr>
                <w:color w:val="1F4E9E"/>
              </w:rPr>
              <w:t>0.266</w:t>
            </w:r>
          </w:p>
        </w:tc>
      </w:tr>
      <w:tr w:rsidR="00205CBC" w14:paraId="5635F4AF" w14:textId="77777777">
        <w:tc>
          <w:tcPr>
            <w:tcW w:w="1463" w:type="dxa"/>
          </w:tcPr>
          <w:p w14:paraId="748137BC" w14:textId="77777777" w:rsidR="00205CBC" w:rsidRDefault="00000000">
            <w:r>
              <w:t>Response</w:t>
            </w:r>
          </w:p>
        </w:tc>
        <w:tc>
          <w:tcPr>
            <w:tcW w:w="2538" w:type="dxa"/>
          </w:tcPr>
          <w:p w14:paraId="1C440F3A" w14:textId="77777777" w:rsidR="00205CBC" w:rsidRDefault="00000000">
            <w:r>
              <w:rPr>
                <w:color w:val="1F4E9E"/>
              </w:rPr>
              <w:t>coherence</w:t>
            </w:r>
          </w:p>
        </w:tc>
        <w:tc>
          <w:tcPr>
            <w:tcW w:w="681" w:type="dxa"/>
          </w:tcPr>
          <w:p w14:paraId="7A08D525" w14:textId="77777777" w:rsidR="00205CBC" w:rsidRDefault="00000000">
            <w:r>
              <w:rPr>
                <w:color w:val="1F4E9E"/>
              </w:rPr>
              <w:t>1.90</w:t>
            </w:r>
          </w:p>
        </w:tc>
        <w:tc>
          <w:tcPr>
            <w:tcW w:w="1272" w:type="dxa"/>
          </w:tcPr>
          <w:p w14:paraId="3FE5EBAC" w14:textId="77777777" w:rsidR="00205CBC" w:rsidRDefault="00000000">
            <w:r>
              <w:rPr>
                <w:color w:val="1F4E9E"/>
              </w:rPr>
              <w:t>39.98</w:t>
            </w:r>
          </w:p>
        </w:tc>
        <w:tc>
          <w:tcPr>
            <w:tcW w:w="850" w:type="dxa"/>
          </w:tcPr>
          <w:p w14:paraId="728EE94B" w14:textId="77777777" w:rsidR="00205CBC" w:rsidRDefault="00000000">
            <w:r>
              <w:rPr>
                <w:color w:val="1F4E9E"/>
              </w:rPr>
              <w:t>1.845</w:t>
            </w:r>
          </w:p>
        </w:tc>
        <w:tc>
          <w:tcPr>
            <w:tcW w:w="1276" w:type="dxa"/>
          </w:tcPr>
          <w:p w14:paraId="6F98CAD8" w14:textId="77777777" w:rsidR="00205CBC" w:rsidRDefault="00000000">
            <w:r>
              <w:rPr>
                <w:color w:val="1F4E9E"/>
              </w:rPr>
              <w:t>p = .173</w:t>
            </w:r>
          </w:p>
        </w:tc>
        <w:tc>
          <w:tcPr>
            <w:tcW w:w="851" w:type="dxa"/>
          </w:tcPr>
          <w:p w14:paraId="53AAB030" w14:textId="77777777" w:rsidR="00205CBC" w:rsidRDefault="00000000">
            <w:r>
              <w:rPr>
                <w:color w:val="1F4E9E"/>
              </w:rPr>
              <w:t>0.081</w:t>
            </w:r>
          </w:p>
        </w:tc>
      </w:tr>
      <w:tr w:rsidR="00205CBC" w14:paraId="0F27F8C7" w14:textId="77777777">
        <w:tc>
          <w:tcPr>
            <w:tcW w:w="1463" w:type="dxa"/>
          </w:tcPr>
          <w:p w14:paraId="6EF8AFD8" w14:textId="77777777" w:rsidR="00205CBC" w:rsidRDefault="00000000">
            <w:r>
              <w:t>Response</w:t>
            </w:r>
          </w:p>
        </w:tc>
        <w:tc>
          <w:tcPr>
            <w:tcW w:w="2538" w:type="dxa"/>
          </w:tcPr>
          <w:p w14:paraId="557EDC3E" w14:textId="77777777" w:rsidR="00205CBC" w:rsidRDefault="00000000">
            <w:r>
              <w:rPr>
                <w:color w:val="1F4E9E"/>
              </w:rPr>
              <w:t>duration × coherence</w:t>
            </w:r>
          </w:p>
        </w:tc>
        <w:tc>
          <w:tcPr>
            <w:tcW w:w="681" w:type="dxa"/>
          </w:tcPr>
          <w:p w14:paraId="7ED40A37" w14:textId="77777777" w:rsidR="00205CBC" w:rsidRDefault="00000000">
            <w:r>
              <w:rPr>
                <w:color w:val="1F4E9E"/>
              </w:rPr>
              <w:t>1.86</w:t>
            </w:r>
          </w:p>
        </w:tc>
        <w:tc>
          <w:tcPr>
            <w:tcW w:w="1272" w:type="dxa"/>
          </w:tcPr>
          <w:p w14:paraId="2798DC10" w14:textId="77777777" w:rsidR="00205CBC" w:rsidRDefault="00000000">
            <w:r>
              <w:rPr>
                <w:color w:val="1F4E9E"/>
              </w:rPr>
              <w:t>39.10</w:t>
            </w:r>
          </w:p>
        </w:tc>
        <w:tc>
          <w:tcPr>
            <w:tcW w:w="850" w:type="dxa"/>
          </w:tcPr>
          <w:p w14:paraId="2E3F23DC" w14:textId="77777777" w:rsidR="00205CBC" w:rsidRDefault="00000000">
            <w:r>
              <w:rPr>
                <w:color w:val="1F4E9E"/>
              </w:rPr>
              <w:t>0.342</w:t>
            </w:r>
          </w:p>
        </w:tc>
        <w:tc>
          <w:tcPr>
            <w:tcW w:w="1276" w:type="dxa"/>
          </w:tcPr>
          <w:p w14:paraId="474F84CA" w14:textId="77777777" w:rsidR="00205CBC" w:rsidRDefault="00000000">
            <w:r>
              <w:rPr>
                <w:color w:val="1F4E9E"/>
              </w:rPr>
              <w:t>p = .697</w:t>
            </w:r>
          </w:p>
        </w:tc>
        <w:tc>
          <w:tcPr>
            <w:tcW w:w="851" w:type="dxa"/>
          </w:tcPr>
          <w:p w14:paraId="50A6195E" w14:textId="77777777" w:rsidR="00205CBC" w:rsidRDefault="00000000">
            <w:r>
              <w:rPr>
                <w:color w:val="1F4E9E"/>
              </w:rPr>
              <w:t>0.016</w:t>
            </w:r>
          </w:p>
        </w:tc>
      </w:tr>
    </w:tbl>
    <w:p w14:paraId="0B7FA4AA" w14:textId="77777777" w:rsidR="00E9704A" w:rsidRPr="006A51AB" w:rsidRDefault="00D3354D" w:rsidP="006A51AB">
      <w:pPr>
        <w:spacing w:before="120" w:after="120" w:line="259" w:lineRule="auto"/>
        <w:rPr>
          <w:sz w:val="20"/>
        </w:rPr>
        <w:sectPr w:rsidR="00E9704A" w:rsidRPr="006A51AB">
          <w:pgSz w:w="11906" w:h="16838"/>
          <w:pgMar w:top="1417" w:right="1417" w:bottom="1417" w:left="1417" w:header="708" w:footer="708" w:gutter="0"/>
          <w:cols w:space="708"/>
          <w:docGrid w:linePitch="360"/>
        </w:sectPr>
      </w:pPr>
      <w:r>
        <w:rPr>
          <w:color w:val="1F4E9E"/>
        </w:rPr>
        <w:t>Note. Greenhouse–Geisser correction was applied to every effect with more than one numerator degree of freedom, that is to every effect involving the three-level coherence factor; degrees of freedom (df) with decimals indicate a corrected test. The partial eta squared statistic (ηp2) is computed from the uncorrected degrees of freedom and is therefore unchanged by that correction. Time refers to the time bin factor. The time-bin main effect and its interactions are reported as one-degree-of-freedom linear-trend and quadratic contrasts computed on per-participant scores for the Stimulus and Delay periods (Methods): a contrast crossed only with duration therefore yields F(1,21), whereas a contrast crossed with coherence carries corrected degrees of freedom. The RS period is unaffected (only two time bins, so the omnibus and trend tests coincide exactly, and no quadratic contrast exists). The Response period is analyzed on its single informative bin, for which no time-bin factor — and therefore no trend or quadratic decomposition — applies (Methods).</w:t>
      </w:r>
    </w:p>
    <w:p w14:paraId="3ADCD457" w14:textId="77777777" w:rsidR="003238E2" w:rsidRPr="006A51AB" w:rsidRDefault="00E82EA7" w:rsidP="006A51AB">
      <w:pPr>
        <w:spacing w:after="120" w:line="276" w:lineRule="auto"/>
        <w:rPr>
          <w:b/>
          <w:szCs w:val="22"/>
        </w:rPr>
      </w:pPr>
      <w:r w:rsidRPr="006A51AB">
        <w:rPr>
          <w:b/>
          <w:szCs w:val="22"/>
        </w:rPr>
        <w:lastRenderedPageBreak/>
        <w:t xml:space="preserve">Table </w:t>
      </w:r>
      <w:r w:rsidR="006B3BE7" w:rsidRPr="006A51AB">
        <w:rPr>
          <w:b/>
          <w:szCs w:val="22"/>
        </w:rPr>
        <w:t>S2</w:t>
      </w:r>
      <w:r w:rsidR="006A51AB" w:rsidRPr="006A51AB">
        <w:rPr>
          <w:b/>
          <w:szCs w:val="22"/>
        </w:rPr>
        <w:t xml:space="preserve">. </w:t>
      </w:r>
      <w:r w:rsidR="003238E2" w:rsidRPr="006A51AB">
        <w:rPr>
          <w:b/>
          <w:szCs w:val="22"/>
        </w:rPr>
        <w:t xml:space="preserve">Full ANOVA results for </w:t>
      </w:r>
      <w:r w:rsidR="00D23B8D" w:rsidRPr="006A51AB">
        <w:rPr>
          <w:b/>
          <w:szCs w:val="22"/>
        </w:rPr>
        <w:t xml:space="preserve">the </w:t>
      </w:r>
      <w:r w:rsidR="00154A0E" w:rsidRPr="006A51AB">
        <w:rPr>
          <w:b/>
          <w:szCs w:val="22"/>
        </w:rPr>
        <w:t>late</w:t>
      </w:r>
      <w:r w:rsidR="00D23B8D" w:rsidRPr="006A51AB">
        <w:rPr>
          <w:b/>
          <w:szCs w:val="22"/>
        </w:rPr>
        <w:t>ralized readiness potential</w:t>
      </w:r>
      <w:r w:rsidR="00690BE2" w:rsidRPr="006A51AB">
        <w:rPr>
          <w:b/>
          <w:szCs w:val="22"/>
        </w:rPr>
        <w:t xml:space="preserve"> amplitude</w:t>
      </w:r>
      <w:r w:rsidR="00154A0E" w:rsidRPr="006A51AB">
        <w:rPr>
          <w:b/>
          <w:szCs w:val="22"/>
        </w:rPr>
        <w:t xml:space="preserve"> </w:t>
      </w:r>
      <w:r w:rsidR="003238E2" w:rsidRPr="006A51AB">
        <w:rPr>
          <w:b/>
          <w:szCs w:val="22"/>
        </w:rPr>
        <w:t xml:space="preserve">across </w:t>
      </w:r>
      <w:r w:rsidR="00690BE2" w:rsidRPr="006A51AB">
        <w:rPr>
          <w:b/>
          <w:szCs w:val="22"/>
        </w:rPr>
        <w:t>task periods</w:t>
      </w:r>
      <w:r w:rsidR="006A51AB" w:rsidRPr="006A51AB">
        <w:rPr>
          <w:b/>
          <w:szCs w:val="22"/>
        </w:rPr>
        <w:t>.</w:t>
      </w:r>
    </w:p>
    <w:tbl>
      <w:tblPr>
        <w:tblW w:w="9186" w:type="dxa"/>
        <w:tblLook w:val="04A0" w:firstRow="1" w:lastRow="0" w:firstColumn="1" w:lastColumn="0" w:noHBand="0" w:noVBand="1"/>
      </w:tblPr>
      <w:tblGrid>
        <w:gridCol w:w="1361"/>
        <w:gridCol w:w="2467"/>
        <w:gridCol w:w="283"/>
        <w:gridCol w:w="558"/>
        <w:gridCol w:w="1077"/>
        <w:gridCol w:w="1007"/>
        <w:gridCol w:w="1247"/>
        <w:gridCol w:w="1186"/>
      </w:tblGrid>
      <w:tr w:rsidR="00E651B4" w:rsidRPr="008B5651" w14:paraId="46E84D11" w14:textId="77777777" w:rsidTr="00947CFC">
        <w:trPr>
          <w:trHeight w:val="118"/>
        </w:trPr>
        <w:tc>
          <w:tcPr>
            <w:tcW w:w="1361" w:type="dxa"/>
            <w:tcBorders>
              <w:top w:val="single" w:sz="4" w:space="0" w:color="auto"/>
              <w:left w:val="nil"/>
              <w:bottom w:val="single" w:sz="12" w:space="0" w:color="auto"/>
              <w:right w:val="nil"/>
            </w:tcBorders>
            <w:vAlign w:val="center"/>
            <w:hideMark/>
          </w:tcPr>
          <w:p w14:paraId="44CAEB7E" w14:textId="77777777"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sz w:val="22"/>
                <w:szCs w:val="22"/>
              </w:rPr>
              <w:t>Period</w:t>
            </w:r>
          </w:p>
        </w:tc>
        <w:tc>
          <w:tcPr>
            <w:tcW w:w="2467" w:type="dxa"/>
            <w:tcBorders>
              <w:top w:val="single" w:sz="4" w:space="0" w:color="auto"/>
              <w:left w:val="nil"/>
              <w:bottom w:val="single" w:sz="12" w:space="0" w:color="auto"/>
              <w:right w:val="nil"/>
            </w:tcBorders>
            <w:vAlign w:val="center"/>
            <w:hideMark/>
          </w:tcPr>
          <w:p w14:paraId="37B90B1A" w14:textId="77777777" w:rsidR="00E651B4" w:rsidRPr="008C2F99" w:rsidRDefault="00E651B4" w:rsidP="0097462E">
            <w:pPr>
              <w:spacing w:after="0" w:line="240" w:lineRule="auto"/>
              <w:jc w:val="center"/>
              <w:rPr>
                <w:rFonts w:eastAsia="Times New Roman"/>
                <w:bCs/>
                <w:color w:val="000000"/>
                <w:sz w:val="18"/>
                <w:szCs w:val="18"/>
              </w:rPr>
            </w:pPr>
            <w:r w:rsidRPr="008C2F99">
              <w:rPr>
                <w:rFonts w:eastAsia="Times New Roman"/>
                <w:bCs/>
                <w:sz w:val="22"/>
                <w:szCs w:val="22"/>
              </w:rPr>
              <w:t>Effect tested</w:t>
            </w:r>
          </w:p>
        </w:tc>
        <w:tc>
          <w:tcPr>
            <w:tcW w:w="283" w:type="dxa"/>
            <w:tcBorders>
              <w:top w:val="single" w:sz="4" w:space="0" w:color="auto"/>
              <w:left w:val="nil"/>
              <w:bottom w:val="single" w:sz="12" w:space="0" w:color="auto"/>
              <w:right w:val="nil"/>
            </w:tcBorders>
            <w:noWrap/>
            <w:vAlign w:val="center"/>
            <w:hideMark/>
          </w:tcPr>
          <w:p w14:paraId="50EBC57A" w14:textId="77777777" w:rsidR="00E651B4" w:rsidRPr="008C2F99" w:rsidRDefault="00E651B4" w:rsidP="00E651B4">
            <w:pPr>
              <w:spacing w:after="0" w:line="240" w:lineRule="auto"/>
              <w:jc w:val="center"/>
              <w:rPr>
                <w:rFonts w:eastAsia="Times New Roman"/>
                <w:color w:val="000000"/>
                <w:sz w:val="18"/>
                <w:szCs w:val="18"/>
              </w:rPr>
            </w:pPr>
          </w:p>
        </w:tc>
        <w:tc>
          <w:tcPr>
            <w:tcW w:w="558" w:type="dxa"/>
            <w:tcBorders>
              <w:top w:val="single" w:sz="4" w:space="0" w:color="auto"/>
              <w:left w:val="nil"/>
              <w:bottom w:val="single" w:sz="12" w:space="0" w:color="auto"/>
              <w:right w:val="nil"/>
            </w:tcBorders>
            <w:noWrap/>
            <w:vAlign w:val="bottom"/>
            <w:hideMark/>
          </w:tcPr>
          <w:p w14:paraId="0003BBC8" w14:textId="77777777"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sz w:val="22"/>
                <w:szCs w:val="22"/>
              </w:rPr>
              <w:t>df1</w:t>
            </w:r>
          </w:p>
        </w:tc>
        <w:tc>
          <w:tcPr>
            <w:tcW w:w="1077" w:type="dxa"/>
            <w:tcBorders>
              <w:top w:val="single" w:sz="4" w:space="0" w:color="auto"/>
              <w:left w:val="nil"/>
              <w:bottom w:val="single" w:sz="12" w:space="0" w:color="auto"/>
              <w:right w:val="nil"/>
            </w:tcBorders>
            <w:noWrap/>
            <w:vAlign w:val="bottom"/>
            <w:hideMark/>
          </w:tcPr>
          <w:p w14:paraId="2A478EB2" w14:textId="77777777"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sz w:val="22"/>
                <w:szCs w:val="22"/>
              </w:rPr>
              <w:t>df2</w:t>
            </w:r>
          </w:p>
        </w:tc>
        <w:tc>
          <w:tcPr>
            <w:tcW w:w="1007" w:type="dxa"/>
            <w:tcBorders>
              <w:top w:val="single" w:sz="4" w:space="0" w:color="auto"/>
              <w:left w:val="nil"/>
              <w:bottom w:val="single" w:sz="12" w:space="0" w:color="auto"/>
              <w:right w:val="nil"/>
            </w:tcBorders>
            <w:noWrap/>
            <w:vAlign w:val="bottom"/>
            <w:hideMark/>
          </w:tcPr>
          <w:p w14:paraId="163A0E7F" w14:textId="77777777" w:rsidR="00E651B4" w:rsidRPr="008C2F99" w:rsidRDefault="00E651B4" w:rsidP="00E651B4">
            <w:pPr>
              <w:spacing w:after="0" w:line="240" w:lineRule="auto"/>
              <w:jc w:val="center"/>
              <w:rPr>
                <w:rFonts w:eastAsia="Times New Roman"/>
                <w:bCs/>
                <w:i/>
                <w:color w:val="000000"/>
                <w:sz w:val="18"/>
                <w:szCs w:val="18"/>
              </w:rPr>
            </w:pPr>
            <w:r w:rsidRPr="008C2F99">
              <w:rPr>
                <w:rFonts w:eastAsia="Times New Roman"/>
                <w:bCs/>
                <w:i/>
                <w:color w:val="000000"/>
                <w:sz w:val="22"/>
                <w:szCs w:val="22"/>
              </w:rPr>
              <w:t>F</w:t>
            </w:r>
          </w:p>
        </w:tc>
        <w:tc>
          <w:tcPr>
            <w:tcW w:w="1247" w:type="dxa"/>
            <w:tcBorders>
              <w:top w:val="single" w:sz="4" w:space="0" w:color="auto"/>
              <w:left w:val="nil"/>
              <w:bottom w:val="single" w:sz="12" w:space="0" w:color="auto"/>
              <w:right w:val="nil"/>
            </w:tcBorders>
            <w:noWrap/>
            <w:vAlign w:val="bottom"/>
            <w:hideMark/>
          </w:tcPr>
          <w:p w14:paraId="4C4AD88B" w14:textId="77777777"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i/>
                <w:color w:val="000000"/>
                <w:sz w:val="22"/>
                <w:szCs w:val="22"/>
              </w:rPr>
              <w:t>p</w:t>
            </w:r>
            <w:r w:rsidRPr="008C2F99">
              <w:rPr>
                <w:rFonts w:eastAsia="Times New Roman"/>
                <w:bCs/>
                <w:sz w:val="22"/>
                <w:szCs w:val="22"/>
              </w:rPr>
              <w:t>-value</w:t>
            </w:r>
          </w:p>
        </w:tc>
        <w:tc>
          <w:tcPr>
            <w:tcW w:w="1186" w:type="dxa"/>
            <w:tcBorders>
              <w:top w:val="single" w:sz="4" w:space="0" w:color="auto"/>
              <w:left w:val="nil"/>
              <w:bottom w:val="single" w:sz="12" w:space="0" w:color="auto"/>
              <w:right w:val="nil"/>
            </w:tcBorders>
            <w:vAlign w:val="bottom"/>
            <w:hideMark/>
          </w:tcPr>
          <w:p w14:paraId="6E6229BE" w14:textId="77777777" w:rsidR="00E651B4" w:rsidRPr="008C2F99" w:rsidRDefault="00E651B4" w:rsidP="00E651B4">
            <w:pPr>
              <w:spacing w:after="0" w:line="240" w:lineRule="auto"/>
              <w:jc w:val="center"/>
              <w:rPr>
                <w:rFonts w:eastAsia="Times New Roman"/>
                <w:bCs/>
                <w:i/>
                <w:color w:val="000000"/>
                <w:sz w:val="18"/>
                <w:szCs w:val="18"/>
              </w:rPr>
            </w:pPr>
            <w:r w:rsidRPr="008C2F99">
              <w:rPr>
                <w:i/>
                <w:sz w:val="22"/>
                <w:szCs w:val="22"/>
              </w:rPr>
              <w:t>η</w:t>
            </w:r>
            <w:r w:rsidRPr="008C2F99">
              <w:rPr>
                <w:rStyle w:val="mord"/>
                <w:i/>
                <w:sz w:val="22"/>
                <w:szCs w:val="22"/>
                <w:vertAlign w:val="subscript"/>
              </w:rPr>
              <w:t>p</w:t>
            </w:r>
            <w:r w:rsidRPr="008C2F99">
              <w:rPr>
                <w:rStyle w:val="mord"/>
                <w:i/>
                <w:sz w:val="22"/>
                <w:szCs w:val="22"/>
                <w:vertAlign w:val="superscript"/>
              </w:rPr>
              <w:t>2</w:t>
            </w:r>
          </w:p>
        </w:tc>
      </w:tr>
      <w:tr w:rsidR="00E82EA7" w:rsidRPr="008B5651" w14:paraId="53E9BDFF" w14:textId="77777777" w:rsidTr="00132A83">
        <w:trPr>
          <w:trHeight w:val="118"/>
        </w:trPr>
        <w:tc>
          <w:tcPr>
            <w:tcW w:w="1361" w:type="dxa"/>
            <w:vMerge w:val="restart"/>
            <w:tcBorders>
              <w:top w:val="nil"/>
              <w:left w:val="nil"/>
              <w:bottom w:val="nil"/>
              <w:right w:val="nil"/>
            </w:tcBorders>
            <w:noWrap/>
            <w:vAlign w:val="center"/>
            <w:hideMark/>
          </w:tcPr>
          <w:p w14:paraId="58E1665B" w14:textId="77777777" w:rsidR="00E82EA7" w:rsidRPr="008C2F99" w:rsidRDefault="00E82EA7" w:rsidP="003238E2">
            <w:pPr>
              <w:spacing w:after="0" w:line="240" w:lineRule="auto"/>
              <w:jc w:val="center"/>
              <w:rPr>
                <w:rFonts w:eastAsia="Times New Roman"/>
                <w:bCs/>
                <w:color w:val="000000"/>
                <w:sz w:val="22"/>
                <w:szCs w:val="22"/>
              </w:rPr>
            </w:pPr>
            <w:r>
              <w:t>Stimulus</w:t>
            </w:r>
          </w:p>
        </w:tc>
        <w:tc>
          <w:tcPr>
            <w:tcW w:w="2467" w:type="dxa"/>
            <w:tcBorders>
              <w:top w:val="nil"/>
              <w:left w:val="nil"/>
              <w:bottom w:val="nil"/>
              <w:right w:val="nil"/>
            </w:tcBorders>
            <w:vAlign w:val="center"/>
            <w:hideMark/>
          </w:tcPr>
          <w:p w14:paraId="5A20A17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w:t>
            </w:r>
          </w:p>
        </w:tc>
        <w:tc>
          <w:tcPr>
            <w:tcW w:w="283" w:type="dxa"/>
            <w:tcBorders>
              <w:top w:val="nil"/>
              <w:left w:val="nil"/>
              <w:bottom w:val="nil"/>
              <w:right w:val="nil"/>
            </w:tcBorders>
            <w:noWrap/>
            <w:vAlign w:val="bottom"/>
            <w:hideMark/>
          </w:tcPr>
          <w:p w14:paraId="30DEA44D"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851EA8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299FEF2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nil"/>
              <w:left w:val="nil"/>
              <w:bottom w:val="nil"/>
              <w:right w:val="nil"/>
            </w:tcBorders>
            <w:noWrap/>
            <w:vAlign w:val="center"/>
            <w:hideMark/>
          </w:tcPr>
          <w:p w14:paraId="77A5788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0.614</w:t>
            </w:r>
          </w:p>
        </w:tc>
        <w:tc>
          <w:tcPr>
            <w:tcW w:w="1247" w:type="dxa"/>
            <w:tcBorders>
              <w:top w:val="nil"/>
              <w:left w:val="nil"/>
              <w:bottom w:val="nil"/>
              <w:right w:val="nil"/>
            </w:tcBorders>
            <w:noWrap/>
            <w:vAlign w:val="center"/>
            <w:hideMark/>
          </w:tcPr>
          <w:p w14:paraId="220E1EC6"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.442</w:t>
            </w:r>
          </w:p>
        </w:tc>
        <w:tc>
          <w:tcPr>
            <w:tcW w:w="1186" w:type="dxa"/>
            <w:tcBorders>
              <w:top w:val="nil"/>
              <w:left w:val="nil"/>
              <w:bottom w:val="nil"/>
              <w:right w:val="nil"/>
            </w:tcBorders>
            <w:noWrap/>
            <w:vAlign w:val="center"/>
            <w:hideMark/>
          </w:tcPr>
          <w:p w14:paraId="12BF6747"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6061A144" w14:textId="77777777" w:rsidTr="00132A83">
        <w:trPr>
          <w:trHeight w:val="118"/>
        </w:trPr>
        <w:tc>
          <w:tcPr>
            <w:tcW w:w="1361" w:type="dxa"/>
            <w:vMerge/>
            <w:tcBorders>
              <w:top w:val="nil"/>
              <w:left w:val="nil"/>
              <w:bottom w:val="nil"/>
              <w:right w:val="nil"/>
            </w:tcBorders>
            <w:vAlign w:val="center"/>
            <w:hideMark/>
          </w:tcPr>
          <w:p w14:paraId="492ACA1C"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998724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coherence</w:t>
            </w:r>
          </w:p>
        </w:tc>
        <w:tc>
          <w:tcPr>
            <w:tcW w:w="283" w:type="dxa"/>
            <w:tcBorders>
              <w:top w:val="nil"/>
              <w:left w:val="nil"/>
              <w:bottom w:val="nil"/>
              <w:right w:val="nil"/>
            </w:tcBorders>
            <w:noWrap/>
            <w:vAlign w:val="bottom"/>
            <w:hideMark/>
          </w:tcPr>
          <w:p w14:paraId="38651364"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18A5B80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1.75</w:t>
            </w:r>
          </w:p>
        </w:tc>
        <w:tc>
          <w:tcPr>
            <w:tcW w:w="1077" w:type="dxa"/>
            <w:tcBorders>
              <w:top w:val="nil"/>
              <w:left w:val="nil"/>
              <w:bottom w:val="nil"/>
              <w:right w:val="nil"/>
            </w:tcBorders>
            <w:noWrap/>
            <w:vAlign w:val="center"/>
            <w:hideMark/>
          </w:tcPr>
          <w:p w14:paraId="2890953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36.66</w:t>
            </w:r>
          </w:p>
        </w:tc>
        <w:tc>
          <w:tcPr>
            <w:tcW w:w="1007" w:type="dxa"/>
            <w:tcBorders>
              <w:top w:val="nil"/>
              <w:left w:val="nil"/>
              <w:bottom w:val="nil"/>
              <w:right w:val="nil"/>
            </w:tcBorders>
            <w:noWrap/>
            <w:vAlign w:val="center"/>
            <w:hideMark/>
          </w:tcPr>
          <w:p w14:paraId="4DB9482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1.498</w:t>
            </w:r>
          </w:p>
        </w:tc>
        <w:tc>
          <w:tcPr>
            <w:tcW w:w="1247" w:type="dxa"/>
            <w:tcBorders>
              <w:top w:val="nil"/>
              <w:left w:val="nil"/>
              <w:bottom w:val="nil"/>
              <w:right w:val="nil"/>
            </w:tcBorders>
            <w:noWrap/>
            <w:vAlign w:val="center"/>
            <w:hideMark/>
          </w:tcPr>
          <w:p w14:paraId="5812E773"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.237</w:t>
            </w:r>
          </w:p>
        </w:tc>
        <w:tc>
          <w:tcPr>
            <w:tcW w:w="1186" w:type="dxa"/>
            <w:tcBorders>
              <w:top w:val="nil"/>
              <w:left w:val="nil"/>
              <w:bottom w:val="nil"/>
              <w:right w:val="nil"/>
            </w:tcBorders>
            <w:noWrap/>
            <w:vAlign w:val="center"/>
            <w:hideMark/>
          </w:tcPr>
          <w:p w14:paraId="6845FF57"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49569C89" w14:textId="77777777" w:rsidTr="00132A83">
        <w:trPr>
          <w:trHeight w:val="118"/>
        </w:trPr>
        <w:tc>
          <w:tcPr>
            <w:tcW w:w="1361" w:type="dxa"/>
            <w:vMerge/>
            <w:tcBorders>
              <w:top w:val="nil"/>
              <w:left w:val="nil"/>
              <w:bottom w:val="nil"/>
              <w:right w:val="nil"/>
            </w:tcBorders>
            <w:vAlign w:val="center"/>
            <w:hideMark/>
          </w:tcPr>
          <w:p w14:paraId="1C74A6CA"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422F5B3D" w14:textId="77777777" w:rsidR="00E82EA7" w:rsidRPr="008C2F99" w:rsidRDefault="00E82EA7" w:rsidP="003238E2">
            <w:pPr>
              <w:spacing w:after="0" w:line="240" w:lineRule="auto"/>
              <w:jc w:val="center"/>
              <w:rPr>
                <w:rFonts w:eastAsia="Times New Roman"/>
                <w:color w:val="000000"/>
                <w:sz w:val="18"/>
                <w:szCs w:val="18"/>
              </w:rPr>
            </w:pPr>
            <w:r>
              <w:t>time, linear</w:t>
            </w:r>
          </w:p>
        </w:tc>
        <w:tc>
          <w:tcPr>
            <w:tcW w:w="283" w:type="dxa"/>
            <w:tcBorders>
              <w:top w:val="nil"/>
              <w:left w:val="nil"/>
              <w:bottom w:val="nil"/>
              <w:right w:val="nil"/>
            </w:tcBorders>
            <w:noWrap/>
            <w:vAlign w:val="bottom"/>
            <w:hideMark/>
          </w:tcPr>
          <w:p w14:paraId="2DCC146B"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09381DDF" w14:textId="77777777" w:rsidR="00205CBC" w:rsidRDefault="00000000">
            <w:r>
              <w:rPr>
                <w:color w:val="1F4E9E"/>
              </w:rPr>
              <w:t>1</w:t>
            </w:r>
          </w:p>
        </w:tc>
        <w:tc>
          <w:tcPr>
            <w:tcW w:w="1077" w:type="dxa"/>
            <w:tcBorders>
              <w:top w:val="nil"/>
              <w:left w:val="nil"/>
              <w:bottom w:val="nil"/>
              <w:right w:val="nil"/>
            </w:tcBorders>
            <w:noWrap/>
            <w:vAlign w:val="center"/>
            <w:hideMark/>
          </w:tcPr>
          <w:p w14:paraId="48DEB50D" w14:textId="77777777" w:rsidR="00205CBC" w:rsidRDefault="00000000">
            <w:r>
              <w:rPr>
                <w:color w:val="1F4E9E"/>
              </w:rPr>
              <w:t>21</w:t>
            </w:r>
          </w:p>
        </w:tc>
        <w:tc>
          <w:tcPr>
            <w:tcW w:w="1007" w:type="dxa"/>
            <w:tcBorders>
              <w:top w:val="nil"/>
              <w:left w:val="nil"/>
              <w:bottom w:val="nil"/>
              <w:right w:val="nil"/>
            </w:tcBorders>
            <w:noWrap/>
            <w:vAlign w:val="center"/>
            <w:hideMark/>
          </w:tcPr>
          <w:p w14:paraId="22D480AD" w14:textId="77777777" w:rsidR="00205CBC" w:rsidRDefault="00000000">
            <w:r>
              <w:rPr>
                <w:color w:val="1F4E9E"/>
              </w:rPr>
              <w:t>0.497</w:t>
            </w:r>
          </w:p>
        </w:tc>
        <w:tc>
          <w:tcPr>
            <w:tcW w:w="1247" w:type="dxa"/>
            <w:tcBorders>
              <w:top w:val="nil"/>
              <w:left w:val="nil"/>
              <w:bottom w:val="nil"/>
              <w:right w:val="nil"/>
            </w:tcBorders>
            <w:noWrap/>
            <w:vAlign w:val="center"/>
            <w:hideMark/>
          </w:tcPr>
          <w:p w14:paraId="4D59353A" w14:textId="77777777" w:rsidR="00205CBC" w:rsidRDefault="00000000">
            <w:r>
              <w:rPr>
                <w:color w:val="1F4E9E"/>
              </w:rPr>
              <w:t>p = .489</w:t>
            </w:r>
          </w:p>
        </w:tc>
        <w:tc>
          <w:tcPr>
            <w:tcW w:w="1186" w:type="dxa"/>
            <w:tcBorders>
              <w:top w:val="nil"/>
              <w:left w:val="nil"/>
              <w:bottom w:val="nil"/>
              <w:right w:val="nil"/>
            </w:tcBorders>
            <w:noWrap/>
            <w:vAlign w:val="center"/>
            <w:hideMark/>
          </w:tcPr>
          <w:p w14:paraId="725BDDBD" w14:textId="77777777" w:rsidR="00205CBC" w:rsidRDefault="00000000">
            <w:r>
              <w:rPr>
                <w:color w:val="1F4E9E"/>
              </w:rPr>
              <w:t>0.023</w:t>
            </w:r>
          </w:p>
        </w:tc>
      </w:tr>
      <w:tr w:rsidR="00E82EA7" w:rsidRPr="008B5651" w14:paraId="79ECD7DD" w14:textId="77777777" w:rsidTr="00132A83">
        <w:trPr>
          <w:trHeight w:val="118"/>
        </w:trPr>
        <w:tc>
          <w:tcPr>
            <w:tcW w:w="1361" w:type="dxa"/>
            <w:vMerge/>
            <w:tcBorders>
              <w:top w:val="nil"/>
              <w:left w:val="nil"/>
              <w:bottom w:val="nil"/>
              <w:right w:val="nil"/>
            </w:tcBorders>
            <w:vAlign w:val="center"/>
            <w:hideMark/>
          </w:tcPr>
          <w:p w14:paraId="1AC01DCC"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5743CF6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coherence</w:t>
            </w:r>
          </w:p>
        </w:tc>
        <w:tc>
          <w:tcPr>
            <w:tcW w:w="283" w:type="dxa"/>
            <w:tcBorders>
              <w:top w:val="nil"/>
              <w:left w:val="nil"/>
              <w:bottom w:val="nil"/>
              <w:right w:val="nil"/>
            </w:tcBorders>
            <w:noWrap/>
            <w:vAlign w:val="bottom"/>
            <w:hideMark/>
          </w:tcPr>
          <w:p w14:paraId="5F78C0BD"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6870B7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1.87</w:t>
            </w:r>
          </w:p>
        </w:tc>
        <w:tc>
          <w:tcPr>
            <w:tcW w:w="1077" w:type="dxa"/>
            <w:tcBorders>
              <w:top w:val="nil"/>
              <w:left w:val="nil"/>
              <w:bottom w:val="nil"/>
              <w:right w:val="nil"/>
            </w:tcBorders>
            <w:noWrap/>
            <w:vAlign w:val="center"/>
            <w:hideMark/>
          </w:tcPr>
          <w:p w14:paraId="75CEE6C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39.26</w:t>
            </w:r>
          </w:p>
        </w:tc>
        <w:tc>
          <w:tcPr>
            <w:tcW w:w="1007" w:type="dxa"/>
            <w:tcBorders>
              <w:top w:val="nil"/>
              <w:left w:val="nil"/>
              <w:bottom w:val="nil"/>
              <w:right w:val="nil"/>
            </w:tcBorders>
            <w:noWrap/>
            <w:vAlign w:val="center"/>
            <w:hideMark/>
          </w:tcPr>
          <w:p w14:paraId="1D77923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0.387</w:t>
            </w:r>
          </w:p>
        </w:tc>
        <w:tc>
          <w:tcPr>
            <w:tcW w:w="1247" w:type="dxa"/>
            <w:tcBorders>
              <w:top w:val="nil"/>
              <w:left w:val="nil"/>
              <w:bottom w:val="nil"/>
              <w:right w:val="nil"/>
            </w:tcBorders>
            <w:noWrap/>
            <w:vAlign w:val="center"/>
            <w:hideMark/>
          </w:tcPr>
          <w:p w14:paraId="0F313DD9"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.668</w:t>
            </w:r>
          </w:p>
        </w:tc>
        <w:tc>
          <w:tcPr>
            <w:tcW w:w="1186" w:type="dxa"/>
            <w:tcBorders>
              <w:top w:val="nil"/>
              <w:left w:val="nil"/>
              <w:bottom w:val="nil"/>
              <w:right w:val="nil"/>
            </w:tcBorders>
            <w:noWrap/>
            <w:vAlign w:val="bottom"/>
            <w:hideMark/>
          </w:tcPr>
          <w:p w14:paraId="6F1E5697"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6449751" w14:textId="77777777" w:rsidTr="00132A83">
        <w:trPr>
          <w:trHeight w:val="118"/>
        </w:trPr>
        <w:tc>
          <w:tcPr>
            <w:tcW w:w="1361" w:type="dxa"/>
            <w:vMerge/>
            <w:tcBorders>
              <w:top w:val="nil"/>
              <w:left w:val="nil"/>
              <w:bottom w:val="nil"/>
              <w:right w:val="nil"/>
            </w:tcBorders>
            <w:vAlign w:val="center"/>
            <w:hideMark/>
          </w:tcPr>
          <w:p w14:paraId="0E22209D"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4E49ED18" w14:textId="77777777" w:rsidR="00E82EA7" w:rsidRPr="008C2F99" w:rsidRDefault="00E82EA7" w:rsidP="003238E2">
            <w:pPr>
              <w:spacing w:after="0" w:line="240" w:lineRule="auto"/>
              <w:jc w:val="center"/>
              <w:rPr>
                <w:rFonts w:eastAsia="Times New Roman"/>
                <w:color w:val="000000"/>
                <w:sz w:val="18"/>
                <w:szCs w:val="18"/>
              </w:rPr>
            </w:pPr>
            <w:r>
              <w:t>duration × time, linear</w:t>
            </w:r>
          </w:p>
        </w:tc>
        <w:tc>
          <w:tcPr>
            <w:tcW w:w="283" w:type="dxa"/>
            <w:tcBorders>
              <w:top w:val="nil"/>
              <w:left w:val="nil"/>
              <w:bottom w:val="nil"/>
              <w:right w:val="nil"/>
            </w:tcBorders>
            <w:noWrap/>
            <w:vAlign w:val="bottom"/>
            <w:hideMark/>
          </w:tcPr>
          <w:p w14:paraId="05198531"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F17699D" w14:textId="77777777" w:rsidR="00205CBC" w:rsidRDefault="00000000">
            <w:r>
              <w:rPr>
                <w:color w:val="1F4E9E"/>
              </w:rPr>
              <w:t>1</w:t>
            </w:r>
          </w:p>
        </w:tc>
        <w:tc>
          <w:tcPr>
            <w:tcW w:w="1077" w:type="dxa"/>
            <w:tcBorders>
              <w:top w:val="nil"/>
              <w:left w:val="nil"/>
              <w:bottom w:val="nil"/>
              <w:right w:val="nil"/>
            </w:tcBorders>
            <w:noWrap/>
            <w:vAlign w:val="center"/>
            <w:hideMark/>
          </w:tcPr>
          <w:p w14:paraId="003B8A73" w14:textId="77777777" w:rsidR="00205CBC" w:rsidRDefault="00000000">
            <w:r>
              <w:rPr>
                <w:color w:val="1F4E9E"/>
              </w:rPr>
              <w:t>21</w:t>
            </w:r>
          </w:p>
        </w:tc>
        <w:tc>
          <w:tcPr>
            <w:tcW w:w="1007" w:type="dxa"/>
            <w:tcBorders>
              <w:top w:val="nil"/>
              <w:left w:val="nil"/>
              <w:bottom w:val="nil"/>
              <w:right w:val="nil"/>
            </w:tcBorders>
            <w:noWrap/>
            <w:vAlign w:val="center"/>
            <w:hideMark/>
          </w:tcPr>
          <w:p w14:paraId="073B0C29" w14:textId="77777777" w:rsidR="00205CBC" w:rsidRDefault="00000000">
            <w:r>
              <w:rPr>
                <w:color w:val="1F4E9E"/>
              </w:rPr>
              <w:t>2.222</w:t>
            </w:r>
          </w:p>
        </w:tc>
        <w:tc>
          <w:tcPr>
            <w:tcW w:w="1247" w:type="dxa"/>
            <w:tcBorders>
              <w:top w:val="nil"/>
              <w:left w:val="nil"/>
              <w:bottom w:val="nil"/>
              <w:right w:val="nil"/>
            </w:tcBorders>
            <w:noWrap/>
            <w:vAlign w:val="center"/>
            <w:hideMark/>
          </w:tcPr>
          <w:p w14:paraId="7F4E4514" w14:textId="77777777" w:rsidR="00205CBC" w:rsidRDefault="00000000">
            <w:r>
              <w:rPr>
                <w:color w:val="1F4E9E"/>
              </w:rPr>
              <w:t>p = .151</w:t>
            </w:r>
          </w:p>
        </w:tc>
        <w:tc>
          <w:tcPr>
            <w:tcW w:w="1186" w:type="dxa"/>
            <w:tcBorders>
              <w:top w:val="nil"/>
              <w:left w:val="nil"/>
              <w:bottom w:val="nil"/>
              <w:right w:val="nil"/>
            </w:tcBorders>
            <w:noWrap/>
            <w:vAlign w:val="center"/>
            <w:hideMark/>
          </w:tcPr>
          <w:p w14:paraId="78BD03B8" w14:textId="77777777" w:rsidR="00205CBC" w:rsidRDefault="00000000">
            <w:r>
              <w:rPr>
                <w:color w:val="1F4E9E"/>
              </w:rPr>
              <w:t>0.096</w:t>
            </w:r>
          </w:p>
        </w:tc>
      </w:tr>
      <w:tr w:rsidR="00E82EA7" w:rsidRPr="008B5651" w14:paraId="19D7B37C" w14:textId="77777777" w:rsidTr="00132A83">
        <w:trPr>
          <w:trHeight w:val="118"/>
        </w:trPr>
        <w:tc>
          <w:tcPr>
            <w:tcW w:w="1361" w:type="dxa"/>
            <w:vMerge/>
            <w:tcBorders>
              <w:top w:val="nil"/>
              <w:left w:val="nil"/>
              <w:bottom w:val="nil"/>
              <w:right w:val="nil"/>
            </w:tcBorders>
            <w:vAlign w:val="center"/>
            <w:hideMark/>
          </w:tcPr>
          <w:p w14:paraId="106DC071"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5D7C6380" w14:textId="77777777" w:rsidR="00E82EA7" w:rsidRPr="008C2F99" w:rsidRDefault="00E82EA7" w:rsidP="003238E2">
            <w:pPr>
              <w:spacing w:after="0" w:line="240" w:lineRule="auto"/>
              <w:jc w:val="center"/>
              <w:rPr>
                <w:rFonts w:eastAsia="Times New Roman"/>
                <w:color w:val="000000"/>
                <w:sz w:val="18"/>
                <w:szCs w:val="18"/>
              </w:rPr>
            </w:pPr>
            <w:r>
              <w:t>coherence × time, linear</w:t>
            </w:r>
          </w:p>
        </w:tc>
        <w:tc>
          <w:tcPr>
            <w:tcW w:w="283" w:type="dxa"/>
            <w:tcBorders>
              <w:top w:val="nil"/>
              <w:left w:val="nil"/>
              <w:bottom w:val="nil"/>
              <w:right w:val="nil"/>
            </w:tcBorders>
            <w:noWrap/>
            <w:vAlign w:val="bottom"/>
            <w:hideMark/>
          </w:tcPr>
          <w:p w14:paraId="0802050A"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5087F473" w14:textId="77777777" w:rsidR="00205CBC" w:rsidRDefault="00000000">
            <w:r>
              <w:rPr>
                <w:color w:val="1F4E9E"/>
              </w:rPr>
              <w:t>1.49</w:t>
            </w:r>
          </w:p>
        </w:tc>
        <w:tc>
          <w:tcPr>
            <w:tcW w:w="1077" w:type="dxa"/>
            <w:tcBorders>
              <w:top w:val="nil"/>
              <w:left w:val="nil"/>
              <w:bottom w:val="nil"/>
              <w:right w:val="nil"/>
            </w:tcBorders>
            <w:noWrap/>
            <w:vAlign w:val="center"/>
            <w:hideMark/>
          </w:tcPr>
          <w:p w14:paraId="0AB9B2E0" w14:textId="77777777" w:rsidR="00205CBC" w:rsidRDefault="00000000">
            <w:r>
              <w:rPr>
                <w:color w:val="1F4E9E"/>
              </w:rPr>
              <w:t>31.27</w:t>
            </w:r>
          </w:p>
        </w:tc>
        <w:tc>
          <w:tcPr>
            <w:tcW w:w="1007" w:type="dxa"/>
            <w:tcBorders>
              <w:top w:val="nil"/>
              <w:left w:val="nil"/>
              <w:bottom w:val="nil"/>
              <w:right w:val="nil"/>
            </w:tcBorders>
            <w:noWrap/>
            <w:vAlign w:val="center"/>
            <w:hideMark/>
          </w:tcPr>
          <w:p w14:paraId="110FFFB6" w14:textId="77777777" w:rsidR="00205CBC" w:rsidRDefault="00000000">
            <w:r>
              <w:rPr>
                <w:color w:val="1F4E9E"/>
              </w:rPr>
              <w:t>0.551</w:t>
            </w:r>
          </w:p>
        </w:tc>
        <w:tc>
          <w:tcPr>
            <w:tcW w:w="1247" w:type="dxa"/>
            <w:tcBorders>
              <w:top w:val="nil"/>
              <w:left w:val="nil"/>
              <w:bottom w:val="nil"/>
              <w:right w:val="nil"/>
            </w:tcBorders>
            <w:noWrap/>
            <w:vAlign w:val="center"/>
            <w:hideMark/>
          </w:tcPr>
          <w:p w14:paraId="2DD1B5C5" w14:textId="77777777" w:rsidR="00205CBC" w:rsidRDefault="00000000">
            <w:r>
              <w:rPr>
                <w:color w:val="1F4E9E"/>
              </w:rPr>
              <w:t>p = .531</w:t>
            </w:r>
          </w:p>
        </w:tc>
        <w:tc>
          <w:tcPr>
            <w:tcW w:w="1186" w:type="dxa"/>
            <w:tcBorders>
              <w:top w:val="nil"/>
              <w:left w:val="nil"/>
              <w:bottom w:val="nil"/>
              <w:right w:val="nil"/>
            </w:tcBorders>
            <w:noWrap/>
            <w:vAlign w:val="center"/>
            <w:hideMark/>
          </w:tcPr>
          <w:p w14:paraId="6137196F" w14:textId="77777777" w:rsidR="00205CBC" w:rsidRDefault="00000000">
            <w:r>
              <w:rPr>
                <w:color w:val="1F4E9E"/>
              </w:rPr>
              <w:t>0.026</w:t>
            </w:r>
          </w:p>
        </w:tc>
      </w:tr>
      <w:tr w:rsidR="00E82EA7" w:rsidRPr="008B5651" w14:paraId="2C4FEE4B" w14:textId="77777777" w:rsidTr="00132A83">
        <w:trPr>
          <w:trHeight w:val="118"/>
        </w:trPr>
        <w:tc>
          <w:tcPr>
            <w:tcW w:w="1361" w:type="dxa"/>
            <w:vMerge/>
            <w:tcBorders>
              <w:top w:val="nil"/>
              <w:left w:val="nil"/>
              <w:bottom w:val="nil"/>
              <w:right w:val="nil"/>
            </w:tcBorders>
            <w:vAlign w:val="center"/>
            <w:hideMark/>
          </w:tcPr>
          <w:p w14:paraId="030D4EB4"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090FAC6" w14:textId="77777777" w:rsidR="00E82EA7" w:rsidRPr="008C2F99" w:rsidRDefault="00E82EA7" w:rsidP="003238E2">
            <w:pPr>
              <w:spacing w:after="0" w:line="240" w:lineRule="auto"/>
              <w:jc w:val="center"/>
              <w:rPr>
                <w:rFonts w:eastAsia="Times New Roman"/>
                <w:color w:val="000000"/>
                <w:sz w:val="18"/>
                <w:szCs w:val="18"/>
              </w:rPr>
            </w:pPr>
            <w:r>
              <w:t>duration × coherence × time, linear</w:t>
            </w:r>
          </w:p>
        </w:tc>
        <w:tc>
          <w:tcPr>
            <w:tcW w:w="283" w:type="dxa"/>
            <w:tcBorders>
              <w:top w:val="nil"/>
              <w:left w:val="nil"/>
              <w:bottom w:val="nil"/>
              <w:right w:val="nil"/>
            </w:tcBorders>
            <w:noWrap/>
            <w:vAlign w:val="center"/>
            <w:hideMark/>
          </w:tcPr>
          <w:p w14:paraId="44F15E4A"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7ABB1DFD" w14:textId="77777777" w:rsidR="00205CBC" w:rsidRDefault="00000000">
            <w:r>
              <w:rPr>
                <w:color w:val="1F4E9E"/>
              </w:rPr>
              <w:t>1.97</w:t>
            </w:r>
          </w:p>
        </w:tc>
        <w:tc>
          <w:tcPr>
            <w:tcW w:w="1077" w:type="dxa"/>
            <w:tcBorders>
              <w:top w:val="nil"/>
              <w:left w:val="nil"/>
              <w:bottom w:val="nil"/>
              <w:right w:val="nil"/>
            </w:tcBorders>
            <w:noWrap/>
            <w:vAlign w:val="center"/>
            <w:hideMark/>
          </w:tcPr>
          <w:p w14:paraId="777A5C55" w14:textId="77777777" w:rsidR="00205CBC" w:rsidRDefault="00000000">
            <w:r>
              <w:rPr>
                <w:color w:val="1F4E9E"/>
              </w:rPr>
              <w:t>41.44</w:t>
            </w:r>
          </w:p>
        </w:tc>
        <w:tc>
          <w:tcPr>
            <w:tcW w:w="1007" w:type="dxa"/>
            <w:tcBorders>
              <w:top w:val="nil"/>
              <w:left w:val="nil"/>
              <w:bottom w:val="nil"/>
              <w:right w:val="nil"/>
            </w:tcBorders>
            <w:noWrap/>
            <w:vAlign w:val="center"/>
            <w:hideMark/>
          </w:tcPr>
          <w:p w14:paraId="2C351899" w14:textId="77777777" w:rsidR="00205CBC" w:rsidRDefault="00000000">
            <w:r>
              <w:rPr>
                <w:color w:val="1F4E9E"/>
              </w:rPr>
              <w:t>0.169</w:t>
            </w:r>
          </w:p>
        </w:tc>
        <w:tc>
          <w:tcPr>
            <w:tcW w:w="1247" w:type="dxa"/>
            <w:tcBorders>
              <w:top w:val="nil"/>
              <w:left w:val="nil"/>
              <w:bottom w:val="nil"/>
              <w:right w:val="nil"/>
            </w:tcBorders>
            <w:noWrap/>
            <w:vAlign w:val="center"/>
            <w:hideMark/>
          </w:tcPr>
          <w:p w14:paraId="0BFD78D5" w14:textId="77777777" w:rsidR="00205CBC" w:rsidRDefault="00000000">
            <w:r>
              <w:rPr>
                <w:color w:val="1F4E9E"/>
              </w:rPr>
              <w:t>p = .843</w:t>
            </w:r>
          </w:p>
        </w:tc>
        <w:tc>
          <w:tcPr>
            <w:tcW w:w="1186" w:type="dxa"/>
            <w:tcBorders>
              <w:top w:val="nil"/>
              <w:left w:val="nil"/>
              <w:bottom w:val="nil"/>
              <w:right w:val="nil"/>
            </w:tcBorders>
            <w:noWrap/>
            <w:vAlign w:val="center"/>
            <w:hideMark/>
          </w:tcPr>
          <w:p w14:paraId="16112F4A" w14:textId="77777777" w:rsidR="00205CBC" w:rsidRDefault="00000000">
            <w:r>
              <w:rPr>
                <w:color w:val="1F4E9E"/>
              </w:rPr>
              <w:t>0.008</w:t>
            </w:r>
          </w:p>
        </w:tc>
      </w:tr>
      <w:tr w:rsidR="00E82EA7" w:rsidRPr="008B5651" w14:paraId="2C4FEE4B" w14:textId="77777777" w:rsidTr="00132A83">
        <w:trPr>
          <w:trHeight w:val="118"/>
        </w:trPr>
        <w:tc>
          <w:tcPr>
            <w:tcW w:w="1361" w:type="dxa"/>
            <w:vMerge/>
            <w:tcBorders>
              <w:top w:val="nil"/>
              <w:left w:val="nil"/>
              <w:bottom w:val="nil"/>
              <w:right w:val="nil"/>
            </w:tcBorders>
            <w:vAlign w:val="center"/>
            <w:hideMark/>
          </w:tcPr>
          <w:p w14:paraId="030D4EB4"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090FAC6" w14:textId="77777777" w:rsidR="00E82EA7" w:rsidRPr="008C2F99" w:rsidRDefault="00E82EA7" w:rsidP="003238E2">
            <w:pPr>
              <w:spacing w:after="0" w:line="240" w:lineRule="auto"/>
              <w:jc w:val="center"/>
              <w:rPr>
                <w:rFonts w:eastAsia="Times New Roman"/>
                <w:color w:val="000000"/>
                <w:sz w:val="18"/>
                <w:szCs w:val="18"/>
              </w:rPr>
            </w:pPr>
            <w:r>
              <w:t>time, quadratic</w:t>
            </w:r>
          </w:p>
        </w:tc>
        <w:tc>
          <w:tcPr>
            <w:tcW w:w="283" w:type="dxa"/>
            <w:tcBorders>
              <w:top w:val="nil"/>
              <w:left w:val="nil"/>
              <w:bottom w:val="nil"/>
              <w:right w:val="nil"/>
            </w:tcBorders>
            <w:noWrap/>
            <w:vAlign w:val="center"/>
            <w:hideMark/>
          </w:tcPr>
          <w:p w14:paraId="44F15E4A" w14:textId="77777777" w:rsidR="00E82EA7" w:rsidRPr="008C2F99" w:rsidRDefault="00E82EA7" w:rsidP="003238E2">
            <w:pPr>
              <w:spacing w:after="0" w:line="240" w:lineRule="auto"/>
              <w:jc w:val="center"/>
              <w:rPr>
                <w:rFonts w:eastAsia="Times New Roman"/>
                <w:color w:val="000000"/>
                <w:sz w:val="18"/>
                <w:szCs w:val="18"/>
              </w:rPr>
            </w:pPr>
            <w:r/>
          </w:p>
        </w:tc>
        <w:tc>
          <w:tcPr>
            <w:tcW w:w="558" w:type="dxa"/>
            <w:tcBorders>
              <w:top w:val="nil"/>
              <w:left w:val="nil"/>
              <w:bottom w:val="nil"/>
              <w:right w:val="nil"/>
            </w:tcBorders>
            <w:noWrap/>
            <w:vAlign w:val="center"/>
            <w:hideMark/>
          </w:tcPr>
          <w:p w14:paraId="7ABB1DFD" w14:textId="77777777" w:rsidR="00205CBC" w:rsidRDefault="00000000">
            <w:r>
              <w:rPr>
                <w:color w:val="1F4E9E"/>
              </w:rPr>
              <w:t>1</w:t>
            </w:r>
          </w:p>
        </w:tc>
        <w:tc>
          <w:tcPr>
            <w:tcW w:w="1077" w:type="dxa"/>
            <w:tcBorders>
              <w:top w:val="nil"/>
              <w:left w:val="nil"/>
              <w:bottom w:val="nil"/>
              <w:right w:val="nil"/>
            </w:tcBorders>
            <w:noWrap/>
            <w:vAlign w:val="center"/>
            <w:hideMark/>
          </w:tcPr>
          <w:p w14:paraId="777A5C55" w14:textId="77777777" w:rsidR="00205CBC" w:rsidRDefault="00000000">
            <w:r>
              <w:rPr>
                <w:color w:val="1F4E9E"/>
              </w:rPr>
              <w:t>21</w:t>
            </w:r>
          </w:p>
        </w:tc>
        <w:tc>
          <w:tcPr>
            <w:tcW w:w="1007" w:type="dxa"/>
            <w:tcBorders>
              <w:top w:val="nil"/>
              <w:left w:val="nil"/>
              <w:bottom w:val="nil"/>
              <w:right w:val="nil"/>
            </w:tcBorders>
            <w:noWrap/>
            <w:vAlign w:val="center"/>
            <w:hideMark/>
          </w:tcPr>
          <w:p w14:paraId="2C351899" w14:textId="77777777" w:rsidR="00205CBC" w:rsidRDefault="00000000">
            <w:r>
              <w:t>0.487</w:t>
            </w:r>
          </w:p>
        </w:tc>
        <w:tc>
          <w:tcPr>
            <w:tcW w:w="1247" w:type="dxa"/>
            <w:tcBorders>
              <w:top w:val="nil"/>
              <w:left w:val="nil"/>
              <w:bottom w:val="nil"/>
              <w:right w:val="nil"/>
            </w:tcBorders>
            <w:noWrap/>
            <w:vAlign w:val="center"/>
            <w:hideMark/>
          </w:tcPr>
          <w:p w14:paraId="0BFD78D5" w14:textId="77777777" w:rsidR="00205CBC" w:rsidRDefault="00000000">
            <w:r>
              <w:t>p = .493</w:t>
            </w:r>
          </w:p>
        </w:tc>
        <w:tc>
          <w:tcPr>
            <w:tcW w:w="1186" w:type="dxa"/>
            <w:tcBorders>
              <w:top w:val="nil"/>
              <w:left w:val="nil"/>
              <w:bottom w:val="nil"/>
              <w:right w:val="nil"/>
            </w:tcBorders>
            <w:noWrap/>
            <w:vAlign w:val="center"/>
            <w:hideMark/>
          </w:tcPr>
          <w:p w14:paraId="16112F4A" w14:textId="77777777" w:rsidR="00205CBC" w:rsidRDefault="00000000">
            <w:r>
              <w:t>0.023</w:t>
            </w:r>
          </w:p>
        </w:tc>
      </w:tr>
      <w:tr w:rsidR="00E82EA7" w:rsidRPr="008B5651" w14:paraId="2C4FEE4B" w14:textId="77777777" w:rsidTr="00132A83">
        <w:trPr>
          <w:trHeight w:val="118"/>
        </w:trPr>
        <w:tc>
          <w:tcPr>
            <w:tcW w:w="1361" w:type="dxa"/>
            <w:vMerge/>
            <w:tcBorders>
              <w:top w:val="nil"/>
              <w:left w:val="nil"/>
              <w:bottom w:val="nil"/>
              <w:right w:val="nil"/>
            </w:tcBorders>
            <w:vAlign w:val="center"/>
            <w:hideMark/>
          </w:tcPr>
          <w:p w14:paraId="030D4EB4"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090FAC6" w14:textId="77777777" w:rsidR="00E82EA7" w:rsidRPr="008C2F99" w:rsidRDefault="00E82EA7" w:rsidP="003238E2">
            <w:pPr>
              <w:spacing w:after="0" w:line="240" w:lineRule="auto"/>
              <w:jc w:val="center"/>
              <w:rPr>
                <w:rFonts w:eastAsia="Times New Roman"/>
                <w:color w:val="000000"/>
                <w:sz w:val="18"/>
                <w:szCs w:val="18"/>
              </w:rPr>
            </w:pPr>
            <w:r>
              <w:t>duration × time, quadratic</w:t>
            </w:r>
          </w:p>
        </w:tc>
        <w:tc>
          <w:tcPr>
            <w:tcW w:w="283" w:type="dxa"/>
            <w:tcBorders>
              <w:top w:val="nil"/>
              <w:left w:val="nil"/>
              <w:bottom w:val="nil"/>
              <w:right w:val="nil"/>
            </w:tcBorders>
            <w:noWrap/>
            <w:vAlign w:val="center"/>
            <w:hideMark/>
          </w:tcPr>
          <w:p w14:paraId="44F15E4A" w14:textId="77777777" w:rsidR="00E82EA7" w:rsidRPr="008C2F99" w:rsidRDefault="00E82EA7" w:rsidP="003238E2">
            <w:pPr>
              <w:spacing w:after="0" w:line="240" w:lineRule="auto"/>
              <w:jc w:val="center"/>
              <w:rPr>
                <w:rFonts w:eastAsia="Times New Roman"/>
                <w:color w:val="000000"/>
                <w:sz w:val="18"/>
                <w:szCs w:val="18"/>
              </w:rPr>
            </w:pPr>
            <w:r/>
          </w:p>
        </w:tc>
        <w:tc>
          <w:tcPr>
            <w:tcW w:w="558" w:type="dxa"/>
            <w:tcBorders>
              <w:top w:val="nil"/>
              <w:left w:val="nil"/>
              <w:bottom w:val="nil"/>
              <w:right w:val="nil"/>
            </w:tcBorders>
            <w:noWrap/>
            <w:vAlign w:val="center"/>
            <w:hideMark/>
          </w:tcPr>
          <w:p w14:paraId="7ABB1DFD" w14:textId="77777777" w:rsidR="00205CBC" w:rsidRDefault="00000000">
            <w:r>
              <w:rPr>
                <w:color w:val="1F4E9E"/>
              </w:rPr>
              <w:t>1</w:t>
            </w:r>
          </w:p>
        </w:tc>
        <w:tc>
          <w:tcPr>
            <w:tcW w:w="1077" w:type="dxa"/>
            <w:tcBorders>
              <w:top w:val="nil"/>
              <w:left w:val="nil"/>
              <w:bottom w:val="nil"/>
              <w:right w:val="nil"/>
            </w:tcBorders>
            <w:noWrap/>
            <w:vAlign w:val="center"/>
            <w:hideMark/>
          </w:tcPr>
          <w:p w14:paraId="777A5C55" w14:textId="77777777" w:rsidR="00205CBC" w:rsidRDefault="00000000">
            <w:r>
              <w:rPr>
                <w:color w:val="1F4E9E"/>
              </w:rPr>
              <w:t>21</w:t>
            </w:r>
          </w:p>
        </w:tc>
        <w:tc>
          <w:tcPr>
            <w:tcW w:w="1007" w:type="dxa"/>
            <w:tcBorders>
              <w:top w:val="nil"/>
              <w:left w:val="nil"/>
              <w:bottom w:val="nil"/>
              <w:right w:val="nil"/>
            </w:tcBorders>
            <w:noWrap/>
            <w:vAlign w:val="center"/>
            <w:hideMark/>
          </w:tcPr>
          <w:p w14:paraId="2C351899" w14:textId="77777777" w:rsidR="00205CBC" w:rsidRDefault="00000000">
            <w:r>
              <w:t>7.201</w:t>
            </w:r>
          </w:p>
        </w:tc>
        <w:tc>
          <w:tcPr>
            <w:tcW w:w="1247" w:type="dxa"/>
            <w:tcBorders>
              <w:top w:val="nil"/>
              <w:left w:val="nil"/>
              <w:bottom w:val="nil"/>
              <w:right w:val="nil"/>
            </w:tcBorders>
            <w:noWrap/>
            <w:vAlign w:val="center"/>
            <w:hideMark/>
          </w:tcPr>
          <w:p w14:paraId="0BFD78D5" w14:textId="77777777" w:rsidR="00205CBC" w:rsidRDefault="00000000">
            <w:r>
              <w:t>p = .014</w:t>
            </w:r>
          </w:p>
        </w:tc>
        <w:tc>
          <w:tcPr>
            <w:tcW w:w="1186" w:type="dxa"/>
            <w:tcBorders>
              <w:top w:val="nil"/>
              <w:left w:val="nil"/>
              <w:bottom w:val="nil"/>
              <w:right w:val="nil"/>
            </w:tcBorders>
            <w:noWrap/>
            <w:vAlign w:val="center"/>
            <w:hideMark/>
          </w:tcPr>
          <w:p w14:paraId="16112F4A" w14:textId="77777777" w:rsidR="00205CBC" w:rsidRDefault="00000000">
            <w:r>
              <w:t>0.255</w:t>
            </w:r>
          </w:p>
        </w:tc>
      </w:tr>
      <w:tr w:rsidR="00E82EA7" w:rsidRPr="008B5651" w14:paraId="2C4FEE4B" w14:textId="77777777" w:rsidTr="00132A83">
        <w:trPr>
          <w:trHeight w:val="118"/>
        </w:trPr>
        <w:tc>
          <w:tcPr>
            <w:tcW w:w="1361" w:type="dxa"/>
            <w:vMerge/>
            <w:tcBorders>
              <w:top w:val="nil"/>
              <w:left w:val="nil"/>
              <w:bottom w:val="nil"/>
              <w:right w:val="nil"/>
            </w:tcBorders>
            <w:vAlign w:val="center"/>
            <w:hideMark/>
          </w:tcPr>
          <w:p w14:paraId="030D4EB4"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090FAC6" w14:textId="77777777" w:rsidR="00E82EA7" w:rsidRPr="008C2F99" w:rsidRDefault="00E82EA7" w:rsidP="003238E2">
            <w:pPr>
              <w:spacing w:after="0" w:line="240" w:lineRule="auto"/>
              <w:jc w:val="center"/>
              <w:rPr>
                <w:rFonts w:eastAsia="Times New Roman"/>
                <w:color w:val="000000"/>
                <w:sz w:val="18"/>
                <w:szCs w:val="18"/>
              </w:rPr>
            </w:pPr>
            <w:r>
              <w:t>coherence × time, quadratic</w:t>
            </w:r>
          </w:p>
        </w:tc>
        <w:tc>
          <w:tcPr>
            <w:tcW w:w="283" w:type="dxa"/>
            <w:tcBorders>
              <w:top w:val="nil"/>
              <w:left w:val="nil"/>
              <w:bottom w:val="nil"/>
              <w:right w:val="nil"/>
            </w:tcBorders>
            <w:noWrap/>
            <w:vAlign w:val="center"/>
            <w:hideMark/>
          </w:tcPr>
          <w:p w14:paraId="44F15E4A" w14:textId="77777777" w:rsidR="00E82EA7" w:rsidRPr="008C2F99" w:rsidRDefault="00E82EA7" w:rsidP="003238E2">
            <w:pPr>
              <w:spacing w:after="0" w:line="240" w:lineRule="auto"/>
              <w:jc w:val="center"/>
              <w:rPr>
                <w:rFonts w:eastAsia="Times New Roman"/>
                <w:color w:val="000000"/>
                <w:sz w:val="18"/>
                <w:szCs w:val="18"/>
              </w:rPr>
            </w:pPr>
            <w:r/>
          </w:p>
        </w:tc>
        <w:tc>
          <w:tcPr>
            <w:tcW w:w="558" w:type="dxa"/>
            <w:tcBorders>
              <w:top w:val="nil"/>
              <w:left w:val="nil"/>
              <w:bottom w:val="nil"/>
              <w:right w:val="nil"/>
            </w:tcBorders>
            <w:noWrap/>
            <w:vAlign w:val="center"/>
            <w:hideMark/>
          </w:tcPr>
          <w:p w14:paraId="7ABB1DFD" w14:textId="77777777" w:rsidR="00205CBC" w:rsidRDefault="00000000">
            <w:r>
              <w:t>1.74</w:t>
            </w:r>
          </w:p>
        </w:tc>
        <w:tc>
          <w:tcPr>
            <w:tcW w:w="1077" w:type="dxa"/>
            <w:tcBorders>
              <w:top w:val="nil"/>
              <w:left w:val="nil"/>
              <w:bottom w:val="nil"/>
              <w:right w:val="nil"/>
            </w:tcBorders>
            <w:noWrap/>
            <w:vAlign w:val="center"/>
            <w:hideMark/>
          </w:tcPr>
          <w:p w14:paraId="777A5C55" w14:textId="77777777" w:rsidR="00205CBC" w:rsidRDefault="00000000">
            <w:r>
              <w:t>36.63</w:t>
            </w:r>
          </w:p>
        </w:tc>
        <w:tc>
          <w:tcPr>
            <w:tcW w:w="1007" w:type="dxa"/>
            <w:tcBorders>
              <w:top w:val="nil"/>
              <w:left w:val="nil"/>
              <w:bottom w:val="nil"/>
              <w:right w:val="nil"/>
            </w:tcBorders>
            <w:noWrap/>
            <w:vAlign w:val="center"/>
            <w:hideMark/>
          </w:tcPr>
          <w:p w14:paraId="2C351899" w14:textId="77777777" w:rsidR="00205CBC" w:rsidRDefault="00000000">
            <w:r>
              <w:t>2.267</w:t>
            </w:r>
          </w:p>
        </w:tc>
        <w:tc>
          <w:tcPr>
            <w:tcW w:w="1247" w:type="dxa"/>
            <w:tcBorders>
              <w:top w:val="nil"/>
              <w:left w:val="nil"/>
              <w:bottom w:val="nil"/>
              <w:right w:val="nil"/>
            </w:tcBorders>
            <w:noWrap/>
            <w:vAlign w:val="center"/>
            <w:hideMark/>
          </w:tcPr>
          <w:p w14:paraId="0BFD78D5" w14:textId="77777777" w:rsidR="00205CBC" w:rsidRDefault="00000000">
            <w:r>
              <w:t>p = .124</w:t>
            </w:r>
          </w:p>
        </w:tc>
        <w:tc>
          <w:tcPr>
            <w:tcW w:w="1186" w:type="dxa"/>
            <w:tcBorders>
              <w:top w:val="nil"/>
              <w:left w:val="nil"/>
              <w:bottom w:val="nil"/>
              <w:right w:val="nil"/>
            </w:tcBorders>
            <w:noWrap/>
            <w:vAlign w:val="center"/>
            <w:hideMark/>
          </w:tcPr>
          <w:p w14:paraId="16112F4A" w14:textId="77777777" w:rsidR="00205CBC" w:rsidRDefault="00000000">
            <w:r>
              <w:t>0.097</w:t>
            </w:r>
          </w:p>
        </w:tc>
      </w:tr>
      <w:tr w:rsidR="00E82EA7" w:rsidRPr="008B5651" w14:paraId="2C4FEE4B" w14:textId="77777777" w:rsidTr="00132A83">
        <w:trPr>
          <w:trHeight w:val="118"/>
        </w:trPr>
        <w:tc>
          <w:tcPr>
            <w:tcW w:w="1361" w:type="dxa"/>
            <w:vMerge/>
            <w:tcBorders>
              <w:top w:val="nil"/>
              <w:left w:val="nil"/>
              <w:bottom w:val="nil"/>
              <w:right w:val="nil"/>
            </w:tcBorders>
            <w:vAlign w:val="center"/>
            <w:hideMark/>
          </w:tcPr>
          <w:p w14:paraId="030D4EB4"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090FAC6" w14:textId="77777777" w:rsidR="00E82EA7" w:rsidRPr="008C2F99" w:rsidRDefault="00E82EA7" w:rsidP="003238E2">
            <w:pPr>
              <w:spacing w:after="0" w:line="240" w:lineRule="auto"/>
              <w:jc w:val="center"/>
              <w:rPr>
                <w:rFonts w:eastAsia="Times New Roman"/>
                <w:color w:val="000000"/>
                <w:sz w:val="18"/>
                <w:szCs w:val="18"/>
              </w:rPr>
            </w:pPr>
            <w:r>
              <w:t>duration × coherence × time, quadratic</w:t>
            </w:r>
          </w:p>
        </w:tc>
        <w:tc>
          <w:tcPr>
            <w:tcW w:w="283" w:type="dxa"/>
            <w:tcBorders>
              <w:top w:val="nil"/>
              <w:left w:val="nil"/>
              <w:bottom w:val="nil"/>
              <w:right w:val="nil"/>
            </w:tcBorders>
            <w:noWrap/>
            <w:vAlign w:val="center"/>
            <w:hideMark/>
          </w:tcPr>
          <w:p w14:paraId="44F15E4A" w14:textId="77777777" w:rsidR="00E82EA7" w:rsidRPr="008C2F99" w:rsidRDefault="00E82EA7" w:rsidP="003238E2">
            <w:pPr>
              <w:spacing w:after="0" w:line="240" w:lineRule="auto"/>
              <w:jc w:val="center"/>
              <w:rPr>
                <w:rFonts w:eastAsia="Times New Roman"/>
                <w:color w:val="000000"/>
                <w:sz w:val="18"/>
                <w:szCs w:val="18"/>
              </w:rPr>
            </w:pPr>
            <w:r/>
          </w:p>
        </w:tc>
        <w:tc>
          <w:tcPr>
            <w:tcW w:w="558" w:type="dxa"/>
            <w:tcBorders>
              <w:top w:val="nil"/>
              <w:left w:val="nil"/>
              <w:bottom w:val="nil"/>
              <w:right w:val="nil"/>
            </w:tcBorders>
            <w:noWrap/>
            <w:vAlign w:val="center"/>
            <w:hideMark/>
          </w:tcPr>
          <w:p w14:paraId="7ABB1DFD" w14:textId="77777777" w:rsidR="00205CBC" w:rsidRDefault="00000000">
            <w:r>
              <w:t>1.93</w:t>
            </w:r>
          </w:p>
        </w:tc>
        <w:tc>
          <w:tcPr>
            <w:tcW w:w="1077" w:type="dxa"/>
            <w:tcBorders>
              <w:top w:val="nil"/>
              <w:left w:val="nil"/>
              <w:bottom w:val="nil"/>
              <w:right w:val="nil"/>
            </w:tcBorders>
            <w:noWrap/>
            <w:vAlign w:val="center"/>
            <w:hideMark/>
          </w:tcPr>
          <w:p w14:paraId="777A5C55" w14:textId="77777777" w:rsidR="00205CBC" w:rsidRDefault="00000000">
            <w:r>
              <w:t>40.61</w:t>
            </w:r>
          </w:p>
        </w:tc>
        <w:tc>
          <w:tcPr>
            <w:tcW w:w="1007" w:type="dxa"/>
            <w:tcBorders>
              <w:top w:val="nil"/>
              <w:left w:val="nil"/>
              <w:bottom w:val="nil"/>
              <w:right w:val="nil"/>
            </w:tcBorders>
            <w:noWrap/>
            <w:vAlign w:val="center"/>
            <w:hideMark/>
          </w:tcPr>
          <w:p w14:paraId="2C351899" w14:textId="77777777" w:rsidR="00205CBC" w:rsidRDefault="00000000">
            <w:r>
              <w:t>0.161</w:t>
            </w:r>
          </w:p>
        </w:tc>
        <w:tc>
          <w:tcPr>
            <w:tcW w:w="1247" w:type="dxa"/>
            <w:tcBorders>
              <w:top w:val="nil"/>
              <w:left w:val="nil"/>
              <w:bottom w:val="nil"/>
              <w:right w:val="nil"/>
            </w:tcBorders>
            <w:noWrap/>
            <w:vAlign w:val="center"/>
            <w:hideMark/>
          </w:tcPr>
          <w:p w14:paraId="0BFD78D5" w14:textId="77777777" w:rsidR="00205CBC" w:rsidRDefault="00000000">
            <w:r>
              <w:t>p = .845</w:t>
            </w:r>
          </w:p>
        </w:tc>
        <w:tc>
          <w:tcPr>
            <w:tcW w:w="1186" w:type="dxa"/>
            <w:tcBorders>
              <w:top w:val="nil"/>
              <w:left w:val="nil"/>
              <w:bottom w:val="nil"/>
              <w:right w:val="nil"/>
            </w:tcBorders>
            <w:noWrap/>
            <w:vAlign w:val="center"/>
            <w:hideMark/>
          </w:tcPr>
          <w:p w14:paraId="16112F4A" w14:textId="77777777" w:rsidR="00205CBC" w:rsidRDefault="00000000">
            <w:r>
              <w:t>0.008</w:t>
            </w:r>
          </w:p>
        </w:tc>
      </w:tr>
      <w:tr w:rsidR="00E82EA7" w:rsidRPr="008B5651" w14:paraId="688A8E0A" w14:textId="77777777" w:rsidTr="00132A83">
        <w:trPr>
          <w:trHeight w:val="118"/>
        </w:trPr>
        <w:tc>
          <w:tcPr>
            <w:tcW w:w="1361" w:type="dxa"/>
            <w:tcBorders>
              <w:top w:val="nil"/>
              <w:left w:val="nil"/>
              <w:bottom w:val="nil"/>
              <w:right w:val="nil"/>
            </w:tcBorders>
            <w:noWrap/>
            <w:vAlign w:val="bottom"/>
            <w:hideMark/>
          </w:tcPr>
          <w:p w14:paraId="117586DF" w14:textId="77777777" w:rsidR="00E82EA7" w:rsidRPr="008C2F99" w:rsidRDefault="00E82EA7" w:rsidP="003238E2">
            <w:pPr>
              <w:spacing w:after="0" w:line="240" w:lineRule="auto"/>
              <w:jc w:val="center"/>
              <w:rPr>
                <w:rFonts w:eastAsia="Times New Roman"/>
                <w:sz w:val="22"/>
                <w:szCs w:val="22"/>
              </w:rPr>
            </w:pPr>
          </w:p>
        </w:tc>
        <w:tc>
          <w:tcPr>
            <w:tcW w:w="2467" w:type="dxa"/>
            <w:tcBorders>
              <w:top w:val="nil"/>
              <w:left w:val="nil"/>
              <w:bottom w:val="nil"/>
              <w:right w:val="nil"/>
            </w:tcBorders>
            <w:vAlign w:val="bottom"/>
            <w:hideMark/>
          </w:tcPr>
          <w:p w14:paraId="64C3C165" w14:textId="77777777" w:rsidR="00E82EA7" w:rsidRPr="008C2F99" w:rsidRDefault="00E82EA7" w:rsidP="003238E2">
            <w:pPr>
              <w:spacing w:after="0" w:line="240" w:lineRule="auto"/>
              <w:jc w:val="center"/>
              <w:rPr>
                <w:rFonts w:eastAsia="Times New Roman"/>
                <w:sz w:val="20"/>
                <w:szCs w:val="20"/>
              </w:rPr>
            </w:pPr>
          </w:p>
        </w:tc>
        <w:tc>
          <w:tcPr>
            <w:tcW w:w="283" w:type="dxa"/>
            <w:tcBorders>
              <w:top w:val="nil"/>
              <w:left w:val="nil"/>
              <w:bottom w:val="nil"/>
              <w:right w:val="nil"/>
            </w:tcBorders>
            <w:noWrap/>
            <w:vAlign w:val="bottom"/>
            <w:hideMark/>
          </w:tcPr>
          <w:p w14:paraId="44DF3C39" w14:textId="77777777" w:rsidR="00E82EA7" w:rsidRPr="008C2F99" w:rsidRDefault="00E82EA7" w:rsidP="003238E2">
            <w:pPr>
              <w:spacing w:after="0" w:line="240" w:lineRule="auto"/>
              <w:jc w:val="center"/>
              <w:rPr>
                <w:rFonts w:eastAsia="Times New Roman"/>
                <w:sz w:val="20"/>
                <w:szCs w:val="20"/>
              </w:rPr>
            </w:pPr>
          </w:p>
        </w:tc>
        <w:tc>
          <w:tcPr>
            <w:tcW w:w="558" w:type="dxa"/>
            <w:tcBorders>
              <w:top w:val="nil"/>
              <w:left w:val="nil"/>
              <w:bottom w:val="nil"/>
              <w:right w:val="nil"/>
            </w:tcBorders>
            <w:noWrap/>
            <w:vAlign w:val="bottom"/>
            <w:hideMark/>
          </w:tcPr>
          <w:p w14:paraId="43162C33" w14:textId="77777777" w:rsidR="00E82EA7" w:rsidRPr="008C2F99" w:rsidRDefault="00E82EA7" w:rsidP="003238E2">
            <w:pPr>
              <w:spacing w:after="0" w:line="240" w:lineRule="auto"/>
              <w:jc w:val="center"/>
              <w:rPr>
                <w:rFonts w:eastAsia="Times New Roman"/>
                <w:sz w:val="18"/>
                <w:szCs w:val="18"/>
              </w:rPr>
            </w:pPr>
          </w:p>
        </w:tc>
        <w:tc>
          <w:tcPr>
            <w:tcW w:w="1077" w:type="dxa"/>
            <w:tcBorders>
              <w:top w:val="nil"/>
              <w:left w:val="nil"/>
              <w:bottom w:val="nil"/>
              <w:right w:val="nil"/>
            </w:tcBorders>
            <w:noWrap/>
            <w:vAlign w:val="bottom"/>
            <w:hideMark/>
          </w:tcPr>
          <w:p w14:paraId="44AA8408" w14:textId="77777777" w:rsidR="00E82EA7" w:rsidRPr="008C2F99" w:rsidRDefault="00E82EA7" w:rsidP="003238E2">
            <w:pPr>
              <w:spacing w:after="0" w:line="240" w:lineRule="auto"/>
              <w:jc w:val="center"/>
              <w:rPr>
                <w:rFonts w:eastAsia="Times New Roman"/>
                <w:sz w:val="18"/>
                <w:szCs w:val="18"/>
              </w:rPr>
            </w:pPr>
          </w:p>
        </w:tc>
        <w:tc>
          <w:tcPr>
            <w:tcW w:w="1007" w:type="dxa"/>
            <w:tcBorders>
              <w:top w:val="nil"/>
              <w:left w:val="nil"/>
              <w:bottom w:val="nil"/>
              <w:right w:val="nil"/>
            </w:tcBorders>
            <w:noWrap/>
            <w:vAlign w:val="bottom"/>
            <w:hideMark/>
          </w:tcPr>
          <w:p w14:paraId="5C980923" w14:textId="77777777" w:rsidR="00E82EA7" w:rsidRPr="008C2F99" w:rsidRDefault="00E82EA7" w:rsidP="003238E2">
            <w:pPr>
              <w:spacing w:after="0" w:line="240" w:lineRule="auto"/>
              <w:jc w:val="center"/>
              <w:rPr>
                <w:rFonts w:eastAsia="Times New Roman"/>
                <w:sz w:val="18"/>
                <w:szCs w:val="18"/>
              </w:rPr>
            </w:pPr>
          </w:p>
        </w:tc>
        <w:tc>
          <w:tcPr>
            <w:tcW w:w="1247" w:type="dxa"/>
            <w:tcBorders>
              <w:top w:val="nil"/>
              <w:left w:val="nil"/>
              <w:bottom w:val="nil"/>
              <w:right w:val="nil"/>
            </w:tcBorders>
            <w:noWrap/>
            <w:vAlign w:val="bottom"/>
            <w:hideMark/>
          </w:tcPr>
          <w:p w14:paraId="4FA36293" w14:textId="77777777" w:rsidR="00E82EA7" w:rsidRPr="007605E5" w:rsidRDefault="00E82EA7" w:rsidP="003238E2">
            <w:pPr>
              <w:spacing w:after="0" w:line="240" w:lineRule="auto"/>
              <w:jc w:val="center"/>
              <w:rPr>
                <w:rFonts w:eastAsia="Times New Roman"/>
                <w:sz w:val="18"/>
                <w:szCs w:val="18"/>
              </w:rPr>
            </w:pPr>
          </w:p>
        </w:tc>
        <w:tc>
          <w:tcPr>
            <w:tcW w:w="1186" w:type="dxa"/>
            <w:tcBorders>
              <w:top w:val="nil"/>
              <w:left w:val="nil"/>
              <w:bottom w:val="nil"/>
              <w:right w:val="nil"/>
            </w:tcBorders>
            <w:noWrap/>
            <w:vAlign w:val="bottom"/>
            <w:hideMark/>
          </w:tcPr>
          <w:p w14:paraId="4A097998" w14:textId="77777777" w:rsidR="00E82EA7" w:rsidRPr="008C2F99" w:rsidRDefault="00E82EA7" w:rsidP="003238E2">
            <w:pPr>
              <w:spacing w:after="0" w:line="240" w:lineRule="auto"/>
              <w:jc w:val="center"/>
              <w:rPr>
                <w:rFonts w:eastAsia="Times New Roman"/>
                <w:sz w:val="18"/>
                <w:szCs w:val="18"/>
              </w:rPr>
            </w:pPr>
          </w:p>
        </w:tc>
      </w:tr>
      <w:tr w:rsidR="00E82EA7" w:rsidRPr="008B5651" w14:paraId="5AEBEB00" w14:textId="77777777" w:rsidTr="00132A83">
        <w:trPr>
          <w:trHeight w:val="118"/>
        </w:trPr>
        <w:tc>
          <w:tcPr>
            <w:tcW w:w="1361" w:type="dxa"/>
            <w:vMerge w:val="restart"/>
            <w:tcBorders>
              <w:top w:val="single" w:sz="8" w:space="0" w:color="auto"/>
              <w:left w:val="nil"/>
              <w:bottom w:val="nil"/>
              <w:right w:val="nil"/>
            </w:tcBorders>
            <w:noWrap/>
            <w:vAlign w:val="center"/>
            <w:hideMark/>
          </w:tcPr>
          <w:p w14:paraId="2677FCF6" w14:textId="77777777" w:rsidR="00E82EA7" w:rsidRPr="008C2F99" w:rsidRDefault="00E82EA7" w:rsidP="003238E2">
            <w:pPr>
              <w:spacing w:after="0" w:line="240" w:lineRule="auto"/>
              <w:jc w:val="center"/>
              <w:rPr>
                <w:rFonts w:eastAsia="Times New Roman"/>
                <w:bCs/>
                <w:color w:val="000000"/>
                <w:sz w:val="22"/>
                <w:szCs w:val="22"/>
              </w:rPr>
            </w:pPr>
            <w:r>
              <w:t>Delay</w:t>
            </w:r>
          </w:p>
        </w:tc>
        <w:tc>
          <w:tcPr>
            <w:tcW w:w="2467" w:type="dxa"/>
            <w:tcBorders>
              <w:top w:val="single" w:sz="8" w:space="0" w:color="auto"/>
              <w:left w:val="nil"/>
              <w:bottom w:val="nil"/>
              <w:right w:val="nil"/>
            </w:tcBorders>
            <w:vAlign w:val="center"/>
            <w:hideMark/>
          </w:tcPr>
          <w:p w14:paraId="64302F5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w:t>
            </w:r>
          </w:p>
        </w:tc>
        <w:tc>
          <w:tcPr>
            <w:tcW w:w="283" w:type="dxa"/>
            <w:tcBorders>
              <w:top w:val="single" w:sz="8" w:space="0" w:color="auto"/>
              <w:left w:val="nil"/>
              <w:bottom w:val="nil"/>
              <w:right w:val="nil"/>
            </w:tcBorders>
            <w:noWrap/>
            <w:vAlign w:val="center"/>
            <w:hideMark/>
          </w:tcPr>
          <w:p w14:paraId="27955C33" w14:textId="77777777"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single" w:sz="8" w:space="0" w:color="auto"/>
              <w:left w:val="nil"/>
              <w:bottom w:val="nil"/>
              <w:right w:val="nil"/>
            </w:tcBorders>
            <w:noWrap/>
            <w:vAlign w:val="center"/>
            <w:hideMark/>
          </w:tcPr>
          <w:p w14:paraId="27FED57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single" w:sz="8" w:space="0" w:color="auto"/>
              <w:left w:val="nil"/>
              <w:bottom w:val="nil"/>
              <w:right w:val="nil"/>
            </w:tcBorders>
            <w:noWrap/>
            <w:vAlign w:val="center"/>
            <w:hideMark/>
          </w:tcPr>
          <w:p w14:paraId="764FEDE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single" w:sz="8" w:space="0" w:color="auto"/>
              <w:left w:val="nil"/>
              <w:bottom w:val="nil"/>
              <w:right w:val="nil"/>
            </w:tcBorders>
            <w:noWrap/>
            <w:vAlign w:val="center"/>
            <w:hideMark/>
          </w:tcPr>
          <w:p w14:paraId="73668F2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0.019</w:t>
            </w:r>
          </w:p>
        </w:tc>
        <w:tc>
          <w:tcPr>
            <w:tcW w:w="1247" w:type="dxa"/>
            <w:tcBorders>
              <w:top w:val="single" w:sz="8" w:space="0" w:color="auto"/>
              <w:left w:val="nil"/>
              <w:bottom w:val="nil"/>
              <w:right w:val="nil"/>
            </w:tcBorders>
            <w:noWrap/>
            <w:vAlign w:val="center"/>
            <w:hideMark/>
          </w:tcPr>
          <w:p w14:paraId="408FD6DD"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sz w:val="18"/>
                <w:szCs w:val="18"/>
              </w:rPr>
              <w:t>.89</w:t>
            </w:r>
            <w:r w:rsidR="00ED68F4" w:rsidRPr="007605E5">
              <w:rPr>
                <w:rFonts w:eastAsia="Times New Roman"/>
                <w:iCs/>
                <w:color w:val="000000"/>
                <w:sz w:val="18"/>
                <w:szCs w:val="18"/>
              </w:rPr>
              <w:t>2</w:t>
            </w:r>
          </w:p>
        </w:tc>
        <w:tc>
          <w:tcPr>
            <w:tcW w:w="1186" w:type="dxa"/>
            <w:tcBorders>
              <w:top w:val="single" w:sz="8" w:space="0" w:color="auto"/>
              <w:left w:val="nil"/>
              <w:bottom w:val="nil"/>
              <w:right w:val="nil"/>
            </w:tcBorders>
            <w:noWrap/>
            <w:vAlign w:val="center"/>
            <w:hideMark/>
          </w:tcPr>
          <w:p w14:paraId="6932BF90" w14:textId="77777777"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r w:rsidR="00E82EA7" w:rsidRPr="008B5651" w14:paraId="64FB78CE" w14:textId="77777777" w:rsidTr="00132A83">
        <w:trPr>
          <w:trHeight w:val="118"/>
        </w:trPr>
        <w:tc>
          <w:tcPr>
            <w:tcW w:w="1361" w:type="dxa"/>
            <w:vMerge/>
            <w:tcBorders>
              <w:top w:val="single" w:sz="8" w:space="0" w:color="auto"/>
              <w:left w:val="nil"/>
              <w:bottom w:val="nil"/>
              <w:right w:val="nil"/>
            </w:tcBorders>
            <w:vAlign w:val="center"/>
            <w:hideMark/>
          </w:tcPr>
          <w:p w14:paraId="27A34A39"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E6343C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coherence</w:t>
            </w:r>
          </w:p>
        </w:tc>
        <w:tc>
          <w:tcPr>
            <w:tcW w:w="283" w:type="dxa"/>
            <w:tcBorders>
              <w:top w:val="nil"/>
              <w:left w:val="nil"/>
              <w:bottom w:val="nil"/>
              <w:right w:val="nil"/>
            </w:tcBorders>
            <w:noWrap/>
            <w:vAlign w:val="bottom"/>
            <w:hideMark/>
          </w:tcPr>
          <w:p w14:paraId="012BDF52"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0B22FED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1.34</w:t>
            </w:r>
          </w:p>
        </w:tc>
        <w:tc>
          <w:tcPr>
            <w:tcW w:w="1077" w:type="dxa"/>
            <w:tcBorders>
              <w:top w:val="nil"/>
              <w:left w:val="nil"/>
              <w:bottom w:val="nil"/>
              <w:right w:val="nil"/>
            </w:tcBorders>
            <w:noWrap/>
            <w:vAlign w:val="center"/>
            <w:hideMark/>
          </w:tcPr>
          <w:p w14:paraId="589764D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28.13</w:t>
            </w:r>
          </w:p>
        </w:tc>
        <w:tc>
          <w:tcPr>
            <w:tcW w:w="1007" w:type="dxa"/>
            <w:tcBorders>
              <w:top w:val="nil"/>
              <w:left w:val="nil"/>
              <w:bottom w:val="nil"/>
              <w:right w:val="nil"/>
            </w:tcBorders>
            <w:noWrap/>
            <w:vAlign w:val="center"/>
            <w:hideMark/>
          </w:tcPr>
          <w:p w14:paraId="430425D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0.440</w:t>
            </w:r>
          </w:p>
        </w:tc>
        <w:tc>
          <w:tcPr>
            <w:tcW w:w="1247" w:type="dxa"/>
            <w:tcBorders>
              <w:top w:val="nil"/>
              <w:left w:val="nil"/>
              <w:bottom w:val="nil"/>
              <w:right w:val="nil"/>
            </w:tcBorders>
            <w:noWrap/>
            <w:vAlign w:val="center"/>
            <w:hideMark/>
          </w:tcPr>
          <w:p w14:paraId="112CA544"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color w:val="000000"/>
                <w:sz w:val="18"/>
                <w:szCs w:val="18"/>
              </w:rPr>
              <w:t>.5</w:t>
            </w:r>
            <w:r w:rsidR="00ED68F4" w:rsidRPr="007605E5">
              <w:rPr>
                <w:rFonts w:eastAsia="Times New Roman"/>
                <w:iCs/>
                <w:sz w:val="18"/>
                <w:szCs w:val="18"/>
              </w:rPr>
              <w:t>69</w:t>
            </w:r>
          </w:p>
        </w:tc>
        <w:tc>
          <w:tcPr>
            <w:tcW w:w="1186" w:type="dxa"/>
            <w:tcBorders>
              <w:top w:val="nil"/>
              <w:left w:val="nil"/>
              <w:bottom w:val="nil"/>
              <w:right w:val="nil"/>
            </w:tcBorders>
            <w:noWrap/>
            <w:vAlign w:val="center"/>
            <w:hideMark/>
          </w:tcPr>
          <w:p w14:paraId="78CCD45A"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7DDFBA56" w14:textId="77777777" w:rsidTr="00132A83">
        <w:trPr>
          <w:trHeight w:val="118"/>
        </w:trPr>
        <w:tc>
          <w:tcPr>
            <w:tcW w:w="1361" w:type="dxa"/>
            <w:vMerge/>
            <w:tcBorders>
              <w:top w:val="single" w:sz="8" w:space="0" w:color="auto"/>
              <w:left w:val="nil"/>
              <w:bottom w:val="nil"/>
              <w:right w:val="nil"/>
            </w:tcBorders>
            <w:vAlign w:val="center"/>
            <w:hideMark/>
          </w:tcPr>
          <w:p w14:paraId="1E565745"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715EC323" w14:textId="77777777" w:rsidR="00E82EA7" w:rsidRPr="008C2F99" w:rsidRDefault="00E82EA7" w:rsidP="003238E2">
            <w:pPr>
              <w:spacing w:after="0" w:line="240" w:lineRule="auto"/>
              <w:jc w:val="center"/>
              <w:rPr>
                <w:rFonts w:eastAsia="Times New Roman"/>
                <w:color w:val="000000"/>
                <w:sz w:val="18"/>
                <w:szCs w:val="18"/>
              </w:rPr>
            </w:pPr>
            <w:r>
              <w:t>time, linear</w:t>
            </w:r>
          </w:p>
        </w:tc>
        <w:tc>
          <w:tcPr>
            <w:tcW w:w="283" w:type="dxa"/>
            <w:tcBorders>
              <w:top w:val="nil"/>
              <w:left w:val="nil"/>
              <w:bottom w:val="nil"/>
              <w:right w:val="nil"/>
            </w:tcBorders>
            <w:noWrap/>
            <w:vAlign w:val="bottom"/>
            <w:hideMark/>
          </w:tcPr>
          <w:p w14:paraId="5B710415"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19B688E6" w14:textId="77777777" w:rsidR="00205CBC" w:rsidRDefault="00000000">
            <w:r>
              <w:rPr>
                <w:color w:val="1F4E9E"/>
              </w:rPr>
              <w:t>1</w:t>
            </w:r>
          </w:p>
        </w:tc>
        <w:tc>
          <w:tcPr>
            <w:tcW w:w="1077" w:type="dxa"/>
            <w:tcBorders>
              <w:top w:val="nil"/>
              <w:left w:val="nil"/>
              <w:bottom w:val="nil"/>
              <w:right w:val="nil"/>
            </w:tcBorders>
            <w:noWrap/>
            <w:vAlign w:val="center"/>
            <w:hideMark/>
          </w:tcPr>
          <w:p w14:paraId="0AAEAF48" w14:textId="77777777" w:rsidR="00205CBC" w:rsidRDefault="00000000">
            <w:r>
              <w:rPr>
                <w:color w:val="1F4E9E"/>
              </w:rPr>
              <w:t>21</w:t>
            </w:r>
          </w:p>
        </w:tc>
        <w:tc>
          <w:tcPr>
            <w:tcW w:w="1007" w:type="dxa"/>
            <w:tcBorders>
              <w:top w:val="nil"/>
              <w:left w:val="nil"/>
              <w:bottom w:val="nil"/>
              <w:right w:val="nil"/>
            </w:tcBorders>
            <w:noWrap/>
            <w:vAlign w:val="center"/>
            <w:hideMark/>
          </w:tcPr>
          <w:p w14:paraId="6A871AD2" w14:textId="77777777" w:rsidR="00205CBC" w:rsidRDefault="00000000">
            <w:r>
              <w:rPr>
                <w:color w:val="1F4E9E"/>
              </w:rPr>
              <w:t>14.338</w:t>
            </w:r>
          </w:p>
        </w:tc>
        <w:tc>
          <w:tcPr>
            <w:tcW w:w="1247" w:type="dxa"/>
            <w:tcBorders>
              <w:top w:val="nil"/>
              <w:left w:val="nil"/>
              <w:bottom w:val="nil"/>
              <w:right w:val="nil"/>
            </w:tcBorders>
            <w:noWrap/>
            <w:vAlign w:val="center"/>
            <w:hideMark/>
          </w:tcPr>
          <w:p w14:paraId="5C1CD6EF" w14:textId="77777777" w:rsidR="00205CBC" w:rsidRDefault="00000000">
            <w:r>
              <w:t>p = .001</w:t>
            </w:r>
          </w:p>
        </w:tc>
        <w:tc>
          <w:tcPr>
            <w:tcW w:w="1186" w:type="dxa"/>
            <w:tcBorders>
              <w:top w:val="nil"/>
              <w:left w:val="nil"/>
              <w:bottom w:val="nil"/>
              <w:right w:val="nil"/>
            </w:tcBorders>
            <w:noWrap/>
            <w:vAlign w:val="center"/>
            <w:hideMark/>
          </w:tcPr>
          <w:p w14:paraId="596E7733" w14:textId="77777777" w:rsidR="00205CBC" w:rsidRDefault="00000000">
            <w:r>
              <w:rPr>
                <w:color w:val="1F4E9E"/>
              </w:rPr>
              <w:t>0.406</w:t>
            </w:r>
          </w:p>
        </w:tc>
      </w:tr>
      <w:tr w:rsidR="00E82EA7" w:rsidRPr="008B5651" w14:paraId="09CF8E0D" w14:textId="77777777" w:rsidTr="00132A83">
        <w:trPr>
          <w:trHeight w:val="118"/>
        </w:trPr>
        <w:tc>
          <w:tcPr>
            <w:tcW w:w="1361" w:type="dxa"/>
            <w:vMerge/>
            <w:tcBorders>
              <w:top w:val="single" w:sz="8" w:space="0" w:color="auto"/>
              <w:left w:val="nil"/>
              <w:bottom w:val="nil"/>
              <w:right w:val="nil"/>
            </w:tcBorders>
            <w:vAlign w:val="center"/>
            <w:hideMark/>
          </w:tcPr>
          <w:p w14:paraId="0AFC7B25"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30CDE5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coherence</w:t>
            </w:r>
          </w:p>
        </w:tc>
        <w:tc>
          <w:tcPr>
            <w:tcW w:w="283" w:type="dxa"/>
            <w:tcBorders>
              <w:top w:val="nil"/>
              <w:left w:val="nil"/>
              <w:bottom w:val="nil"/>
              <w:right w:val="nil"/>
            </w:tcBorders>
            <w:noWrap/>
            <w:vAlign w:val="bottom"/>
            <w:hideMark/>
          </w:tcPr>
          <w:p w14:paraId="6FBA3CF1"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56C0D02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1.96</w:t>
            </w:r>
          </w:p>
        </w:tc>
        <w:tc>
          <w:tcPr>
            <w:tcW w:w="1077" w:type="dxa"/>
            <w:tcBorders>
              <w:top w:val="nil"/>
              <w:left w:val="nil"/>
              <w:bottom w:val="nil"/>
              <w:right w:val="nil"/>
            </w:tcBorders>
            <w:noWrap/>
            <w:vAlign w:val="center"/>
            <w:hideMark/>
          </w:tcPr>
          <w:p w14:paraId="3DFD4F1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41.16</w:t>
            </w:r>
          </w:p>
        </w:tc>
        <w:tc>
          <w:tcPr>
            <w:tcW w:w="1007" w:type="dxa"/>
            <w:tcBorders>
              <w:top w:val="nil"/>
              <w:left w:val="nil"/>
              <w:bottom w:val="nil"/>
              <w:right w:val="nil"/>
            </w:tcBorders>
            <w:noWrap/>
            <w:vAlign w:val="center"/>
            <w:hideMark/>
          </w:tcPr>
          <w:p w14:paraId="39CFFBA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0.378</w:t>
            </w:r>
          </w:p>
        </w:tc>
        <w:tc>
          <w:tcPr>
            <w:tcW w:w="1247" w:type="dxa"/>
            <w:tcBorders>
              <w:top w:val="nil"/>
              <w:left w:val="nil"/>
              <w:bottom w:val="nil"/>
              <w:right w:val="nil"/>
            </w:tcBorders>
            <w:noWrap/>
            <w:vAlign w:val="center"/>
            <w:hideMark/>
          </w:tcPr>
          <w:p w14:paraId="7AF6D8E9"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.683</w:t>
            </w:r>
          </w:p>
        </w:tc>
        <w:tc>
          <w:tcPr>
            <w:tcW w:w="1186" w:type="dxa"/>
            <w:tcBorders>
              <w:top w:val="nil"/>
              <w:left w:val="nil"/>
              <w:bottom w:val="nil"/>
              <w:right w:val="nil"/>
            </w:tcBorders>
            <w:noWrap/>
            <w:vAlign w:val="center"/>
            <w:hideMark/>
          </w:tcPr>
          <w:p w14:paraId="6AEC6445"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32D694AA" w14:textId="77777777" w:rsidTr="00132A83">
        <w:trPr>
          <w:trHeight w:val="118"/>
        </w:trPr>
        <w:tc>
          <w:tcPr>
            <w:tcW w:w="1361" w:type="dxa"/>
            <w:vMerge/>
            <w:tcBorders>
              <w:top w:val="single" w:sz="8" w:space="0" w:color="auto"/>
              <w:left w:val="nil"/>
              <w:bottom w:val="nil"/>
              <w:right w:val="nil"/>
            </w:tcBorders>
            <w:vAlign w:val="center"/>
            <w:hideMark/>
          </w:tcPr>
          <w:p w14:paraId="7A893A3F"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7D8C858F" w14:textId="77777777" w:rsidR="00E82EA7" w:rsidRPr="008C2F99" w:rsidRDefault="00E82EA7" w:rsidP="003238E2">
            <w:pPr>
              <w:spacing w:after="0" w:line="240" w:lineRule="auto"/>
              <w:jc w:val="center"/>
              <w:rPr>
                <w:rFonts w:eastAsia="Times New Roman"/>
                <w:color w:val="000000"/>
                <w:sz w:val="18"/>
                <w:szCs w:val="18"/>
              </w:rPr>
            </w:pPr>
            <w:r>
              <w:t>duration × time, linear</w:t>
            </w:r>
          </w:p>
        </w:tc>
        <w:tc>
          <w:tcPr>
            <w:tcW w:w="283" w:type="dxa"/>
            <w:tcBorders>
              <w:top w:val="nil"/>
              <w:left w:val="nil"/>
              <w:bottom w:val="nil"/>
              <w:right w:val="nil"/>
            </w:tcBorders>
            <w:noWrap/>
            <w:vAlign w:val="bottom"/>
            <w:hideMark/>
          </w:tcPr>
          <w:p w14:paraId="12ECB6C3"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1E2C1B67" w14:textId="77777777" w:rsidR="00205CBC" w:rsidRDefault="00000000">
            <w:r>
              <w:rPr>
                <w:color w:val="1F4E9E"/>
              </w:rPr>
              <w:t>1</w:t>
            </w:r>
          </w:p>
        </w:tc>
        <w:tc>
          <w:tcPr>
            <w:tcW w:w="1077" w:type="dxa"/>
            <w:tcBorders>
              <w:top w:val="nil"/>
              <w:left w:val="nil"/>
              <w:bottom w:val="nil"/>
              <w:right w:val="nil"/>
            </w:tcBorders>
            <w:noWrap/>
            <w:vAlign w:val="center"/>
            <w:hideMark/>
          </w:tcPr>
          <w:p w14:paraId="1D23F99D" w14:textId="77777777" w:rsidR="00205CBC" w:rsidRDefault="00000000">
            <w:r>
              <w:rPr>
                <w:color w:val="1F4E9E"/>
              </w:rPr>
              <w:t>21</w:t>
            </w:r>
          </w:p>
        </w:tc>
        <w:tc>
          <w:tcPr>
            <w:tcW w:w="1007" w:type="dxa"/>
            <w:tcBorders>
              <w:top w:val="nil"/>
              <w:left w:val="nil"/>
              <w:bottom w:val="nil"/>
              <w:right w:val="nil"/>
            </w:tcBorders>
            <w:noWrap/>
            <w:vAlign w:val="center"/>
            <w:hideMark/>
          </w:tcPr>
          <w:p w14:paraId="082BC28C" w14:textId="77777777" w:rsidR="00205CBC" w:rsidRDefault="00000000">
            <w:r>
              <w:rPr>
                <w:color w:val="1F4E9E"/>
              </w:rPr>
              <w:t>0.262</w:t>
            </w:r>
          </w:p>
        </w:tc>
        <w:tc>
          <w:tcPr>
            <w:tcW w:w="1247" w:type="dxa"/>
            <w:tcBorders>
              <w:top w:val="nil"/>
              <w:left w:val="nil"/>
              <w:bottom w:val="nil"/>
              <w:right w:val="nil"/>
            </w:tcBorders>
            <w:noWrap/>
            <w:vAlign w:val="center"/>
            <w:hideMark/>
          </w:tcPr>
          <w:p w14:paraId="11D3256B" w14:textId="77777777" w:rsidR="00205CBC" w:rsidRDefault="00000000">
            <w:r>
              <w:rPr>
                <w:color w:val="1F4E9E"/>
              </w:rPr>
              <w:t>p = .614</w:t>
            </w:r>
          </w:p>
        </w:tc>
        <w:tc>
          <w:tcPr>
            <w:tcW w:w="1186" w:type="dxa"/>
            <w:tcBorders>
              <w:top w:val="nil"/>
              <w:left w:val="nil"/>
              <w:bottom w:val="nil"/>
              <w:right w:val="nil"/>
            </w:tcBorders>
            <w:noWrap/>
            <w:vAlign w:val="center"/>
            <w:hideMark/>
          </w:tcPr>
          <w:p w14:paraId="6C4F21F5" w14:textId="77777777" w:rsidR="00205CBC" w:rsidRDefault="00000000">
            <w:r>
              <w:rPr>
                <w:color w:val="1F4E9E"/>
              </w:rPr>
              <w:t>0.012</w:t>
            </w:r>
          </w:p>
        </w:tc>
      </w:tr>
      <w:tr w:rsidR="00E82EA7" w:rsidRPr="008B5651" w14:paraId="36838668" w14:textId="77777777" w:rsidTr="00132A83">
        <w:trPr>
          <w:trHeight w:val="118"/>
        </w:trPr>
        <w:tc>
          <w:tcPr>
            <w:tcW w:w="1361" w:type="dxa"/>
            <w:vMerge/>
            <w:tcBorders>
              <w:top w:val="single" w:sz="8" w:space="0" w:color="auto"/>
              <w:left w:val="nil"/>
              <w:bottom w:val="nil"/>
              <w:right w:val="nil"/>
            </w:tcBorders>
            <w:vAlign w:val="center"/>
            <w:hideMark/>
          </w:tcPr>
          <w:p w14:paraId="6D11FD5F"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66320784" w14:textId="77777777" w:rsidR="00E82EA7" w:rsidRPr="008C2F99" w:rsidRDefault="00E82EA7" w:rsidP="003238E2">
            <w:pPr>
              <w:spacing w:after="0" w:line="240" w:lineRule="auto"/>
              <w:jc w:val="center"/>
              <w:rPr>
                <w:rFonts w:eastAsia="Times New Roman"/>
                <w:color w:val="000000"/>
                <w:sz w:val="18"/>
                <w:szCs w:val="18"/>
              </w:rPr>
            </w:pPr>
            <w:r>
              <w:t>coherence × time, linear</w:t>
            </w:r>
          </w:p>
        </w:tc>
        <w:tc>
          <w:tcPr>
            <w:tcW w:w="283" w:type="dxa"/>
            <w:tcBorders>
              <w:top w:val="nil"/>
              <w:left w:val="nil"/>
              <w:bottom w:val="nil"/>
              <w:right w:val="nil"/>
            </w:tcBorders>
            <w:noWrap/>
            <w:vAlign w:val="bottom"/>
            <w:hideMark/>
          </w:tcPr>
          <w:p w14:paraId="28574346"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6BC929F" w14:textId="77777777" w:rsidR="00205CBC" w:rsidRDefault="00000000">
            <w:r>
              <w:rPr>
                <w:color w:val="1F4E9E"/>
              </w:rPr>
              <w:t>1.56</w:t>
            </w:r>
          </w:p>
        </w:tc>
        <w:tc>
          <w:tcPr>
            <w:tcW w:w="1077" w:type="dxa"/>
            <w:tcBorders>
              <w:top w:val="nil"/>
              <w:left w:val="nil"/>
              <w:bottom w:val="nil"/>
              <w:right w:val="nil"/>
            </w:tcBorders>
            <w:noWrap/>
            <w:vAlign w:val="center"/>
            <w:hideMark/>
          </w:tcPr>
          <w:p w14:paraId="7B51AE75" w14:textId="77777777" w:rsidR="00205CBC" w:rsidRDefault="00000000">
            <w:r>
              <w:rPr>
                <w:color w:val="1F4E9E"/>
              </w:rPr>
              <w:t>32.72</w:t>
            </w:r>
          </w:p>
        </w:tc>
        <w:tc>
          <w:tcPr>
            <w:tcW w:w="1007" w:type="dxa"/>
            <w:tcBorders>
              <w:top w:val="nil"/>
              <w:left w:val="nil"/>
              <w:bottom w:val="nil"/>
              <w:right w:val="nil"/>
            </w:tcBorders>
            <w:noWrap/>
            <w:vAlign w:val="center"/>
            <w:hideMark/>
          </w:tcPr>
          <w:p w14:paraId="079EB066" w14:textId="77777777" w:rsidR="00205CBC" w:rsidRDefault="00000000">
            <w:r>
              <w:rPr>
                <w:color w:val="1F4E9E"/>
              </w:rPr>
              <w:t>0.283</w:t>
            </w:r>
          </w:p>
        </w:tc>
        <w:tc>
          <w:tcPr>
            <w:tcW w:w="1247" w:type="dxa"/>
            <w:tcBorders>
              <w:top w:val="nil"/>
              <w:left w:val="nil"/>
              <w:bottom w:val="nil"/>
              <w:right w:val="nil"/>
            </w:tcBorders>
            <w:noWrap/>
            <w:vAlign w:val="center"/>
            <w:hideMark/>
          </w:tcPr>
          <w:p w14:paraId="6DE1F020" w14:textId="77777777" w:rsidR="00205CBC" w:rsidRDefault="00000000">
            <w:r>
              <w:rPr>
                <w:color w:val="1F4E9E"/>
              </w:rPr>
              <w:t>p = .701</w:t>
            </w:r>
          </w:p>
        </w:tc>
        <w:tc>
          <w:tcPr>
            <w:tcW w:w="1186" w:type="dxa"/>
            <w:tcBorders>
              <w:top w:val="nil"/>
              <w:left w:val="nil"/>
              <w:bottom w:val="nil"/>
              <w:right w:val="nil"/>
            </w:tcBorders>
            <w:noWrap/>
            <w:vAlign w:val="bottom"/>
            <w:hideMark/>
          </w:tcPr>
          <w:p w14:paraId="0FC5E8E0" w14:textId="77777777" w:rsidR="00205CBC" w:rsidRDefault="00000000">
            <w:r>
              <w:rPr>
                <w:color w:val="1F4E9E"/>
              </w:rPr>
              <w:t>0.013</w:t>
            </w:r>
          </w:p>
        </w:tc>
      </w:tr>
      <w:tr w:rsidR="00E82EA7" w:rsidRPr="008B5651" w14:paraId="121A7A44" w14:textId="77777777" w:rsidTr="00132A83">
        <w:trPr>
          <w:trHeight w:val="118"/>
        </w:trPr>
        <w:tc>
          <w:tcPr>
            <w:tcW w:w="1361" w:type="dxa"/>
            <w:vMerge/>
            <w:tcBorders>
              <w:top w:val="single" w:sz="8" w:space="0" w:color="auto"/>
              <w:left w:val="nil"/>
              <w:bottom w:val="nil"/>
              <w:right w:val="nil"/>
            </w:tcBorders>
            <w:vAlign w:val="center"/>
            <w:hideMark/>
          </w:tcPr>
          <w:p w14:paraId="6EC823FD"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F198372" w14:textId="77777777" w:rsidR="00E82EA7" w:rsidRPr="008C2F99" w:rsidRDefault="00E82EA7" w:rsidP="003238E2">
            <w:pPr>
              <w:spacing w:after="0" w:line="240" w:lineRule="auto"/>
              <w:jc w:val="center"/>
              <w:rPr>
                <w:rFonts w:eastAsia="Times New Roman"/>
                <w:color w:val="000000"/>
                <w:sz w:val="18"/>
                <w:szCs w:val="18"/>
              </w:rPr>
            </w:pPr>
            <w:r>
              <w:t>duration × coherence × time, linear</w:t>
            </w:r>
          </w:p>
        </w:tc>
        <w:tc>
          <w:tcPr>
            <w:tcW w:w="283" w:type="dxa"/>
            <w:tcBorders>
              <w:top w:val="nil"/>
              <w:left w:val="nil"/>
              <w:bottom w:val="nil"/>
              <w:right w:val="nil"/>
            </w:tcBorders>
            <w:noWrap/>
            <w:vAlign w:val="center"/>
            <w:hideMark/>
          </w:tcPr>
          <w:p w14:paraId="60D45A7E"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DA088D0" w14:textId="77777777" w:rsidR="00205CBC" w:rsidRDefault="00000000">
            <w:r>
              <w:rPr>
                <w:color w:val="1F4E9E"/>
              </w:rPr>
              <w:t>1.90</w:t>
            </w:r>
          </w:p>
        </w:tc>
        <w:tc>
          <w:tcPr>
            <w:tcW w:w="1077" w:type="dxa"/>
            <w:tcBorders>
              <w:top w:val="nil"/>
              <w:left w:val="nil"/>
              <w:bottom w:val="nil"/>
              <w:right w:val="nil"/>
            </w:tcBorders>
            <w:noWrap/>
            <w:vAlign w:val="center"/>
            <w:hideMark/>
          </w:tcPr>
          <w:p w14:paraId="22AD62C4" w14:textId="77777777" w:rsidR="00205CBC" w:rsidRDefault="00000000">
            <w:r>
              <w:rPr>
                <w:color w:val="1F4E9E"/>
              </w:rPr>
              <w:t>39.84</w:t>
            </w:r>
          </w:p>
        </w:tc>
        <w:tc>
          <w:tcPr>
            <w:tcW w:w="1007" w:type="dxa"/>
            <w:tcBorders>
              <w:top w:val="nil"/>
              <w:left w:val="nil"/>
              <w:bottom w:val="nil"/>
              <w:right w:val="nil"/>
            </w:tcBorders>
            <w:noWrap/>
            <w:vAlign w:val="center"/>
            <w:hideMark/>
          </w:tcPr>
          <w:p w14:paraId="70B2AC74" w14:textId="77777777" w:rsidR="00205CBC" w:rsidRDefault="00000000">
            <w:r>
              <w:rPr>
                <w:color w:val="1F4E9E"/>
              </w:rPr>
              <w:t>0.031</w:t>
            </w:r>
          </w:p>
        </w:tc>
        <w:tc>
          <w:tcPr>
            <w:tcW w:w="1247" w:type="dxa"/>
            <w:tcBorders>
              <w:top w:val="nil"/>
              <w:left w:val="nil"/>
              <w:bottom w:val="nil"/>
              <w:right w:val="nil"/>
            </w:tcBorders>
            <w:noWrap/>
            <w:vAlign w:val="center"/>
            <w:hideMark/>
          </w:tcPr>
          <w:p w14:paraId="118EC146" w14:textId="77777777" w:rsidR="00205CBC" w:rsidRDefault="00000000">
            <w:r>
              <w:rPr>
                <w:color w:val="1F4E9E"/>
              </w:rPr>
              <w:t>p = .964</w:t>
            </w:r>
          </w:p>
        </w:tc>
        <w:tc>
          <w:tcPr>
            <w:tcW w:w="1186" w:type="dxa"/>
            <w:tcBorders>
              <w:top w:val="nil"/>
              <w:left w:val="nil"/>
              <w:bottom w:val="nil"/>
              <w:right w:val="nil"/>
            </w:tcBorders>
            <w:noWrap/>
            <w:vAlign w:val="center"/>
            <w:hideMark/>
          </w:tcPr>
          <w:p w14:paraId="2C9959E5" w14:textId="77777777" w:rsidR="00205CBC" w:rsidRDefault="00000000">
            <w:r>
              <w:rPr>
                <w:color w:val="1F4E9E"/>
              </w:rPr>
              <w:t>0.001</w:t>
            </w:r>
          </w:p>
        </w:tc>
      </w:tr>
      <w:tr w:rsidR="00E82EA7" w:rsidRPr="008B5651" w14:paraId="121A7A44" w14:textId="77777777" w:rsidTr="00132A83">
        <w:trPr>
          <w:trHeight w:val="118"/>
        </w:trPr>
        <w:tc>
          <w:tcPr>
            <w:tcW w:w="1361" w:type="dxa"/>
            <w:vMerge/>
            <w:tcBorders>
              <w:top w:val="single" w:sz="8" w:space="0" w:color="auto"/>
              <w:left w:val="nil"/>
              <w:bottom w:val="nil"/>
              <w:right w:val="nil"/>
            </w:tcBorders>
            <w:vAlign w:val="center"/>
            <w:hideMark/>
          </w:tcPr>
          <w:p w14:paraId="6EC823FD"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F198372" w14:textId="77777777" w:rsidR="00E82EA7" w:rsidRPr="008C2F99" w:rsidRDefault="00E82EA7" w:rsidP="003238E2">
            <w:pPr>
              <w:spacing w:after="0" w:line="240" w:lineRule="auto"/>
              <w:jc w:val="center"/>
              <w:rPr>
                <w:rFonts w:eastAsia="Times New Roman"/>
                <w:color w:val="000000"/>
                <w:sz w:val="18"/>
                <w:szCs w:val="18"/>
              </w:rPr>
            </w:pPr>
            <w:r>
              <w:t>time, quadratic</w:t>
            </w:r>
          </w:p>
        </w:tc>
        <w:tc>
          <w:tcPr>
            <w:tcW w:w="283" w:type="dxa"/>
            <w:tcBorders>
              <w:top w:val="nil"/>
              <w:left w:val="nil"/>
              <w:bottom w:val="nil"/>
              <w:right w:val="nil"/>
            </w:tcBorders>
            <w:noWrap/>
            <w:vAlign w:val="center"/>
            <w:hideMark/>
          </w:tcPr>
          <w:p w14:paraId="60D45A7E" w14:textId="77777777" w:rsidR="00E82EA7" w:rsidRPr="008C2F99" w:rsidRDefault="00E82EA7" w:rsidP="003238E2">
            <w:pPr>
              <w:spacing w:after="0" w:line="240" w:lineRule="auto"/>
              <w:jc w:val="center"/>
              <w:rPr>
                <w:rFonts w:eastAsia="Times New Roman"/>
                <w:color w:val="000000"/>
                <w:sz w:val="18"/>
                <w:szCs w:val="18"/>
              </w:rPr>
            </w:pPr>
            <w:r/>
          </w:p>
        </w:tc>
        <w:tc>
          <w:tcPr>
            <w:tcW w:w="558" w:type="dxa"/>
            <w:tcBorders>
              <w:top w:val="nil"/>
              <w:left w:val="nil"/>
              <w:bottom w:val="nil"/>
              <w:right w:val="nil"/>
            </w:tcBorders>
            <w:noWrap/>
            <w:vAlign w:val="center"/>
            <w:hideMark/>
          </w:tcPr>
          <w:p w14:paraId="4DA088D0" w14:textId="77777777" w:rsidR="00205CBC" w:rsidRDefault="00000000">
            <w:r>
              <w:rPr>
                <w:color w:val="1F4E9E"/>
              </w:rPr>
              <w:t>1</w:t>
            </w:r>
          </w:p>
        </w:tc>
        <w:tc>
          <w:tcPr>
            <w:tcW w:w="1077" w:type="dxa"/>
            <w:tcBorders>
              <w:top w:val="nil"/>
              <w:left w:val="nil"/>
              <w:bottom w:val="nil"/>
              <w:right w:val="nil"/>
            </w:tcBorders>
            <w:noWrap/>
            <w:vAlign w:val="center"/>
            <w:hideMark/>
          </w:tcPr>
          <w:p w14:paraId="22AD62C4" w14:textId="77777777" w:rsidR="00205CBC" w:rsidRDefault="00000000">
            <w:r>
              <w:rPr>
                <w:color w:val="1F4E9E"/>
              </w:rPr>
              <w:t>21</w:t>
            </w:r>
          </w:p>
        </w:tc>
        <w:tc>
          <w:tcPr>
            <w:tcW w:w="1007" w:type="dxa"/>
            <w:tcBorders>
              <w:top w:val="nil"/>
              <w:left w:val="nil"/>
              <w:bottom w:val="nil"/>
              <w:right w:val="nil"/>
            </w:tcBorders>
            <w:noWrap/>
            <w:vAlign w:val="center"/>
            <w:hideMark/>
          </w:tcPr>
          <w:p w14:paraId="70B2AC74" w14:textId="77777777" w:rsidR="00205CBC" w:rsidRDefault="00000000">
            <w:r>
              <w:t>4.041</w:t>
            </w:r>
          </w:p>
        </w:tc>
        <w:tc>
          <w:tcPr>
            <w:tcW w:w="1247" w:type="dxa"/>
            <w:tcBorders>
              <w:top w:val="nil"/>
              <w:left w:val="nil"/>
              <w:bottom w:val="nil"/>
              <w:right w:val="nil"/>
            </w:tcBorders>
            <w:noWrap/>
            <w:vAlign w:val="center"/>
            <w:hideMark/>
          </w:tcPr>
          <w:p w14:paraId="118EC146" w14:textId="77777777" w:rsidR="00205CBC" w:rsidRDefault="00000000">
            <w:r>
              <w:t>p = .057</w:t>
            </w:r>
          </w:p>
        </w:tc>
        <w:tc>
          <w:tcPr>
            <w:tcW w:w="1186" w:type="dxa"/>
            <w:tcBorders>
              <w:top w:val="nil"/>
              <w:left w:val="nil"/>
              <w:bottom w:val="nil"/>
              <w:right w:val="nil"/>
            </w:tcBorders>
            <w:noWrap/>
            <w:vAlign w:val="center"/>
            <w:hideMark/>
          </w:tcPr>
          <w:p w14:paraId="2C9959E5" w14:textId="77777777" w:rsidR="00205CBC" w:rsidRDefault="00000000">
            <w:r>
              <w:t>0.161</w:t>
            </w:r>
          </w:p>
        </w:tc>
      </w:tr>
      <w:tr w:rsidR="00E82EA7" w:rsidRPr="008B5651" w14:paraId="121A7A44" w14:textId="77777777" w:rsidTr="00132A83">
        <w:trPr>
          <w:trHeight w:val="118"/>
        </w:trPr>
        <w:tc>
          <w:tcPr>
            <w:tcW w:w="1361" w:type="dxa"/>
            <w:vMerge/>
            <w:tcBorders>
              <w:top w:val="single" w:sz="8" w:space="0" w:color="auto"/>
              <w:left w:val="nil"/>
              <w:bottom w:val="nil"/>
              <w:right w:val="nil"/>
            </w:tcBorders>
            <w:vAlign w:val="center"/>
            <w:hideMark/>
          </w:tcPr>
          <w:p w14:paraId="6EC823FD"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F198372" w14:textId="77777777" w:rsidR="00E82EA7" w:rsidRPr="008C2F99" w:rsidRDefault="00E82EA7" w:rsidP="003238E2">
            <w:pPr>
              <w:spacing w:after="0" w:line="240" w:lineRule="auto"/>
              <w:jc w:val="center"/>
              <w:rPr>
                <w:rFonts w:eastAsia="Times New Roman"/>
                <w:color w:val="000000"/>
                <w:sz w:val="18"/>
                <w:szCs w:val="18"/>
              </w:rPr>
            </w:pPr>
            <w:r>
              <w:t>duration × time, quadratic</w:t>
            </w:r>
          </w:p>
        </w:tc>
        <w:tc>
          <w:tcPr>
            <w:tcW w:w="283" w:type="dxa"/>
            <w:tcBorders>
              <w:top w:val="nil"/>
              <w:left w:val="nil"/>
              <w:bottom w:val="nil"/>
              <w:right w:val="nil"/>
            </w:tcBorders>
            <w:noWrap/>
            <w:vAlign w:val="center"/>
            <w:hideMark/>
          </w:tcPr>
          <w:p w14:paraId="60D45A7E" w14:textId="77777777" w:rsidR="00E82EA7" w:rsidRPr="008C2F99" w:rsidRDefault="00E82EA7" w:rsidP="003238E2">
            <w:pPr>
              <w:spacing w:after="0" w:line="240" w:lineRule="auto"/>
              <w:jc w:val="center"/>
              <w:rPr>
                <w:rFonts w:eastAsia="Times New Roman"/>
                <w:color w:val="000000"/>
                <w:sz w:val="18"/>
                <w:szCs w:val="18"/>
              </w:rPr>
            </w:pPr>
            <w:r/>
          </w:p>
        </w:tc>
        <w:tc>
          <w:tcPr>
            <w:tcW w:w="558" w:type="dxa"/>
            <w:tcBorders>
              <w:top w:val="nil"/>
              <w:left w:val="nil"/>
              <w:bottom w:val="nil"/>
              <w:right w:val="nil"/>
            </w:tcBorders>
            <w:noWrap/>
            <w:vAlign w:val="center"/>
            <w:hideMark/>
          </w:tcPr>
          <w:p w14:paraId="4DA088D0" w14:textId="77777777" w:rsidR="00205CBC" w:rsidRDefault="00000000">
            <w:r>
              <w:rPr>
                <w:color w:val="1F4E9E"/>
              </w:rPr>
              <w:t>1</w:t>
            </w:r>
          </w:p>
        </w:tc>
        <w:tc>
          <w:tcPr>
            <w:tcW w:w="1077" w:type="dxa"/>
            <w:tcBorders>
              <w:top w:val="nil"/>
              <w:left w:val="nil"/>
              <w:bottom w:val="nil"/>
              <w:right w:val="nil"/>
            </w:tcBorders>
            <w:noWrap/>
            <w:vAlign w:val="center"/>
            <w:hideMark/>
          </w:tcPr>
          <w:p w14:paraId="22AD62C4" w14:textId="77777777" w:rsidR="00205CBC" w:rsidRDefault="00000000">
            <w:r>
              <w:rPr>
                <w:color w:val="1F4E9E"/>
              </w:rPr>
              <w:t>21</w:t>
            </w:r>
          </w:p>
        </w:tc>
        <w:tc>
          <w:tcPr>
            <w:tcW w:w="1007" w:type="dxa"/>
            <w:tcBorders>
              <w:top w:val="nil"/>
              <w:left w:val="nil"/>
              <w:bottom w:val="nil"/>
              <w:right w:val="nil"/>
            </w:tcBorders>
            <w:noWrap/>
            <w:vAlign w:val="center"/>
            <w:hideMark/>
          </w:tcPr>
          <w:p w14:paraId="70B2AC74" w14:textId="77777777" w:rsidR="00205CBC" w:rsidRDefault="00000000">
            <w:r>
              <w:t>0.574</w:t>
            </w:r>
          </w:p>
        </w:tc>
        <w:tc>
          <w:tcPr>
            <w:tcW w:w="1247" w:type="dxa"/>
            <w:tcBorders>
              <w:top w:val="nil"/>
              <w:left w:val="nil"/>
              <w:bottom w:val="nil"/>
              <w:right w:val="nil"/>
            </w:tcBorders>
            <w:noWrap/>
            <w:vAlign w:val="center"/>
            <w:hideMark/>
          </w:tcPr>
          <w:p w14:paraId="118EC146" w14:textId="77777777" w:rsidR="00205CBC" w:rsidRDefault="00000000">
            <w:r>
              <w:t>p = .457</w:t>
            </w:r>
          </w:p>
        </w:tc>
        <w:tc>
          <w:tcPr>
            <w:tcW w:w="1186" w:type="dxa"/>
            <w:tcBorders>
              <w:top w:val="nil"/>
              <w:left w:val="nil"/>
              <w:bottom w:val="nil"/>
              <w:right w:val="nil"/>
            </w:tcBorders>
            <w:noWrap/>
            <w:vAlign w:val="center"/>
            <w:hideMark/>
          </w:tcPr>
          <w:p w14:paraId="2C9959E5" w14:textId="77777777" w:rsidR="00205CBC" w:rsidRDefault="00000000">
            <w:r>
              <w:t>0.027</w:t>
            </w:r>
          </w:p>
        </w:tc>
      </w:tr>
      <w:tr w:rsidR="00E82EA7" w:rsidRPr="008B5651" w14:paraId="121A7A44" w14:textId="77777777" w:rsidTr="00132A83">
        <w:trPr>
          <w:trHeight w:val="118"/>
        </w:trPr>
        <w:tc>
          <w:tcPr>
            <w:tcW w:w="1361" w:type="dxa"/>
            <w:vMerge/>
            <w:tcBorders>
              <w:top w:val="single" w:sz="8" w:space="0" w:color="auto"/>
              <w:left w:val="nil"/>
              <w:bottom w:val="nil"/>
              <w:right w:val="nil"/>
            </w:tcBorders>
            <w:vAlign w:val="center"/>
            <w:hideMark/>
          </w:tcPr>
          <w:p w14:paraId="6EC823FD"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F198372" w14:textId="77777777" w:rsidR="00E82EA7" w:rsidRPr="008C2F99" w:rsidRDefault="00E82EA7" w:rsidP="003238E2">
            <w:pPr>
              <w:spacing w:after="0" w:line="240" w:lineRule="auto"/>
              <w:jc w:val="center"/>
              <w:rPr>
                <w:rFonts w:eastAsia="Times New Roman"/>
                <w:color w:val="000000"/>
                <w:sz w:val="18"/>
                <w:szCs w:val="18"/>
              </w:rPr>
            </w:pPr>
            <w:r>
              <w:t>coherence × time, quadratic</w:t>
            </w:r>
          </w:p>
        </w:tc>
        <w:tc>
          <w:tcPr>
            <w:tcW w:w="283" w:type="dxa"/>
            <w:tcBorders>
              <w:top w:val="nil"/>
              <w:left w:val="nil"/>
              <w:bottom w:val="nil"/>
              <w:right w:val="nil"/>
            </w:tcBorders>
            <w:noWrap/>
            <w:vAlign w:val="center"/>
            <w:hideMark/>
          </w:tcPr>
          <w:p w14:paraId="60D45A7E" w14:textId="77777777" w:rsidR="00E82EA7" w:rsidRPr="008C2F99" w:rsidRDefault="00E82EA7" w:rsidP="003238E2">
            <w:pPr>
              <w:spacing w:after="0" w:line="240" w:lineRule="auto"/>
              <w:jc w:val="center"/>
              <w:rPr>
                <w:rFonts w:eastAsia="Times New Roman"/>
                <w:color w:val="000000"/>
                <w:sz w:val="18"/>
                <w:szCs w:val="18"/>
              </w:rPr>
            </w:pPr>
            <w:r/>
          </w:p>
        </w:tc>
        <w:tc>
          <w:tcPr>
            <w:tcW w:w="558" w:type="dxa"/>
            <w:tcBorders>
              <w:top w:val="nil"/>
              <w:left w:val="nil"/>
              <w:bottom w:val="nil"/>
              <w:right w:val="nil"/>
            </w:tcBorders>
            <w:noWrap/>
            <w:vAlign w:val="center"/>
            <w:hideMark/>
          </w:tcPr>
          <w:p w14:paraId="4DA088D0" w14:textId="77777777" w:rsidR="00205CBC" w:rsidRDefault="00000000">
            <w:r>
              <w:t>1.93</w:t>
            </w:r>
          </w:p>
        </w:tc>
        <w:tc>
          <w:tcPr>
            <w:tcW w:w="1077" w:type="dxa"/>
            <w:tcBorders>
              <w:top w:val="nil"/>
              <w:left w:val="nil"/>
              <w:bottom w:val="nil"/>
              <w:right w:val="nil"/>
            </w:tcBorders>
            <w:noWrap/>
            <w:vAlign w:val="center"/>
            <w:hideMark/>
          </w:tcPr>
          <w:p w14:paraId="22AD62C4" w14:textId="77777777" w:rsidR="00205CBC" w:rsidRDefault="00000000">
            <w:r>
              <w:t>40.62</w:t>
            </w:r>
          </w:p>
        </w:tc>
        <w:tc>
          <w:tcPr>
            <w:tcW w:w="1007" w:type="dxa"/>
            <w:tcBorders>
              <w:top w:val="nil"/>
              <w:left w:val="nil"/>
              <w:bottom w:val="nil"/>
              <w:right w:val="nil"/>
            </w:tcBorders>
            <w:noWrap/>
            <w:vAlign w:val="center"/>
            <w:hideMark/>
          </w:tcPr>
          <w:p w14:paraId="70B2AC74" w14:textId="77777777" w:rsidR="00205CBC" w:rsidRDefault="00000000">
            <w:r>
              <w:t>0.682</w:t>
            </w:r>
          </w:p>
        </w:tc>
        <w:tc>
          <w:tcPr>
            <w:tcW w:w="1247" w:type="dxa"/>
            <w:tcBorders>
              <w:top w:val="nil"/>
              <w:left w:val="nil"/>
              <w:bottom w:val="nil"/>
              <w:right w:val="nil"/>
            </w:tcBorders>
            <w:noWrap/>
            <w:vAlign w:val="center"/>
            <w:hideMark/>
          </w:tcPr>
          <w:p w14:paraId="118EC146" w14:textId="77777777" w:rsidR="00205CBC" w:rsidRDefault="00000000">
            <w:r>
              <w:t>p = .506</w:t>
            </w:r>
          </w:p>
        </w:tc>
        <w:tc>
          <w:tcPr>
            <w:tcW w:w="1186" w:type="dxa"/>
            <w:tcBorders>
              <w:top w:val="nil"/>
              <w:left w:val="nil"/>
              <w:bottom w:val="nil"/>
              <w:right w:val="nil"/>
            </w:tcBorders>
            <w:noWrap/>
            <w:vAlign w:val="center"/>
            <w:hideMark/>
          </w:tcPr>
          <w:p w14:paraId="2C9959E5" w14:textId="77777777" w:rsidR="00205CBC" w:rsidRDefault="00000000">
            <w:r>
              <w:t>0.031</w:t>
            </w:r>
          </w:p>
        </w:tc>
      </w:tr>
      <w:tr w:rsidR="00E82EA7" w:rsidRPr="008B5651" w14:paraId="121A7A44" w14:textId="77777777" w:rsidTr="00132A83">
        <w:trPr>
          <w:trHeight w:val="118"/>
        </w:trPr>
        <w:tc>
          <w:tcPr>
            <w:tcW w:w="1361" w:type="dxa"/>
            <w:vMerge/>
            <w:tcBorders>
              <w:top w:val="single" w:sz="8" w:space="0" w:color="auto"/>
              <w:left w:val="nil"/>
              <w:bottom w:val="nil"/>
              <w:right w:val="nil"/>
            </w:tcBorders>
            <w:vAlign w:val="center"/>
            <w:hideMark/>
          </w:tcPr>
          <w:p w14:paraId="6EC823FD"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F198372" w14:textId="77777777" w:rsidR="00E82EA7" w:rsidRPr="008C2F99" w:rsidRDefault="00E82EA7" w:rsidP="003238E2">
            <w:pPr>
              <w:spacing w:after="0" w:line="240" w:lineRule="auto"/>
              <w:jc w:val="center"/>
              <w:rPr>
                <w:rFonts w:eastAsia="Times New Roman"/>
                <w:color w:val="000000"/>
                <w:sz w:val="18"/>
                <w:szCs w:val="18"/>
              </w:rPr>
            </w:pPr>
            <w:r>
              <w:t>duration × coherence × time, quadratic</w:t>
            </w:r>
          </w:p>
        </w:tc>
        <w:tc>
          <w:tcPr>
            <w:tcW w:w="283" w:type="dxa"/>
            <w:tcBorders>
              <w:top w:val="nil"/>
              <w:left w:val="nil"/>
              <w:bottom w:val="nil"/>
              <w:right w:val="nil"/>
            </w:tcBorders>
            <w:noWrap/>
            <w:vAlign w:val="center"/>
            <w:hideMark/>
          </w:tcPr>
          <w:p w14:paraId="60D45A7E" w14:textId="77777777" w:rsidR="00E82EA7" w:rsidRPr="008C2F99" w:rsidRDefault="00E82EA7" w:rsidP="003238E2">
            <w:pPr>
              <w:spacing w:after="0" w:line="240" w:lineRule="auto"/>
              <w:jc w:val="center"/>
              <w:rPr>
                <w:rFonts w:eastAsia="Times New Roman"/>
                <w:color w:val="000000"/>
                <w:sz w:val="18"/>
                <w:szCs w:val="18"/>
              </w:rPr>
            </w:pPr>
            <w:r/>
          </w:p>
        </w:tc>
        <w:tc>
          <w:tcPr>
            <w:tcW w:w="558" w:type="dxa"/>
            <w:tcBorders>
              <w:top w:val="nil"/>
              <w:left w:val="nil"/>
              <w:bottom w:val="nil"/>
              <w:right w:val="nil"/>
            </w:tcBorders>
            <w:noWrap/>
            <w:vAlign w:val="center"/>
            <w:hideMark/>
          </w:tcPr>
          <w:p w14:paraId="4DA088D0" w14:textId="77777777" w:rsidR="00205CBC" w:rsidRDefault="00000000">
            <w:r>
              <w:t>1.98</w:t>
            </w:r>
          </w:p>
        </w:tc>
        <w:tc>
          <w:tcPr>
            <w:tcW w:w="1077" w:type="dxa"/>
            <w:tcBorders>
              <w:top w:val="nil"/>
              <w:left w:val="nil"/>
              <w:bottom w:val="nil"/>
              <w:right w:val="nil"/>
            </w:tcBorders>
            <w:noWrap/>
            <w:vAlign w:val="center"/>
            <w:hideMark/>
          </w:tcPr>
          <w:p w14:paraId="22AD62C4" w14:textId="77777777" w:rsidR="00205CBC" w:rsidRDefault="00000000">
            <w:r>
              <w:t>41.67</w:t>
            </w:r>
          </w:p>
        </w:tc>
        <w:tc>
          <w:tcPr>
            <w:tcW w:w="1007" w:type="dxa"/>
            <w:tcBorders>
              <w:top w:val="nil"/>
              <w:left w:val="nil"/>
              <w:bottom w:val="nil"/>
              <w:right w:val="nil"/>
            </w:tcBorders>
            <w:noWrap/>
            <w:vAlign w:val="center"/>
            <w:hideMark/>
          </w:tcPr>
          <w:p w14:paraId="70B2AC74" w14:textId="77777777" w:rsidR="00205CBC" w:rsidRDefault="00000000">
            <w:r>
              <w:t>0.330</w:t>
            </w:r>
          </w:p>
        </w:tc>
        <w:tc>
          <w:tcPr>
            <w:tcW w:w="1247" w:type="dxa"/>
            <w:tcBorders>
              <w:top w:val="nil"/>
              <w:left w:val="nil"/>
              <w:bottom w:val="nil"/>
              <w:right w:val="nil"/>
            </w:tcBorders>
            <w:noWrap/>
            <w:vAlign w:val="center"/>
            <w:hideMark/>
          </w:tcPr>
          <w:p w14:paraId="118EC146" w14:textId="77777777" w:rsidR="00205CBC" w:rsidRDefault="00000000">
            <w:r>
              <w:t>p = .719</w:t>
            </w:r>
          </w:p>
        </w:tc>
        <w:tc>
          <w:tcPr>
            <w:tcW w:w="1186" w:type="dxa"/>
            <w:tcBorders>
              <w:top w:val="nil"/>
              <w:left w:val="nil"/>
              <w:bottom w:val="nil"/>
              <w:right w:val="nil"/>
            </w:tcBorders>
            <w:noWrap/>
            <w:vAlign w:val="center"/>
            <w:hideMark/>
          </w:tcPr>
          <w:p w14:paraId="2C9959E5" w14:textId="77777777" w:rsidR="00205CBC" w:rsidRDefault="00000000">
            <w:r>
              <w:t>0.015</w:t>
            </w:r>
          </w:p>
        </w:tc>
      </w:tr>
      <w:tr w:rsidR="00E82EA7" w:rsidRPr="008B5651" w14:paraId="464F17FA" w14:textId="77777777" w:rsidTr="00132A83">
        <w:trPr>
          <w:trHeight w:val="118"/>
        </w:trPr>
        <w:tc>
          <w:tcPr>
            <w:tcW w:w="1361" w:type="dxa"/>
            <w:tcBorders>
              <w:top w:val="nil"/>
              <w:left w:val="nil"/>
              <w:bottom w:val="nil"/>
              <w:right w:val="nil"/>
            </w:tcBorders>
            <w:noWrap/>
            <w:vAlign w:val="bottom"/>
            <w:hideMark/>
          </w:tcPr>
          <w:p w14:paraId="1CD12E8A" w14:textId="77777777" w:rsidR="00E82EA7" w:rsidRPr="008C2F99" w:rsidRDefault="00E82EA7" w:rsidP="003238E2">
            <w:pPr>
              <w:spacing w:after="0" w:line="240" w:lineRule="auto"/>
              <w:jc w:val="center"/>
              <w:rPr>
                <w:rFonts w:eastAsia="Times New Roman"/>
                <w:sz w:val="22"/>
                <w:szCs w:val="22"/>
              </w:rPr>
            </w:pPr>
          </w:p>
        </w:tc>
        <w:tc>
          <w:tcPr>
            <w:tcW w:w="2467" w:type="dxa"/>
            <w:tcBorders>
              <w:top w:val="nil"/>
              <w:left w:val="nil"/>
              <w:bottom w:val="nil"/>
              <w:right w:val="nil"/>
            </w:tcBorders>
            <w:vAlign w:val="bottom"/>
            <w:hideMark/>
          </w:tcPr>
          <w:p w14:paraId="1FF32194" w14:textId="77777777" w:rsidR="00E82EA7" w:rsidRPr="008C2F99" w:rsidRDefault="00E82EA7" w:rsidP="003238E2">
            <w:pPr>
              <w:spacing w:after="0" w:line="240" w:lineRule="auto"/>
              <w:jc w:val="center"/>
              <w:rPr>
                <w:rFonts w:eastAsia="Times New Roman"/>
                <w:sz w:val="20"/>
                <w:szCs w:val="20"/>
              </w:rPr>
            </w:pPr>
          </w:p>
        </w:tc>
        <w:tc>
          <w:tcPr>
            <w:tcW w:w="283" w:type="dxa"/>
            <w:tcBorders>
              <w:top w:val="nil"/>
              <w:left w:val="nil"/>
              <w:bottom w:val="nil"/>
              <w:right w:val="nil"/>
            </w:tcBorders>
            <w:noWrap/>
            <w:vAlign w:val="bottom"/>
            <w:hideMark/>
          </w:tcPr>
          <w:p w14:paraId="4D5BDC25" w14:textId="77777777" w:rsidR="00E82EA7" w:rsidRPr="008C2F99" w:rsidRDefault="00E82EA7" w:rsidP="003238E2">
            <w:pPr>
              <w:spacing w:after="0" w:line="240" w:lineRule="auto"/>
              <w:jc w:val="center"/>
              <w:rPr>
                <w:rFonts w:eastAsia="Times New Roman"/>
                <w:sz w:val="20"/>
                <w:szCs w:val="20"/>
              </w:rPr>
            </w:pPr>
          </w:p>
        </w:tc>
        <w:tc>
          <w:tcPr>
            <w:tcW w:w="558" w:type="dxa"/>
            <w:tcBorders>
              <w:top w:val="nil"/>
              <w:left w:val="nil"/>
              <w:bottom w:val="nil"/>
              <w:right w:val="nil"/>
            </w:tcBorders>
            <w:noWrap/>
            <w:vAlign w:val="bottom"/>
            <w:hideMark/>
          </w:tcPr>
          <w:p w14:paraId="581945D1" w14:textId="77777777" w:rsidR="00E82EA7" w:rsidRPr="008C2F99" w:rsidRDefault="00E82EA7" w:rsidP="003238E2">
            <w:pPr>
              <w:spacing w:after="0" w:line="240" w:lineRule="auto"/>
              <w:jc w:val="center"/>
              <w:rPr>
                <w:rFonts w:eastAsia="Times New Roman"/>
                <w:sz w:val="18"/>
                <w:szCs w:val="18"/>
              </w:rPr>
            </w:pPr>
          </w:p>
        </w:tc>
        <w:tc>
          <w:tcPr>
            <w:tcW w:w="1077" w:type="dxa"/>
            <w:tcBorders>
              <w:top w:val="nil"/>
              <w:left w:val="nil"/>
              <w:bottom w:val="nil"/>
              <w:right w:val="nil"/>
            </w:tcBorders>
            <w:noWrap/>
            <w:vAlign w:val="bottom"/>
            <w:hideMark/>
          </w:tcPr>
          <w:p w14:paraId="5C983C9D" w14:textId="77777777" w:rsidR="00E82EA7" w:rsidRPr="008C2F99" w:rsidRDefault="00E82EA7" w:rsidP="003238E2">
            <w:pPr>
              <w:spacing w:after="0" w:line="240" w:lineRule="auto"/>
              <w:jc w:val="center"/>
              <w:rPr>
                <w:rFonts w:eastAsia="Times New Roman"/>
                <w:sz w:val="18"/>
                <w:szCs w:val="18"/>
              </w:rPr>
            </w:pPr>
          </w:p>
        </w:tc>
        <w:tc>
          <w:tcPr>
            <w:tcW w:w="1007" w:type="dxa"/>
            <w:tcBorders>
              <w:top w:val="nil"/>
              <w:left w:val="nil"/>
              <w:bottom w:val="nil"/>
              <w:right w:val="nil"/>
            </w:tcBorders>
            <w:noWrap/>
            <w:vAlign w:val="bottom"/>
            <w:hideMark/>
          </w:tcPr>
          <w:p w14:paraId="575A3D22" w14:textId="77777777" w:rsidR="00E82EA7" w:rsidRPr="008C2F99" w:rsidRDefault="00E82EA7" w:rsidP="003238E2">
            <w:pPr>
              <w:spacing w:after="0" w:line="240" w:lineRule="auto"/>
              <w:jc w:val="center"/>
              <w:rPr>
                <w:rFonts w:eastAsia="Times New Roman"/>
                <w:sz w:val="18"/>
                <w:szCs w:val="18"/>
              </w:rPr>
            </w:pPr>
          </w:p>
        </w:tc>
        <w:tc>
          <w:tcPr>
            <w:tcW w:w="1247" w:type="dxa"/>
            <w:tcBorders>
              <w:top w:val="nil"/>
              <w:left w:val="nil"/>
              <w:bottom w:val="nil"/>
              <w:right w:val="nil"/>
            </w:tcBorders>
            <w:noWrap/>
            <w:vAlign w:val="bottom"/>
            <w:hideMark/>
          </w:tcPr>
          <w:p w14:paraId="3BE822FC" w14:textId="77777777" w:rsidR="00E82EA7" w:rsidRPr="007605E5" w:rsidRDefault="00E82EA7" w:rsidP="003238E2">
            <w:pPr>
              <w:spacing w:after="0" w:line="240" w:lineRule="auto"/>
              <w:jc w:val="center"/>
              <w:rPr>
                <w:rFonts w:eastAsia="Times New Roman"/>
                <w:sz w:val="18"/>
                <w:szCs w:val="18"/>
              </w:rPr>
            </w:pPr>
          </w:p>
        </w:tc>
        <w:tc>
          <w:tcPr>
            <w:tcW w:w="1186" w:type="dxa"/>
            <w:tcBorders>
              <w:top w:val="nil"/>
              <w:left w:val="nil"/>
              <w:bottom w:val="nil"/>
              <w:right w:val="nil"/>
            </w:tcBorders>
            <w:noWrap/>
            <w:vAlign w:val="bottom"/>
            <w:hideMark/>
          </w:tcPr>
          <w:p w14:paraId="5392EB06" w14:textId="77777777" w:rsidR="00E82EA7" w:rsidRPr="008C2F99" w:rsidRDefault="00E82EA7" w:rsidP="003238E2">
            <w:pPr>
              <w:spacing w:after="0" w:line="240" w:lineRule="auto"/>
              <w:jc w:val="center"/>
              <w:rPr>
                <w:rFonts w:eastAsia="Times New Roman"/>
                <w:sz w:val="18"/>
                <w:szCs w:val="18"/>
              </w:rPr>
            </w:pPr>
          </w:p>
        </w:tc>
      </w:tr>
      <w:tr w:rsidR="00E82EA7" w:rsidRPr="008B5651" w14:paraId="086D5D6F" w14:textId="77777777" w:rsidTr="00132A83">
        <w:trPr>
          <w:trHeight w:val="118"/>
        </w:trPr>
        <w:tc>
          <w:tcPr>
            <w:tcW w:w="1361" w:type="dxa"/>
            <w:vMerge w:val="restart"/>
            <w:tcBorders>
              <w:top w:val="single" w:sz="8" w:space="0" w:color="auto"/>
              <w:left w:val="nil"/>
              <w:bottom w:val="nil"/>
              <w:right w:val="nil"/>
            </w:tcBorders>
            <w:noWrap/>
            <w:vAlign w:val="center"/>
            <w:hideMark/>
          </w:tcPr>
          <w:p w14:paraId="6357A0A5" w14:textId="77777777" w:rsidR="00E82EA7" w:rsidRPr="008C2F99" w:rsidRDefault="00E82EA7" w:rsidP="003238E2">
            <w:pPr>
              <w:spacing w:after="0" w:line="240" w:lineRule="auto"/>
              <w:jc w:val="center"/>
              <w:rPr>
                <w:rFonts w:eastAsia="Times New Roman"/>
                <w:bCs/>
                <w:color w:val="000000"/>
                <w:sz w:val="22"/>
                <w:szCs w:val="22"/>
              </w:rPr>
            </w:pPr>
            <w:r w:rsidRPr="008C2F99">
              <w:rPr>
                <w:rFonts w:eastAsia="Times New Roman"/>
                <w:bCs/>
                <w:color w:val="000000"/>
                <w:sz w:val="22"/>
                <w:szCs w:val="22"/>
              </w:rPr>
              <w:t>R</w:t>
            </w:r>
            <w:r w:rsidR="0089064B" w:rsidRPr="008C2F99">
              <w:rPr>
                <w:rFonts w:eastAsia="Times New Roman"/>
                <w:bCs/>
                <w:sz w:val="22"/>
                <w:szCs w:val="22"/>
              </w:rPr>
              <w:t>esponse signal</w:t>
            </w:r>
          </w:p>
        </w:tc>
        <w:tc>
          <w:tcPr>
            <w:tcW w:w="2467" w:type="dxa"/>
            <w:tcBorders>
              <w:top w:val="single" w:sz="8" w:space="0" w:color="auto"/>
              <w:left w:val="nil"/>
              <w:bottom w:val="nil"/>
              <w:right w:val="nil"/>
            </w:tcBorders>
            <w:vAlign w:val="center"/>
            <w:hideMark/>
          </w:tcPr>
          <w:p w14:paraId="33BAB71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w:t>
            </w:r>
          </w:p>
        </w:tc>
        <w:tc>
          <w:tcPr>
            <w:tcW w:w="283" w:type="dxa"/>
            <w:tcBorders>
              <w:top w:val="single" w:sz="8" w:space="0" w:color="auto"/>
              <w:left w:val="nil"/>
              <w:bottom w:val="nil"/>
              <w:right w:val="nil"/>
            </w:tcBorders>
            <w:noWrap/>
            <w:vAlign w:val="center"/>
            <w:hideMark/>
          </w:tcPr>
          <w:p w14:paraId="1D0E4BA4" w14:textId="77777777"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single" w:sz="8" w:space="0" w:color="auto"/>
              <w:left w:val="nil"/>
              <w:bottom w:val="nil"/>
              <w:right w:val="nil"/>
            </w:tcBorders>
            <w:noWrap/>
            <w:vAlign w:val="center"/>
            <w:hideMark/>
          </w:tcPr>
          <w:p w14:paraId="4878901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single" w:sz="8" w:space="0" w:color="auto"/>
              <w:left w:val="nil"/>
              <w:bottom w:val="nil"/>
              <w:right w:val="nil"/>
            </w:tcBorders>
            <w:noWrap/>
            <w:vAlign w:val="center"/>
            <w:hideMark/>
          </w:tcPr>
          <w:p w14:paraId="543CC76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single" w:sz="8" w:space="0" w:color="auto"/>
              <w:left w:val="nil"/>
              <w:bottom w:val="nil"/>
              <w:right w:val="nil"/>
            </w:tcBorders>
            <w:noWrap/>
            <w:vAlign w:val="center"/>
            <w:hideMark/>
          </w:tcPr>
          <w:p w14:paraId="3ABB913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0.185</w:t>
            </w:r>
          </w:p>
        </w:tc>
        <w:tc>
          <w:tcPr>
            <w:tcW w:w="1247" w:type="dxa"/>
            <w:tcBorders>
              <w:top w:val="single" w:sz="8" w:space="0" w:color="auto"/>
              <w:left w:val="nil"/>
              <w:bottom w:val="nil"/>
              <w:right w:val="nil"/>
            </w:tcBorders>
            <w:noWrap/>
            <w:vAlign w:val="center"/>
            <w:hideMark/>
          </w:tcPr>
          <w:p w14:paraId="48BEC50B"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sz w:val="18"/>
                <w:szCs w:val="18"/>
              </w:rPr>
              <w:t>.67</w:t>
            </w:r>
            <w:r w:rsidR="00ED68F4" w:rsidRPr="007605E5">
              <w:rPr>
                <w:rFonts w:eastAsia="Times New Roman"/>
                <w:iCs/>
                <w:color w:val="000000"/>
                <w:sz w:val="18"/>
                <w:szCs w:val="18"/>
              </w:rPr>
              <w:t>1</w:t>
            </w:r>
          </w:p>
        </w:tc>
        <w:tc>
          <w:tcPr>
            <w:tcW w:w="1186" w:type="dxa"/>
            <w:tcBorders>
              <w:top w:val="single" w:sz="8" w:space="0" w:color="auto"/>
              <w:left w:val="nil"/>
              <w:bottom w:val="nil"/>
              <w:right w:val="nil"/>
            </w:tcBorders>
            <w:noWrap/>
            <w:vAlign w:val="center"/>
            <w:hideMark/>
          </w:tcPr>
          <w:p w14:paraId="599A1D92" w14:textId="77777777"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r w:rsidR="00E82EA7" w:rsidRPr="008B5651" w14:paraId="5BF86FA7" w14:textId="77777777" w:rsidTr="00132A83">
        <w:trPr>
          <w:trHeight w:val="118"/>
        </w:trPr>
        <w:tc>
          <w:tcPr>
            <w:tcW w:w="1361" w:type="dxa"/>
            <w:vMerge/>
            <w:tcBorders>
              <w:top w:val="single" w:sz="8" w:space="0" w:color="auto"/>
              <w:left w:val="nil"/>
              <w:bottom w:val="nil"/>
              <w:right w:val="nil"/>
            </w:tcBorders>
            <w:vAlign w:val="center"/>
            <w:hideMark/>
          </w:tcPr>
          <w:p w14:paraId="66A6144F"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C66024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coherence</w:t>
            </w:r>
          </w:p>
        </w:tc>
        <w:tc>
          <w:tcPr>
            <w:tcW w:w="283" w:type="dxa"/>
            <w:tcBorders>
              <w:top w:val="nil"/>
              <w:left w:val="nil"/>
              <w:bottom w:val="nil"/>
              <w:right w:val="nil"/>
            </w:tcBorders>
            <w:noWrap/>
            <w:vAlign w:val="bottom"/>
            <w:hideMark/>
          </w:tcPr>
          <w:p w14:paraId="40712C23"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50B7213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1.45</w:t>
            </w:r>
          </w:p>
        </w:tc>
        <w:tc>
          <w:tcPr>
            <w:tcW w:w="1077" w:type="dxa"/>
            <w:tcBorders>
              <w:top w:val="nil"/>
              <w:left w:val="nil"/>
              <w:bottom w:val="nil"/>
              <w:right w:val="nil"/>
            </w:tcBorders>
            <w:noWrap/>
            <w:vAlign w:val="center"/>
            <w:hideMark/>
          </w:tcPr>
          <w:p w14:paraId="1C82276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30.43</w:t>
            </w:r>
          </w:p>
        </w:tc>
        <w:tc>
          <w:tcPr>
            <w:tcW w:w="1007" w:type="dxa"/>
            <w:tcBorders>
              <w:top w:val="nil"/>
              <w:left w:val="nil"/>
              <w:bottom w:val="nil"/>
              <w:right w:val="nil"/>
            </w:tcBorders>
            <w:noWrap/>
            <w:vAlign w:val="center"/>
            <w:hideMark/>
          </w:tcPr>
          <w:p w14:paraId="482E6DE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0.252</w:t>
            </w:r>
          </w:p>
        </w:tc>
        <w:tc>
          <w:tcPr>
            <w:tcW w:w="1247" w:type="dxa"/>
            <w:tcBorders>
              <w:top w:val="nil"/>
              <w:left w:val="nil"/>
              <w:bottom w:val="nil"/>
              <w:right w:val="nil"/>
            </w:tcBorders>
            <w:noWrap/>
            <w:vAlign w:val="center"/>
            <w:hideMark/>
          </w:tcPr>
          <w:p w14:paraId="383A84A4"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color w:val="000000"/>
                <w:sz w:val="18"/>
                <w:szCs w:val="18"/>
              </w:rPr>
              <w:t>.7</w:t>
            </w:r>
            <w:r w:rsidR="00ED68F4" w:rsidRPr="007605E5">
              <w:rPr>
                <w:rFonts w:eastAsia="Times New Roman"/>
                <w:iCs/>
                <w:sz w:val="18"/>
                <w:szCs w:val="18"/>
              </w:rPr>
              <w:t>07</w:t>
            </w:r>
          </w:p>
        </w:tc>
        <w:tc>
          <w:tcPr>
            <w:tcW w:w="1186" w:type="dxa"/>
            <w:tcBorders>
              <w:top w:val="nil"/>
              <w:left w:val="nil"/>
              <w:bottom w:val="nil"/>
              <w:right w:val="nil"/>
            </w:tcBorders>
            <w:noWrap/>
            <w:vAlign w:val="bottom"/>
            <w:hideMark/>
          </w:tcPr>
          <w:p w14:paraId="37FF65FD"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699F0618" w14:textId="77777777" w:rsidTr="00132A83">
        <w:trPr>
          <w:trHeight w:val="118"/>
        </w:trPr>
        <w:tc>
          <w:tcPr>
            <w:tcW w:w="1361" w:type="dxa"/>
            <w:vMerge/>
            <w:tcBorders>
              <w:top w:val="single" w:sz="8" w:space="0" w:color="auto"/>
              <w:left w:val="nil"/>
              <w:bottom w:val="nil"/>
              <w:right w:val="nil"/>
            </w:tcBorders>
            <w:vAlign w:val="center"/>
            <w:hideMark/>
          </w:tcPr>
          <w:p w14:paraId="64E04437"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AA5D71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time</w:t>
            </w:r>
          </w:p>
        </w:tc>
        <w:tc>
          <w:tcPr>
            <w:tcW w:w="283" w:type="dxa"/>
            <w:tcBorders>
              <w:top w:val="nil"/>
              <w:left w:val="nil"/>
              <w:bottom w:val="nil"/>
              <w:right w:val="nil"/>
            </w:tcBorders>
            <w:noWrap/>
            <w:vAlign w:val="bottom"/>
            <w:hideMark/>
          </w:tcPr>
          <w:p w14:paraId="17383591"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26BAA5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5773451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nil"/>
              <w:left w:val="nil"/>
              <w:bottom w:val="nil"/>
              <w:right w:val="nil"/>
            </w:tcBorders>
            <w:noWrap/>
            <w:vAlign w:val="center"/>
            <w:hideMark/>
          </w:tcPr>
          <w:p w14:paraId="7C2F647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14.076</w:t>
            </w:r>
          </w:p>
        </w:tc>
        <w:tc>
          <w:tcPr>
            <w:tcW w:w="1247" w:type="dxa"/>
            <w:tcBorders>
              <w:top w:val="nil"/>
              <w:left w:val="nil"/>
              <w:bottom w:val="nil"/>
              <w:right w:val="nil"/>
            </w:tcBorders>
            <w:noWrap/>
            <w:vAlign w:val="center"/>
            <w:hideMark/>
          </w:tcPr>
          <w:p w14:paraId="412F1263"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sz w:val="18"/>
                <w:szCs w:val="18"/>
              </w:rPr>
              <w:t>.001</w:t>
            </w:r>
          </w:p>
        </w:tc>
        <w:tc>
          <w:tcPr>
            <w:tcW w:w="1186" w:type="dxa"/>
            <w:tcBorders>
              <w:top w:val="nil"/>
              <w:left w:val="nil"/>
              <w:bottom w:val="nil"/>
              <w:right w:val="nil"/>
            </w:tcBorders>
            <w:noWrap/>
            <w:vAlign w:val="center"/>
            <w:hideMark/>
          </w:tcPr>
          <w:p w14:paraId="45E126E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w:t>
            </w:r>
            <w:r w:rsidR="002F502D" w:rsidRPr="008C2F99">
              <w:rPr>
                <w:rFonts w:eastAsia="Times New Roman"/>
                <w:sz w:val="18"/>
                <w:szCs w:val="18"/>
              </w:rPr>
              <w:t>401</w:t>
            </w:r>
          </w:p>
        </w:tc>
      </w:tr>
      <w:tr w:rsidR="00E82EA7" w:rsidRPr="008B5651" w14:paraId="4DA6ECC8" w14:textId="77777777" w:rsidTr="00132A83">
        <w:trPr>
          <w:trHeight w:val="118"/>
        </w:trPr>
        <w:tc>
          <w:tcPr>
            <w:tcW w:w="1361" w:type="dxa"/>
            <w:vMerge/>
            <w:tcBorders>
              <w:top w:val="single" w:sz="8" w:space="0" w:color="auto"/>
              <w:left w:val="nil"/>
              <w:bottom w:val="nil"/>
              <w:right w:val="nil"/>
            </w:tcBorders>
            <w:vAlign w:val="center"/>
            <w:hideMark/>
          </w:tcPr>
          <w:p w14:paraId="14B9C92C"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667598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coherence</w:t>
            </w:r>
          </w:p>
        </w:tc>
        <w:tc>
          <w:tcPr>
            <w:tcW w:w="283" w:type="dxa"/>
            <w:tcBorders>
              <w:top w:val="nil"/>
              <w:left w:val="nil"/>
              <w:bottom w:val="nil"/>
              <w:right w:val="nil"/>
            </w:tcBorders>
            <w:noWrap/>
            <w:vAlign w:val="bottom"/>
            <w:hideMark/>
          </w:tcPr>
          <w:p w14:paraId="35E260E4"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8ABE44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1.96</w:t>
            </w:r>
          </w:p>
        </w:tc>
        <w:tc>
          <w:tcPr>
            <w:tcW w:w="1077" w:type="dxa"/>
            <w:tcBorders>
              <w:top w:val="nil"/>
              <w:left w:val="nil"/>
              <w:bottom w:val="nil"/>
              <w:right w:val="nil"/>
            </w:tcBorders>
            <w:noWrap/>
            <w:vAlign w:val="center"/>
            <w:hideMark/>
          </w:tcPr>
          <w:p w14:paraId="0561E67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41.08</w:t>
            </w:r>
          </w:p>
        </w:tc>
        <w:tc>
          <w:tcPr>
            <w:tcW w:w="1007" w:type="dxa"/>
            <w:tcBorders>
              <w:top w:val="nil"/>
              <w:left w:val="nil"/>
              <w:bottom w:val="nil"/>
              <w:right w:val="nil"/>
            </w:tcBorders>
            <w:noWrap/>
            <w:vAlign w:val="center"/>
            <w:hideMark/>
          </w:tcPr>
          <w:p w14:paraId="17D244A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0.267</w:t>
            </w:r>
          </w:p>
        </w:tc>
        <w:tc>
          <w:tcPr>
            <w:tcW w:w="1247" w:type="dxa"/>
            <w:tcBorders>
              <w:top w:val="nil"/>
              <w:left w:val="nil"/>
              <w:bottom w:val="nil"/>
              <w:right w:val="nil"/>
            </w:tcBorders>
            <w:noWrap/>
            <w:vAlign w:val="center"/>
            <w:hideMark/>
          </w:tcPr>
          <w:p w14:paraId="78A1B9EC"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.762</w:t>
            </w:r>
          </w:p>
        </w:tc>
        <w:tc>
          <w:tcPr>
            <w:tcW w:w="1186" w:type="dxa"/>
            <w:tcBorders>
              <w:top w:val="nil"/>
              <w:left w:val="nil"/>
              <w:bottom w:val="nil"/>
              <w:right w:val="nil"/>
            </w:tcBorders>
            <w:noWrap/>
            <w:vAlign w:val="bottom"/>
            <w:hideMark/>
          </w:tcPr>
          <w:p w14:paraId="6F669675"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7C5EC91" w14:textId="77777777" w:rsidTr="00132A83">
        <w:trPr>
          <w:trHeight w:val="118"/>
        </w:trPr>
        <w:tc>
          <w:tcPr>
            <w:tcW w:w="1361" w:type="dxa"/>
            <w:vMerge/>
            <w:tcBorders>
              <w:top w:val="single" w:sz="8" w:space="0" w:color="auto"/>
              <w:left w:val="nil"/>
              <w:bottom w:val="nil"/>
              <w:right w:val="nil"/>
            </w:tcBorders>
            <w:vAlign w:val="center"/>
            <w:hideMark/>
          </w:tcPr>
          <w:p w14:paraId="17D68C40"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CCF33B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time</w:t>
            </w:r>
          </w:p>
        </w:tc>
        <w:tc>
          <w:tcPr>
            <w:tcW w:w="283" w:type="dxa"/>
            <w:tcBorders>
              <w:top w:val="nil"/>
              <w:left w:val="nil"/>
              <w:bottom w:val="nil"/>
              <w:right w:val="nil"/>
            </w:tcBorders>
            <w:noWrap/>
            <w:vAlign w:val="bottom"/>
            <w:hideMark/>
          </w:tcPr>
          <w:p w14:paraId="53FEC8DE"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706CD5F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1A5A805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nil"/>
              <w:left w:val="nil"/>
              <w:bottom w:val="nil"/>
              <w:right w:val="nil"/>
            </w:tcBorders>
            <w:noWrap/>
            <w:vAlign w:val="center"/>
            <w:hideMark/>
          </w:tcPr>
          <w:p w14:paraId="1CF94D7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1.238</w:t>
            </w:r>
          </w:p>
        </w:tc>
        <w:tc>
          <w:tcPr>
            <w:tcW w:w="1247" w:type="dxa"/>
            <w:tcBorders>
              <w:top w:val="nil"/>
              <w:left w:val="nil"/>
              <w:bottom w:val="nil"/>
              <w:right w:val="nil"/>
            </w:tcBorders>
            <w:noWrap/>
            <w:vAlign w:val="center"/>
            <w:hideMark/>
          </w:tcPr>
          <w:p w14:paraId="231D7DE3"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color w:val="000000"/>
                <w:sz w:val="18"/>
                <w:szCs w:val="18"/>
              </w:rPr>
              <w:t>.2</w:t>
            </w:r>
            <w:r w:rsidR="00ED68F4" w:rsidRPr="007605E5">
              <w:rPr>
                <w:rFonts w:eastAsia="Times New Roman"/>
                <w:iCs/>
                <w:sz w:val="18"/>
                <w:szCs w:val="18"/>
              </w:rPr>
              <w:t>78</w:t>
            </w:r>
          </w:p>
        </w:tc>
        <w:tc>
          <w:tcPr>
            <w:tcW w:w="1186" w:type="dxa"/>
            <w:tcBorders>
              <w:top w:val="nil"/>
              <w:left w:val="nil"/>
              <w:bottom w:val="nil"/>
              <w:right w:val="nil"/>
            </w:tcBorders>
            <w:noWrap/>
            <w:vAlign w:val="center"/>
            <w:hideMark/>
          </w:tcPr>
          <w:p w14:paraId="3D733506"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38F9BE55" w14:textId="77777777" w:rsidTr="00132A83">
        <w:trPr>
          <w:trHeight w:val="118"/>
        </w:trPr>
        <w:tc>
          <w:tcPr>
            <w:tcW w:w="1361" w:type="dxa"/>
            <w:vMerge/>
            <w:tcBorders>
              <w:top w:val="single" w:sz="8" w:space="0" w:color="auto"/>
              <w:left w:val="nil"/>
              <w:bottom w:val="nil"/>
              <w:right w:val="nil"/>
            </w:tcBorders>
            <w:vAlign w:val="center"/>
            <w:hideMark/>
          </w:tcPr>
          <w:p w14:paraId="4F1131CB"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61B01EA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coherence × time</w:t>
            </w:r>
          </w:p>
        </w:tc>
        <w:tc>
          <w:tcPr>
            <w:tcW w:w="283" w:type="dxa"/>
            <w:tcBorders>
              <w:top w:val="nil"/>
              <w:left w:val="nil"/>
              <w:bottom w:val="nil"/>
              <w:right w:val="nil"/>
            </w:tcBorders>
            <w:noWrap/>
            <w:vAlign w:val="bottom"/>
            <w:hideMark/>
          </w:tcPr>
          <w:p w14:paraId="3C94A158"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2CFE7B0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1.59</w:t>
            </w:r>
          </w:p>
        </w:tc>
        <w:tc>
          <w:tcPr>
            <w:tcW w:w="1077" w:type="dxa"/>
            <w:tcBorders>
              <w:top w:val="nil"/>
              <w:left w:val="nil"/>
              <w:bottom w:val="nil"/>
              <w:right w:val="nil"/>
            </w:tcBorders>
            <w:noWrap/>
            <w:vAlign w:val="center"/>
            <w:hideMark/>
          </w:tcPr>
          <w:p w14:paraId="39C3392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33.39</w:t>
            </w:r>
          </w:p>
        </w:tc>
        <w:tc>
          <w:tcPr>
            <w:tcW w:w="1007" w:type="dxa"/>
            <w:tcBorders>
              <w:top w:val="nil"/>
              <w:left w:val="nil"/>
              <w:bottom w:val="nil"/>
              <w:right w:val="nil"/>
            </w:tcBorders>
            <w:noWrap/>
            <w:vAlign w:val="center"/>
            <w:hideMark/>
          </w:tcPr>
          <w:p w14:paraId="1175479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1.058</w:t>
            </w:r>
          </w:p>
        </w:tc>
        <w:tc>
          <w:tcPr>
            <w:tcW w:w="1247" w:type="dxa"/>
            <w:tcBorders>
              <w:top w:val="nil"/>
              <w:left w:val="nil"/>
              <w:bottom w:val="nil"/>
              <w:right w:val="nil"/>
            </w:tcBorders>
            <w:noWrap/>
            <w:vAlign w:val="center"/>
            <w:hideMark/>
          </w:tcPr>
          <w:p w14:paraId="5B4765CF"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.344</w:t>
            </w:r>
          </w:p>
        </w:tc>
        <w:tc>
          <w:tcPr>
            <w:tcW w:w="1186" w:type="dxa"/>
            <w:tcBorders>
              <w:top w:val="nil"/>
              <w:left w:val="nil"/>
              <w:bottom w:val="nil"/>
              <w:right w:val="nil"/>
            </w:tcBorders>
            <w:noWrap/>
            <w:vAlign w:val="bottom"/>
            <w:hideMark/>
          </w:tcPr>
          <w:p w14:paraId="5D1991C3"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806B374" w14:textId="77777777" w:rsidTr="00132A83">
        <w:trPr>
          <w:trHeight w:val="118"/>
        </w:trPr>
        <w:tc>
          <w:tcPr>
            <w:tcW w:w="1361" w:type="dxa"/>
            <w:vMerge/>
            <w:tcBorders>
              <w:top w:val="single" w:sz="8" w:space="0" w:color="auto"/>
              <w:left w:val="nil"/>
              <w:bottom w:val="nil"/>
              <w:right w:val="nil"/>
            </w:tcBorders>
            <w:vAlign w:val="center"/>
            <w:hideMark/>
          </w:tcPr>
          <w:p w14:paraId="60078A36"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C4E107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coherence × time</w:t>
            </w:r>
          </w:p>
        </w:tc>
        <w:tc>
          <w:tcPr>
            <w:tcW w:w="283" w:type="dxa"/>
            <w:tcBorders>
              <w:top w:val="nil"/>
              <w:left w:val="nil"/>
              <w:bottom w:val="nil"/>
              <w:right w:val="nil"/>
            </w:tcBorders>
            <w:noWrap/>
            <w:vAlign w:val="center"/>
            <w:hideMark/>
          </w:tcPr>
          <w:p w14:paraId="79DA4658"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5C9A91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1.94</w:t>
            </w:r>
          </w:p>
        </w:tc>
        <w:tc>
          <w:tcPr>
            <w:tcW w:w="1077" w:type="dxa"/>
            <w:tcBorders>
              <w:top w:val="nil"/>
              <w:left w:val="nil"/>
              <w:bottom w:val="nil"/>
              <w:right w:val="nil"/>
            </w:tcBorders>
            <w:noWrap/>
            <w:vAlign w:val="center"/>
            <w:hideMark/>
          </w:tcPr>
          <w:p w14:paraId="64697CD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40.83</w:t>
            </w:r>
          </w:p>
        </w:tc>
        <w:tc>
          <w:tcPr>
            <w:tcW w:w="1007" w:type="dxa"/>
            <w:tcBorders>
              <w:top w:val="nil"/>
              <w:left w:val="nil"/>
              <w:bottom w:val="nil"/>
              <w:right w:val="nil"/>
            </w:tcBorders>
            <w:noWrap/>
            <w:vAlign w:val="center"/>
            <w:hideMark/>
          </w:tcPr>
          <w:p w14:paraId="3DE77D5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0.108</w:t>
            </w:r>
          </w:p>
        </w:tc>
        <w:tc>
          <w:tcPr>
            <w:tcW w:w="1247" w:type="dxa"/>
            <w:tcBorders>
              <w:top w:val="nil"/>
              <w:left w:val="nil"/>
              <w:bottom w:val="nil"/>
              <w:right w:val="nil"/>
            </w:tcBorders>
            <w:noWrap/>
            <w:vAlign w:val="center"/>
            <w:hideMark/>
          </w:tcPr>
          <w:p w14:paraId="74BFD9F4"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.893</w:t>
            </w:r>
          </w:p>
        </w:tc>
        <w:tc>
          <w:tcPr>
            <w:tcW w:w="1186" w:type="dxa"/>
            <w:tcBorders>
              <w:top w:val="nil"/>
              <w:left w:val="nil"/>
              <w:bottom w:val="nil"/>
              <w:right w:val="nil"/>
            </w:tcBorders>
            <w:noWrap/>
            <w:vAlign w:val="center"/>
            <w:hideMark/>
          </w:tcPr>
          <w:p w14:paraId="7F1948B1"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150BED8" w14:textId="77777777" w:rsidTr="00132A83">
        <w:trPr>
          <w:trHeight w:val="118"/>
        </w:trPr>
        <w:tc>
          <w:tcPr>
            <w:tcW w:w="1361" w:type="dxa"/>
            <w:tcBorders>
              <w:top w:val="nil"/>
              <w:left w:val="nil"/>
              <w:bottom w:val="nil"/>
              <w:right w:val="nil"/>
            </w:tcBorders>
            <w:noWrap/>
            <w:vAlign w:val="bottom"/>
            <w:hideMark/>
          </w:tcPr>
          <w:p w14:paraId="041F1414" w14:textId="77777777" w:rsidR="00E82EA7" w:rsidRPr="008C2F99" w:rsidRDefault="00E82EA7" w:rsidP="003238E2">
            <w:pPr>
              <w:spacing w:after="0" w:line="240" w:lineRule="auto"/>
              <w:jc w:val="center"/>
              <w:rPr>
                <w:rFonts w:eastAsia="Times New Roman"/>
                <w:sz w:val="22"/>
                <w:szCs w:val="22"/>
              </w:rPr>
            </w:pPr>
          </w:p>
        </w:tc>
        <w:tc>
          <w:tcPr>
            <w:tcW w:w="2467" w:type="dxa"/>
            <w:tcBorders>
              <w:top w:val="nil"/>
              <w:left w:val="nil"/>
              <w:bottom w:val="nil"/>
              <w:right w:val="nil"/>
            </w:tcBorders>
            <w:vAlign w:val="bottom"/>
            <w:hideMark/>
          </w:tcPr>
          <w:p w14:paraId="3751F9D0" w14:textId="77777777" w:rsidR="00E82EA7" w:rsidRPr="008C2F99" w:rsidRDefault="00E82EA7" w:rsidP="003238E2">
            <w:pPr>
              <w:spacing w:after="0" w:line="240" w:lineRule="auto"/>
              <w:jc w:val="center"/>
              <w:rPr>
                <w:rFonts w:eastAsia="Times New Roman"/>
                <w:sz w:val="20"/>
                <w:szCs w:val="20"/>
              </w:rPr>
            </w:pPr>
          </w:p>
        </w:tc>
        <w:tc>
          <w:tcPr>
            <w:tcW w:w="283" w:type="dxa"/>
            <w:tcBorders>
              <w:top w:val="nil"/>
              <w:left w:val="nil"/>
              <w:bottom w:val="nil"/>
              <w:right w:val="nil"/>
            </w:tcBorders>
            <w:noWrap/>
            <w:vAlign w:val="bottom"/>
            <w:hideMark/>
          </w:tcPr>
          <w:p w14:paraId="5EE98364" w14:textId="77777777" w:rsidR="00E82EA7" w:rsidRPr="008C2F99" w:rsidRDefault="00E82EA7" w:rsidP="003238E2">
            <w:pPr>
              <w:spacing w:after="0" w:line="240" w:lineRule="auto"/>
              <w:jc w:val="center"/>
              <w:rPr>
                <w:rFonts w:eastAsia="Times New Roman"/>
                <w:sz w:val="20"/>
                <w:szCs w:val="20"/>
              </w:rPr>
            </w:pPr>
          </w:p>
        </w:tc>
        <w:tc>
          <w:tcPr>
            <w:tcW w:w="558" w:type="dxa"/>
            <w:tcBorders>
              <w:top w:val="nil"/>
              <w:left w:val="nil"/>
              <w:bottom w:val="nil"/>
              <w:right w:val="nil"/>
            </w:tcBorders>
            <w:noWrap/>
            <w:vAlign w:val="bottom"/>
            <w:hideMark/>
          </w:tcPr>
          <w:p w14:paraId="3F628392" w14:textId="77777777" w:rsidR="00E82EA7" w:rsidRPr="008C2F99" w:rsidRDefault="00E82EA7" w:rsidP="003238E2">
            <w:pPr>
              <w:spacing w:after="0" w:line="240" w:lineRule="auto"/>
              <w:jc w:val="center"/>
              <w:rPr>
                <w:rFonts w:eastAsia="Times New Roman"/>
                <w:sz w:val="18"/>
                <w:szCs w:val="18"/>
              </w:rPr>
            </w:pPr>
          </w:p>
        </w:tc>
        <w:tc>
          <w:tcPr>
            <w:tcW w:w="1077" w:type="dxa"/>
            <w:tcBorders>
              <w:top w:val="nil"/>
              <w:left w:val="nil"/>
              <w:bottom w:val="nil"/>
              <w:right w:val="nil"/>
            </w:tcBorders>
            <w:noWrap/>
            <w:vAlign w:val="bottom"/>
            <w:hideMark/>
          </w:tcPr>
          <w:p w14:paraId="415E55A0" w14:textId="77777777" w:rsidR="00E82EA7" w:rsidRPr="008C2F99" w:rsidRDefault="00E82EA7" w:rsidP="003238E2">
            <w:pPr>
              <w:spacing w:after="0" w:line="240" w:lineRule="auto"/>
              <w:jc w:val="center"/>
              <w:rPr>
                <w:rFonts w:eastAsia="Times New Roman"/>
                <w:sz w:val="18"/>
                <w:szCs w:val="18"/>
              </w:rPr>
            </w:pPr>
          </w:p>
        </w:tc>
        <w:tc>
          <w:tcPr>
            <w:tcW w:w="1007" w:type="dxa"/>
            <w:tcBorders>
              <w:top w:val="nil"/>
              <w:left w:val="nil"/>
              <w:bottom w:val="nil"/>
              <w:right w:val="nil"/>
            </w:tcBorders>
            <w:noWrap/>
            <w:vAlign w:val="bottom"/>
            <w:hideMark/>
          </w:tcPr>
          <w:p w14:paraId="5B07AFF1" w14:textId="77777777" w:rsidR="00E82EA7" w:rsidRPr="008C2F99" w:rsidRDefault="00E82EA7" w:rsidP="003238E2">
            <w:pPr>
              <w:spacing w:after="0" w:line="240" w:lineRule="auto"/>
              <w:jc w:val="center"/>
              <w:rPr>
                <w:rFonts w:eastAsia="Times New Roman"/>
                <w:sz w:val="18"/>
                <w:szCs w:val="18"/>
              </w:rPr>
            </w:pPr>
          </w:p>
        </w:tc>
        <w:tc>
          <w:tcPr>
            <w:tcW w:w="1247" w:type="dxa"/>
            <w:tcBorders>
              <w:top w:val="nil"/>
              <w:left w:val="nil"/>
              <w:bottom w:val="nil"/>
              <w:right w:val="nil"/>
            </w:tcBorders>
            <w:noWrap/>
            <w:vAlign w:val="bottom"/>
            <w:hideMark/>
          </w:tcPr>
          <w:p w14:paraId="50F5A211" w14:textId="77777777" w:rsidR="00E82EA7" w:rsidRPr="007605E5" w:rsidRDefault="00E82EA7" w:rsidP="003238E2">
            <w:pPr>
              <w:spacing w:after="0" w:line="240" w:lineRule="auto"/>
              <w:jc w:val="center"/>
              <w:rPr>
                <w:rFonts w:eastAsia="Times New Roman"/>
                <w:sz w:val="18"/>
                <w:szCs w:val="18"/>
              </w:rPr>
            </w:pPr>
          </w:p>
        </w:tc>
        <w:tc>
          <w:tcPr>
            <w:tcW w:w="1186" w:type="dxa"/>
            <w:tcBorders>
              <w:top w:val="nil"/>
              <w:left w:val="nil"/>
              <w:bottom w:val="nil"/>
              <w:right w:val="nil"/>
            </w:tcBorders>
            <w:noWrap/>
            <w:vAlign w:val="bottom"/>
            <w:hideMark/>
          </w:tcPr>
          <w:p w14:paraId="7A574721" w14:textId="77777777" w:rsidR="00E82EA7" w:rsidRPr="008C2F99" w:rsidRDefault="00E82EA7" w:rsidP="003238E2">
            <w:pPr>
              <w:spacing w:after="0" w:line="240" w:lineRule="auto"/>
              <w:jc w:val="center"/>
              <w:rPr>
                <w:rFonts w:eastAsia="Times New Roman"/>
                <w:sz w:val="18"/>
                <w:szCs w:val="18"/>
              </w:rPr>
            </w:pPr>
          </w:p>
        </w:tc>
      </w:tr>
      <w:tr w:rsidR="00E82EA7" w:rsidRPr="008B5651" w14:paraId="2F3CE941" w14:textId="77777777" w:rsidTr="00132A83">
        <w:trPr>
          <w:trHeight w:val="118"/>
        </w:trPr>
        <w:tc>
          <w:tcPr>
            <w:tcW w:w="1361" w:type="dxa"/>
            <w:vMerge w:val="restart"/>
            <w:tcBorders>
              <w:top w:val="single" w:sz="8" w:space="0" w:color="auto"/>
              <w:left w:val="nil"/>
              <w:bottom w:val="single" w:sz="12" w:space="0" w:color="000000"/>
              <w:right w:val="nil"/>
            </w:tcBorders>
            <w:noWrap/>
            <w:vAlign w:val="center"/>
            <w:hideMark/>
          </w:tcPr>
          <w:p w14:paraId="11B60FB5" w14:textId="77777777" w:rsidR="00E82EA7" w:rsidRPr="008C2F99" w:rsidRDefault="00E82EA7" w:rsidP="003238E2">
            <w:pPr>
              <w:spacing w:after="0" w:line="240" w:lineRule="auto"/>
              <w:jc w:val="center"/>
              <w:rPr>
                <w:rFonts w:eastAsia="Times New Roman"/>
                <w:bCs/>
                <w:color w:val="000000"/>
                <w:sz w:val="22"/>
                <w:szCs w:val="22"/>
              </w:rPr>
            </w:pPr>
            <w:r w:rsidRPr="008C2F99">
              <w:rPr>
                <w:rFonts w:eastAsia="Times New Roman"/>
                <w:bCs/>
                <w:sz w:val="22"/>
                <w:szCs w:val="22"/>
              </w:rPr>
              <w:t>Response</w:t>
            </w:r>
          </w:p>
        </w:tc>
        <w:tc>
          <w:tcPr>
            <w:tcW w:w="2467" w:type="dxa"/>
            <w:tcBorders>
              <w:top w:val="single" w:sz="8" w:space="0" w:color="auto"/>
              <w:left w:val="nil"/>
              <w:bottom w:val="nil"/>
              <w:right w:val="nil"/>
            </w:tcBorders>
            <w:vAlign w:val="center"/>
            <w:hideMark/>
          </w:tcPr>
          <w:p w14:paraId="10853ED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w:t>
            </w:r>
          </w:p>
        </w:tc>
        <w:tc>
          <w:tcPr>
            <w:tcW w:w="283" w:type="dxa"/>
            <w:tcBorders>
              <w:top w:val="single" w:sz="8" w:space="0" w:color="auto"/>
              <w:left w:val="nil"/>
              <w:bottom w:val="nil"/>
              <w:right w:val="nil"/>
            </w:tcBorders>
            <w:noWrap/>
            <w:vAlign w:val="center"/>
            <w:hideMark/>
          </w:tcPr>
          <w:p w14:paraId="62C78F69" w14:textId="77777777"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single" w:sz="8" w:space="0" w:color="auto"/>
              <w:left w:val="nil"/>
              <w:bottom w:val="nil"/>
              <w:right w:val="nil"/>
            </w:tcBorders>
            <w:noWrap/>
            <w:vAlign w:val="center"/>
            <w:hideMark/>
          </w:tcPr>
          <w:p w14:paraId="1CD5892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single" w:sz="8" w:space="0" w:color="auto"/>
              <w:left w:val="nil"/>
              <w:bottom w:val="nil"/>
              <w:right w:val="nil"/>
            </w:tcBorders>
            <w:noWrap/>
            <w:vAlign w:val="center"/>
            <w:hideMark/>
          </w:tcPr>
          <w:p w14:paraId="46FC2CE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single" w:sz="8" w:space="0" w:color="auto"/>
              <w:left w:val="nil"/>
              <w:bottom w:val="nil"/>
              <w:right w:val="nil"/>
            </w:tcBorders>
            <w:noWrap/>
            <w:vAlign w:val="center"/>
            <w:hideMark/>
          </w:tcPr>
          <w:p w14:paraId="53549F6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0.400</w:t>
            </w:r>
          </w:p>
        </w:tc>
        <w:tc>
          <w:tcPr>
            <w:tcW w:w="1247" w:type="dxa"/>
            <w:tcBorders>
              <w:top w:val="single" w:sz="8" w:space="0" w:color="auto"/>
              <w:left w:val="nil"/>
              <w:bottom w:val="nil"/>
              <w:right w:val="nil"/>
            </w:tcBorders>
            <w:noWrap/>
            <w:vAlign w:val="center"/>
            <w:hideMark/>
          </w:tcPr>
          <w:p w14:paraId="7073C5F9"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sz w:val="18"/>
                <w:szCs w:val="18"/>
              </w:rPr>
              <w:t>.53</w:t>
            </w:r>
            <w:r w:rsidR="00ED68F4" w:rsidRPr="007605E5">
              <w:rPr>
                <w:rFonts w:eastAsia="Times New Roman"/>
                <w:iCs/>
                <w:color w:val="000000"/>
                <w:sz w:val="18"/>
                <w:szCs w:val="18"/>
              </w:rPr>
              <w:t>4</w:t>
            </w:r>
          </w:p>
        </w:tc>
        <w:tc>
          <w:tcPr>
            <w:tcW w:w="1186" w:type="dxa"/>
            <w:tcBorders>
              <w:top w:val="single" w:sz="8" w:space="0" w:color="auto"/>
              <w:left w:val="nil"/>
              <w:bottom w:val="nil"/>
              <w:right w:val="nil"/>
            </w:tcBorders>
            <w:noWrap/>
            <w:vAlign w:val="center"/>
            <w:hideMark/>
          </w:tcPr>
          <w:p w14:paraId="247ECAF5" w14:textId="77777777"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r w:rsidR="00E82EA7" w:rsidRPr="008B5651" w14:paraId="1BAAC957"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4ECD2AB2"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2FEBBE7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coherence</w:t>
            </w:r>
          </w:p>
        </w:tc>
        <w:tc>
          <w:tcPr>
            <w:tcW w:w="283" w:type="dxa"/>
            <w:tcBorders>
              <w:top w:val="nil"/>
              <w:left w:val="nil"/>
              <w:bottom w:val="nil"/>
              <w:right w:val="nil"/>
            </w:tcBorders>
            <w:noWrap/>
            <w:vAlign w:val="bottom"/>
            <w:hideMark/>
          </w:tcPr>
          <w:p w14:paraId="01F69FDE"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D5FC9C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1.55</w:t>
            </w:r>
          </w:p>
        </w:tc>
        <w:tc>
          <w:tcPr>
            <w:tcW w:w="1077" w:type="dxa"/>
            <w:tcBorders>
              <w:top w:val="nil"/>
              <w:left w:val="nil"/>
              <w:bottom w:val="nil"/>
              <w:right w:val="nil"/>
            </w:tcBorders>
            <w:noWrap/>
            <w:vAlign w:val="center"/>
            <w:hideMark/>
          </w:tcPr>
          <w:p w14:paraId="0ECDF2F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32.45</w:t>
            </w:r>
          </w:p>
        </w:tc>
        <w:tc>
          <w:tcPr>
            <w:tcW w:w="1007" w:type="dxa"/>
            <w:tcBorders>
              <w:top w:val="nil"/>
              <w:left w:val="nil"/>
              <w:bottom w:val="nil"/>
              <w:right w:val="nil"/>
            </w:tcBorders>
            <w:noWrap/>
            <w:vAlign w:val="center"/>
            <w:hideMark/>
          </w:tcPr>
          <w:p w14:paraId="0DEE428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0.309</w:t>
            </w:r>
          </w:p>
        </w:tc>
        <w:tc>
          <w:tcPr>
            <w:tcW w:w="1247" w:type="dxa"/>
            <w:tcBorders>
              <w:top w:val="nil"/>
              <w:left w:val="nil"/>
              <w:bottom w:val="nil"/>
              <w:right w:val="nil"/>
            </w:tcBorders>
            <w:noWrap/>
            <w:vAlign w:val="center"/>
            <w:hideMark/>
          </w:tcPr>
          <w:p w14:paraId="0879E366"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sz w:val="18"/>
                <w:szCs w:val="18"/>
              </w:rPr>
              <w:t>.68</w:t>
            </w:r>
            <w:r w:rsidR="00ED68F4" w:rsidRPr="007605E5">
              <w:rPr>
                <w:rFonts w:eastAsia="Times New Roman"/>
                <w:iCs/>
                <w:color w:val="000000"/>
                <w:sz w:val="18"/>
                <w:szCs w:val="18"/>
              </w:rPr>
              <w:t>0</w:t>
            </w:r>
          </w:p>
        </w:tc>
        <w:tc>
          <w:tcPr>
            <w:tcW w:w="1186" w:type="dxa"/>
            <w:tcBorders>
              <w:top w:val="nil"/>
              <w:left w:val="nil"/>
              <w:bottom w:val="nil"/>
              <w:right w:val="nil"/>
            </w:tcBorders>
            <w:noWrap/>
            <w:vAlign w:val="bottom"/>
            <w:hideMark/>
          </w:tcPr>
          <w:p w14:paraId="47156AB0"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72D0FB2B"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01FADB90"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0FC5C55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time</w:t>
            </w:r>
          </w:p>
        </w:tc>
        <w:tc>
          <w:tcPr>
            <w:tcW w:w="283" w:type="dxa"/>
            <w:tcBorders>
              <w:top w:val="nil"/>
              <w:left w:val="nil"/>
              <w:bottom w:val="nil"/>
              <w:right w:val="nil"/>
            </w:tcBorders>
            <w:noWrap/>
            <w:vAlign w:val="bottom"/>
            <w:hideMark/>
          </w:tcPr>
          <w:p w14:paraId="31301331"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1C5D09F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3853B69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nil"/>
              <w:left w:val="nil"/>
              <w:bottom w:val="nil"/>
              <w:right w:val="nil"/>
            </w:tcBorders>
            <w:noWrap/>
            <w:vAlign w:val="center"/>
            <w:hideMark/>
          </w:tcPr>
          <w:p w14:paraId="7E90E71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54.331</w:t>
            </w:r>
          </w:p>
        </w:tc>
        <w:tc>
          <w:tcPr>
            <w:tcW w:w="1247" w:type="dxa"/>
            <w:tcBorders>
              <w:top w:val="nil"/>
              <w:left w:val="nil"/>
              <w:bottom w:val="nil"/>
              <w:right w:val="nil"/>
            </w:tcBorders>
            <w:noWrap/>
            <w:vAlign w:val="center"/>
            <w:hideMark/>
          </w:tcPr>
          <w:p w14:paraId="17FD6F10" w14:textId="77777777" w:rsidR="00E82EA7" w:rsidRPr="007605E5" w:rsidRDefault="00AF0398" w:rsidP="003238E2">
            <w:pPr>
              <w:spacing w:after="0" w:line="240" w:lineRule="auto"/>
              <w:jc w:val="center"/>
              <w:rPr>
                <w:rFonts w:eastAsia="Times New Roman"/>
                <w:iCs/>
                <w:color w:val="000000"/>
                <w:sz w:val="18"/>
                <w:szCs w:val="18"/>
              </w:rPr>
            </w:pPr>
            <w:r w:rsidRPr="00340F83">
              <w:rPr>
                <w:rFonts w:eastAsia="Times New Roman"/>
                <w:i/>
                <w:color w:val="000000"/>
                <w:sz w:val="18"/>
                <w:szCs w:val="18"/>
              </w:rPr>
              <w:t>p</w:t>
            </w:r>
            <w:r>
              <w:rPr>
                <w:rFonts w:eastAsia="Times New Roman"/>
                <w:sz w:val="18"/>
                <w:szCs w:val="18"/>
              </w:rPr>
              <w:t xml:space="preserve"> </w:t>
            </w:r>
            <w:r w:rsidR="00E82EA7" w:rsidRPr="007605E5">
              <w:rPr>
                <w:rFonts w:eastAsia="Times New Roman"/>
                <w:iCs/>
                <w:sz w:val="18"/>
                <w:szCs w:val="18"/>
              </w:rPr>
              <w:t>&lt; .001</w:t>
            </w:r>
          </w:p>
        </w:tc>
        <w:tc>
          <w:tcPr>
            <w:tcW w:w="1186" w:type="dxa"/>
            <w:tcBorders>
              <w:top w:val="nil"/>
              <w:left w:val="nil"/>
              <w:bottom w:val="nil"/>
              <w:right w:val="nil"/>
            </w:tcBorders>
            <w:noWrap/>
            <w:vAlign w:val="center"/>
            <w:hideMark/>
          </w:tcPr>
          <w:p w14:paraId="709A844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w:t>
            </w:r>
            <w:r w:rsidR="002F502D" w:rsidRPr="008C2F99">
              <w:rPr>
                <w:rFonts w:eastAsia="Times New Roman"/>
                <w:sz w:val="18"/>
                <w:szCs w:val="18"/>
              </w:rPr>
              <w:t>721</w:t>
            </w:r>
          </w:p>
        </w:tc>
      </w:tr>
      <w:tr w:rsidR="00E82EA7" w:rsidRPr="008B5651" w14:paraId="1DF2E214"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564091FD"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062D6A0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coherence</w:t>
            </w:r>
          </w:p>
        </w:tc>
        <w:tc>
          <w:tcPr>
            <w:tcW w:w="283" w:type="dxa"/>
            <w:tcBorders>
              <w:top w:val="nil"/>
              <w:left w:val="nil"/>
              <w:bottom w:val="nil"/>
              <w:right w:val="nil"/>
            </w:tcBorders>
            <w:noWrap/>
            <w:vAlign w:val="bottom"/>
            <w:hideMark/>
          </w:tcPr>
          <w:p w14:paraId="17489310"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563E997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1.97</w:t>
            </w:r>
          </w:p>
        </w:tc>
        <w:tc>
          <w:tcPr>
            <w:tcW w:w="1077" w:type="dxa"/>
            <w:tcBorders>
              <w:top w:val="nil"/>
              <w:left w:val="nil"/>
              <w:bottom w:val="nil"/>
              <w:right w:val="nil"/>
            </w:tcBorders>
            <w:noWrap/>
            <w:vAlign w:val="center"/>
            <w:hideMark/>
          </w:tcPr>
          <w:p w14:paraId="3A923D1A"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41.30</w:t>
            </w:r>
          </w:p>
        </w:tc>
        <w:tc>
          <w:tcPr>
            <w:tcW w:w="1007" w:type="dxa"/>
            <w:tcBorders>
              <w:top w:val="nil"/>
              <w:left w:val="nil"/>
              <w:bottom w:val="nil"/>
              <w:right w:val="nil"/>
            </w:tcBorders>
            <w:noWrap/>
            <w:vAlign w:val="center"/>
            <w:hideMark/>
          </w:tcPr>
          <w:p w14:paraId="173EE43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0.666</w:t>
            </w:r>
          </w:p>
        </w:tc>
        <w:tc>
          <w:tcPr>
            <w:tcW w:w="1247" w:type="dxa"/>
            <w:tcBorders>
              <w:top w:val="nil"/>
              <w:left w:val="nil"/>
              <w:bottom w:val="nil"/>
              <w:right w:val="nil"/>
            </w:tcBorders>
            <w:noWrap/>
            <w:vAlign w:val="center"/>
            <w:hideMark/>
          </w:tcPr>
          <w:p w14:paraId="62C6D12C"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.517</w:t>
            </w:r>
          </w:p>
        </w:tc>
        <w:tc>
          <w:tcPr>
            <w:tcW w:w="1186" w:type="dxa"/>
            <w:tcBorders>
              <w:top w:val="nil"/>
              <w:left w:val="nil"/>
              <w:bottom w:val="nil"/>
              <w:right w:val="nil"/>
            </w:tcBorders>
            <w:noWrap/>
            <w:vAlign w:val="bottom"/>
            <w:hideMark/>
          </w:tcPr>
          <w:p w14:paraId="00537D19"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6CE9A018"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09D7E360"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3A3A8E0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time</w:t>
            </w:r>
          </w:p>
        </w:tc>
        <w:tc>
          <w:tcPr>
            <w:tcW w:w="283" w:type="dxa"/>
            <w:tcBorders>
              <w:top w:val="nil"/>
              <w:left w:val="nil"/>
              <w:bottom w:val="nil"/>
              <w:right w:val="nil"/>
            </w:tcBorders>
            <w:noWrap/>
            <w:vAlign w:val="bottom"/>
            <w:hideMark/>
          </w:tcPr>
          <w:p w14:paraId="73676633"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0C8B38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0E9D203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nil"/>
              <w:left w:val="nil"/>
              <w:bottom w:val="nil"/>
              <w:right w:val="nil"/>
            </w:tcBorders>
            <w:noWrap/>
            <w:vAlign w:val="center"/>
            <w:hideMark/>
          </w:tcPr>
          <w:p w14:paraId="3CE87D7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4.129</w:t>
            </w:r>
          </w:p>
        </w:tc>
        <w:tc>
          <w:tcPr>
            <w:tcW w:w="1247" w:type="dxa"/>
            <w:tcBorders>
              <w:top w:val="nil"/>
              <w:left w:val="nil"/>
              <w:bottom w:val="nil"/>
              <w:right w:val="nil"/>
            </w:tcBorders>
            <w:noWrap/>
            <w:vAlign w:val="center"/>
            <w:hideMark/>
          </w:tcPr>
          <w:p w14:paraId="3E23437C"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sz w:val="18"/>
                <w:szCs w:val="18"/>
              </w:rPr>
              <w:t>.055</w:t>
            </w:r>
          </w:p>
        </w:tc>
        <w:tc>
          <w:tcPr>
            <w:tcW w:w="1186" w:type="dxa"/>
            <w:tcBorders>
              <w:top w:val="nil"/>
              <w:left w:val="nil"/>
              <w:bottom w:val="nil"/>
              <w:right w:val="nil"/>
            </w:tcBorders>
            <w:noWrap/>
            <w:vAlign w:val="center"/>
            <w:hideMark/>
          </w:tcPr>
          <w:p w14:paraId="69E0B76C"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1306364F"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59AFAE34"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43BAF9E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coherence × time</w:t>
            </w:r>
          </w:p>
        </w:tc>
        <w:tc>
          <w:tcPr>
            <w:tcW w:w="283" w:type="dxa"/>
            <w:tcBorders>
              <w:top w:val="nil"/>
              <w:left w:val="nil"/>
              <w:bottom w:val="nil"/>
              <w:right w:val="nil"/>
            </w:tcBorders>
            <w:noWrap/>
            <w:vAlign w:val="bottom"/>
            <w:hideMark/>
          </w:tcPr>
          <w:p w14:paraId="7711D3CE"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01F76B3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1.60</w:t>
            </w:r>
          </w:p>
        </w:tc>
        <w:tc>
          <w:tcPr>
            <w:tcW w:w="1077" w:type="dxa"/>
            <w:tcBorders>
              <w:top w:val="nil"/>
              <w:left w:val="nil"/>
              <w:bottom w:val="nil"/>
              <w:right w:val="nil"/>
            </w:tcBorders>
            <w:noWrap/>
            <w:vAlign w:val="center"/>
            <w:hideMark/>
          </w:tcPr>
          <w:p w14:paraId="0BD8EDA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33.70</w:t>
            </w:r>
          </w:p>
        </w:tc>
        <w:tc>
          <w:tcPr>
            <w:tcW w:w="1007" w:type="dxa"/>
            <w:tcBorders>
              <w:top w:val="nil"/>
              <w:left w:val="nil"/>
              <w:bottom w:val="nil"/>
              <w:right w:val="nil"/>
            </w:tcBorders>
            <w:noWrap/>
            <w:vAlign w:val="center"/>
            <w:hideMark/>
          </w:tcPr>
          <w:p w14:paraId="1C22F7B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0.246</w:t>
            </w:r>
          </w:p>
        </w:tc>
        <w:tc>
          <w:tcPr>
            <w:tcW w:w="1247" w:type="dxa"/>
            <w:tcBorders>
              <w:top w:val="nil"/>
              <w:left w:val="nil"/>
              <w:bottom w:val="nil"/>
              <w:right w:val="nil"/>
            </w:tcBorders>
            <w:noWrap/>
            <w:vAlign w:val="center"/>
            <w:hideMark/>
          </w:tcPr>
          <w:p w14:paraId="04870218"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.734</w:t>
            </w:r>
          </w:p>
        </w:tc>
        <w:tc>
          <w:tcPr>
            <w:tcW w:w="1186" w:type="dxa"/>
            <w:tcBorders>
              <w:top w:val="nil"/>
              <w:left w:val="nil"/>
              <w:bottom w:val="nil"/>
              <w:right w:val="nil"/>
            </w:tcBorders>
            <w:noWrap/>
            <w:vAlign w:val="bottom"/>
            <w:hideMark/>
          </w:tcPr>
          <w:p w14:paraId="4A680149"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A7F3880"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705E3C54"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single" w:sz="12" w:space="0" w:color="auto"/>
              <w:right w:val="nil"/>
            </w:tcBorders>
            <w:vAlign w:val="center"/>
            <w:hideMark/>
          </w:tcPr>
          <w:p w14:paraId="6A3D553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coherence × time</w:t>
            </w:r>
          </w:p>
        </w:tc>
        <w:tc>
          <w:tcPr>
            <w:tcW w:w="283" w:type="dxa"/>
            <w:tcBorders>
              <w:top w:val="nil"/>
              <w:left w:val="nil"/>
              <w:bottom w:val="single" w:sz="12" w:space="0" w:color="auto"/>
              <w:right w:val="nil"/>
            </w:tcBorders>
            <w:noWrap/>
            <w:vAlign w:val="center"/>
            <w:hideMark/>
          </w:tcPr>
          <w:p w14:paraId="4DFB95DE" w14:textId="77777777"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nil"/>
              <w:left w:val="nil"/>
              <w:bottom w:val="single" w:sz="12" w:space="0" w:color="auto"/>
              <w:right w:val="nil"/>
            </w:tcBorders>
            <w:noWrap/>
            <w:vAlign w:val="center"/>
            <w:hideMark/>
          </w:tcPr>
          <w:p w14:paraId="47B152E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1.62</w:t>
            </w:r>
          </w:p>
        </w:tc>
        <w:tc>
          <w:tcPr>
            <w:tcW w:w="1077" w:type="dxa"/>
            <w:tcBorders>
              <w:top w:val="nil"/>
              <w:left w:val="nil"/>
              <w:bottom w:val="single" w:sz="12" w:space="0" w:color="auto"/>
              <w:right w:val="nil"/>
            </w:tcBorders>
            <w:noWrap/>
            <w:vAlign w:val="center"/>
            <w:hideMark/>
          </w:tcPr>
          <w:p w14:paraId="78C5EE9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34.05</w:t>
            </w:r>
          </w:p>
        </w:tc>
        <w:tc>
          <w:tcPr>
            <w:tcW w:w="1007" w:type="dxa"/>
            <w:tcBorders>
              <w:top w:val="nil"/>
              <w:left w:val="nil"/>
              <w:bottom w:val="single" w:sz="12" w:space="0" w:color="auto"/>
              <w:right w:val="nil"/>
            </w:tcBorders>
            <w:noWrap/>
            <w:vAlign w:val="center"/>
            <w:hideMark/>
          </w:tcPr>
          <w:p w14:paraId="5C5ED0B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0.589</w:t>
            </w:r>
          </w:p>
        </w:tc>
        <w:tc>
          <w:tcPr>
            <w:tcW w:w="1247" w:type="dxa"/>
            <w:tcBorders>
              <w:top w:val="nil"/>
              <w:left w:val="nil"/>
              <w:bottom w:val="single" w:sz="12" w:space="0" w:color="auto"/>
              <w:right w:val="nil"/>
            </w:tcBorders>
            <w:noWrap/>
            <w:vAlign w:val="center"/>
            <w:hideMark/>
          </w:tcPr>
          <w:p w14:paraId="3C79458F"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.526</w:t>
            </w:r>
          </w:p>
        </w:tc>
        <w:tc>
          <w:tcPr>
            <w:tcW w:w="1186" w:type="dxa"/>
            <w:tcBorders>
              <w:top w:val="nil"/>
              <w:left w:val="nil"/>
              <w:bottom w:val="single" w:sz="12" w:space="0" w:color="000000" w:themeColor="text1"/>
              <w:right w:val="nil"/>
            </w:tcBorders>
            <w:noWrap/>
            <w:vAlign w:val="center"/>
            <w:hideMark/>
          </w:tcPr>
          <w:p w14:paraId="136E5352" w14:textId="77777777"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bl>
    <w:p w14:paraId="4DA73375" w14:textId="77777777" w:rsidR="00E9704A" w:rsidRDefault="00051CD2" w:rsidP="001F4BA9">
      <w:pPr>
        <w:spacing w:before="120" w:after="120" w:line="259" w:lineRule="auto"/>
      </w:pPr>
      <w:r>
        <w:rPr>
          <w:color w:val="1F4E9E"/>
        </w:rPr>
        <w:t>Note. Greenhouse–Geisser correction was applied to every effect with more than one numerator degree of freedom, that is to every effect involving the three-level coherence factor; degrees of freedom (df) with decimals indicate a corrected test. The partial eta squared statistic (ηp2) is computed from the uncorrected degrees of freedom and is therefore unchanged by that correction. Time refers to the time bin factor. The time-bin main effect and its interactions are reported as one-degree-of-freedom linear-trend and quadratic contrasts computed on per-participant scores for the Stimulus and Delay periods (Methods): a contrast crossed only with duration therefore yields F(1,21), whereas a contrast crossed with coherence carries corrected degrees of freedom. The RS and Response periods are unaffected (two time bins each, so the omnibus and trend tests coincide exactly, and no quadratic contrast exists).</w:t>
      </w:r>
    </w:p>
    <w:p w14:paraId="226DE8BF" w14:textId="77777777" w:rsidR="001F4BA9" w:rsidRDefault="001F4BA9" w:rsidP="006A51AB">
      <w:pPr>
        <w:spacing w:after="120" w:line="276" w:lineRule="auto"/>
        <w:rPr>
          <w:b/>
          <w:sz w:val="22"/>
          <w:szCs w:val="22"/>
        </w:rPr>
        <w:sectPr w:rsidR="001F4BA9">
          <w:pgSz w:w="11906" w:h="16838"/>
          <w:pgMar w:top="1417" w:right="1417" w:bottom="1417" w:left="1417" w:header="708" w:footer="708" w:gutter="0"/>
          <w:cols w:space="708"/>
          <w:docGrid w:linePitch="360"/>
        </w:sectPr>
      </w:pPr>
    </w:p>
    <w:p w14:paraId="6D86A7AC" w14:textId="77777777" w:rsidR="006A51AB" w:rsidRPr="006A51AB" w:rsidRDefault="006B3BE7" w:rsidP="006A51AB">
      <w:pPr>
        <w:spacing w:after="120" w:line="276" w:lineRule="auto"/>
        <w:rPr>
          <w:b/>
          <w:sz w:val="22"/>
          <w:szCs w:val="22"/>
        </w:rPr>
      </w:pPr>
      <w:r w:rsidRPr="006A51AB">
        <w:rPr>
          <w:b/>
          <w:sz w:val="22"/>
          <w:szCs w:val="22"/>
        </w:rPr>
        <w:lastRenderedPageBreak/>
        <w:t xml:space="preserve">Table </w:t>
      </w:r>
      <w:r w:rsidR="006A51AB" w:rsidRPr="006A51AB">
        <w:rPr>
          <w:b/>
          <w:sz w:val="22"/>
          <w:szCs w:val="22"/>
        </w:rPr>
        <w:t xml:space="preserve">S3. </w:t>
      </w:r>
      <w:r w:rsidRPr="006A51AB">
        <w:rPr>
          <w:b/>
          <w:sz w:val="22"/>
          <w:szCs w:val="22"/>
        </w:rPr>
        <w:t>Full ANOVA results</w:t>
      </w:r>
      <w:r w:rsidR="005B432A" w:rsidRPr="006A51AB">
        <w:rPr>
          <w:b/>
          <w:sz w:val="22"/>
          <w:szCs w:val="22"/>
        </w:rPr>
        <w:t xml:space="preserve"> for </w:t>
      </w:r>
      <w:r w:rsidR="00F85401" w:rsidRPr="006A51AB">
        <w:rPr>
          <w:b/>
          <w:sz w:val="22"/>
          <w:szCs w:val="22"/>
        </w:rPr>
        <w:t xml:space="preserve">mu–beta-band spectral amplitude lateralization </w:t>
      </w:r>
      <w:r w:rsidRPr="006A51AB">
        <w:rPr>
          <w:b/>
          <w:sz w:val="22"/>
          <w:szCs w:val="22"/>
        </w:rPr>
        <w:t xml:space="preserve">across </w:t>
      </w:r>
      <w:r w:rsidR="00EE23CE" w:rsidRPr="006A51AB">
        <w:rPr>
          <w:b/>
          <w:sz w:val="22"/>
          <w:szCs w:val="22"/>
        </w:rPr>
        <w:t>task periods</w:t>
      </w:r>
      <w:r w:rsidR="006A51AB" w:rsidRPr="006A51AB">
        <w:rPr>
          <w:b/>
          <w:sz w:val="22"/>
          <w:szCs w:val="22"/>
        </w:rPr>
        <w:t>.</w:t>
      </w:r>
    </w:p>
    <w:tbl>
      <w:tblPr>
        <w:tblW w:w="9027" w:type="dxa"/>
        <w:tblLook w:val="04A0" w:firstRow="1" w:lastRow="0" w:firstColumn="1" w:lastColumn="0" w:noHBand="0" w:noVBand="1"/>
      </w:tblPr>
      <w:tblGrid>
        <w:gridCol w:w="1289"/>
        <w:gridCol w:w="2280"/>
        <w:gridCol w:w="402"/>
        <w:gridCol w:w="713"/>
        <w:gridCol w:w="1076"/>
        <w:gridCol w:w="961"/>
        <w:gridCol w:w="1182"/>
        <w:gridCol w:w="1124"/>
      </w:tblGrid>
      <w:tr w:rsidR="000228AF" w:rsidRPr="008B5651" w14:paraId="55EB6CCE" w14:textId="77777777" w:rsidTr="00947CFC">
        <w:trPr>
          <w:trHeight w:val="113"/>
        </w:trPr>
        <w:tc>
          <w:tcPr>
            <w:tcW w:w="1289" w:type="dxa"/>
            <w:tcBorders>
              <w:top w:val="single" w:sz="4" w:space="0" w:color="auto"/>
              <w:left w:val="nil"/>
              <w:bottom w:val="single" w:sz="12" w:space="0" w:color="auto"/>
              <w:right w:val="nil"/>
            </w:tcBorders>
            <w:vAlign w:val="center"/>
            <w:hideMark/>
          </w:tcPr>
          <w:p w14:paraId="61DB6BD7" w14:textId="77777777"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sz w:val="22"/>
                <w:szCs w:val="22"/>
              </w:rPr>
              <w:t>Period</w:t>
            </w:r>
          </w:p>
        </w:tc>
        <w:tc>
          <w:tcPr>
            <w:tcW w:w="2280" w:type="dxa"/>
            <w:tcBorders>
              <w:top w:val="single" w:sz="4" w:space="0" w:color="auto"/>
              <w:left w:val="nil"/>
              <w:bottom w:val="single" w:sz="12" w:space="0" w:color="auto"/>
              <w:right w:val="nil"/>
            </w:tcBorders>
            <w:vAlign w:val="center"/>
            <w:hideMark/>
          </w:tcPr>
          <w:p w14:paraId="39C508C6" w14:textId="77777777" w:rsidR="000228AF" w:rsidRPr="00F075B9" w:rsidRDefault="000228AF" w:rsidP="0097462E">
            <w:pPr>
              <w:spacing w:after="0" w:line="240" w:lineRule="auto"/>
              <w:jc w:val="center"/>
              <w:rPr>
                <w:rFonts w:eastAsia="Times New Roman"/>
                <w:bCs/>
                <w:color w:val="000000"/>
                <w:sz w:val="22"/>
                <w:szCs w:val="22"/>
              </w:rPr>
            </w:pPr>
            <w:r w:rsidRPr="00F075B9">
              <w:rPr>
                <w:rFonts w:eastAsia="Times New Roman"/>
                <w:bCs/>
                <w:sz w:val="22"/>
                <w:szCs w:val="22"/>
              </w:rPr>
              <w:t>Effect tested</w:t>
            </w:r>
          </w:p>
        </w:tc>
        <w:tc>
          <w:tcPr>
            <w:tcW w:w="402" w:type="dxa"/>
            <w:tcBorders>
              <w:top w:val="single" w:sz="4" w:space="0" w:color="auto"/>
              <w:left w:val="nil"/>
              <w:bottom w:val="single" w:sz="12" w:space="0" w:color="auto"/>
              <w:right w:val="nil"/>
            </w:tcBorders>
            <w:noWrap/>
            <w:vAlign w:val="center"/>
            <w:hideMark/>
          </w:tcPr>
          <w:p w14:paraId="56EE5C76" w14:textId="77777777" w:rsidR="000228AF" w:rsidRPr="00F075B9" w:rsidRDefault="000228AF" w:rsidP="000228AF">
            <w:pPr>
              <w:spacing w:after="0" w:line="240" w:lineRule="auto"/>
              <w:jc w:val="center"/>
              <w:rPr>
                <w:rFonts w:eastAsia="Times New Roman"/>
                <w:color w:val="000000"/>
                <w:sz w:val="22"/>
                <w:szCs w:val="22"/>
              </w:rPr>
            </w:pPr>
          </w:p>
        </w:tc>
        <w:tc>
          <w:tcPr>
            <w:tcW w:w="713" w:type="dxa"/>
            <w:tcBorders>
              <w:top w:val="single" w:sz="4" w:space="0" w:color="auto"/>
              <w:left w:val="nil"/>
              <w:bottom w:val="single" w:sz="12" w:space="0" w:color="auto"/>
              <w:right w:val="nil"/>
            </w:tcBorders>
            <w:noWrap/>
            <w:vAlign w:val="bottom"/>
            <w:hideMark/>
          </w:tcPr>
          <w:p w14:paraId="115DEE1E" w14:textId="77777777"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sz w:val="22"/>
                <w:szCs w:val="22"/>
              </w:rPr>
              <w:t>df1</w:t>
            </w:r>
          </w:p>
        </w:tc>
        <w:tc>
          <w:tcPr>
            <w:tcW w:w="1076" w:type="dxa"/>
            <w:tcBorders>
              <w:top w:val="single" w:sz="4" w:space="0" w:color="auto"/>
              <w:left w:val="nil"/>
              <w:bottom w:val="single" w:sz="12" w:space="0" w:color="auto"/>
              <w:right w:val="nil"/>
            </w:tcBorders>
            <w:noWrap/>
            <w:vAlign w:val="bottom"/>
            <w:hideMark/>
          </w:tcPr>
          <w:p w14:paraId="5B84A0CE" w14:textId="77777777"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sz w:val="22"/>
                <w:szCs w:val="22"/>
              </w:rPr>
              <w:t>df2</w:t>
            </w:r>
          </w:p>
        </w:tc>
        <w:tc>
          <w:tcPr>
            <w:tcW w:w="961" w:type="dxa"/>
            <w:tcBorders>
              <w:top w:val="single" w:sz="4" w:space="0" w:color="auto"/>
              <w:left w:val="nil"/>
              <w:bottom w:val="single" w:sz="12" w:space="0" w:color="auto"/>
              <w:right w:val="nil"/>
            </w:tcBorders>
            <w:noWrap/>
            <w:vAlign w:val="bottom"/>
            <w:hideMark/>
          </w:tcPr>
          <w:p w14:paraId="0A19E99D" w14:textId="77777777" w:rsidR="000228AF" w:rsidRPr="00F075B9" w:rsidRDefault="000228AF" w:rsidP="000228AF">
            <w:pPr>
              <w:spacing w:after="0" w:line="240" w:lineRule="auto"/>
              <w:jc w:val="center"/>
              <w:rPr>
                <w:rFonts w:eastAsia="Times New Roman"/>
                <w:bCs/>
                <w:i/>
                <w:color w:val="000000"/>
                <w:sz w:val="22"/>
                <w:szCs w:val="22"/>
              </w:rPr>
            </w:pPr>
            <w:r w:rsidRPr="00F075B9">
              <w:rPr>
                <w:rFonts w:eastAsia="Times New Roman"/>
                <w:bCs/>
                <w:i/>
                <w:color w:val="000000"/>
                <w:sz w:val="22"/>
                <w:szCs w:val="22"/>
              </w:rPr>
              <w:t>F</w:t>
            </w:r>
          </w:p>
        </w:tc>
        <w:tc>
          <w:tcPr>
            <w:tcW w:w="1182" w:type="dxa"/>
            <w:tcBorders>
              <w:top w:val="single" w:sz="4" w:space="0" w:color="auto"/>
              <w:left w:val="nil"/>
              <w:bottom w:val="single" w:sz="12" w:space="0" w:color="auto"/>
              <w:right w:val="nil"/>
            </w:tcBorders>
            <w:noWrap/>
            <w:vAlign w:val="bottom"/>
            <w:hideMark/>
          </w:tcPr>
          <w:p w14:paraId="1F23D94B" w14:textId="77777777"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i/>
                <w:color w:val="000000"/>
                <w:sz w:val="22"/>
                <w:szCs w:val="22"/>
              </w:rPr>
              <w:t>p</w:t>
            </w:r>
            <w:r w:rsidRPr="00F075B9">
              <w:rPr>
                <w:rFonts w:eastAsia="Times New Roman"/>
                <w:bCs/>
                <w:sz w:val="22"/>
                <w:szCs w:val="22"/>
              </w:rPr>
              <w:t>-value</w:t>
            </w:r>
          </w:p>
        </w:tc>
        <w:tc>
          <w:tcPr>
            <w:tcW w:w="1124" w:type="dxa"/>
            <w:tcBorders>
              <w:top w:val="single" w:sz="4" w:space="0" w:color="auto"/>
              <w:left w:val="nil"/>
              <w:bottom w:val="single" w:sz="12" w:space="0" w:color="auto"/>
              <w:right w:val="nil"/>
            </w:tcBorders>
            <w:vAlign w:val="bottom"/>
            <w:hideMark/>
          </w:tcPr>
          <w:p w14:paraId="3D53E0FF" w14:textId="77777777" w:rsidR="000228AF" w:rsidRPr="00F075B9" w:rsidRDefault="000228AF" w:rsidP="000228AF">
            <w:pPr>
              <w:spacing w:after="0" w:line="240" w:lineRule="auto"/>
              <w:jc w:val="center"/>
              <w:rPr>
                <w:rFonts w:eastAsia="Times New Roman"/>
                <w:bCs/>
                <w:i/>
                <w:color w:val="000000"/>
                <w:sz w:val="22"/>
                <w:szCs w:val="22"/>
              </w:rPr>
            </w:pPr>
            <w:r w:rsidRPr="00F075B9">
              <w:rPr>
                <w:i/>
                <w:sz w:val="22"/>
                <w:szCs w:val="22"/>
              </w:rPr>
              <w:t>η</w:t>
            </w:r>
            <w:r w:rsidRPr="00F075B9">
              <w:rPr>
                <w:rStyle w:val="mord"/>
                <w:i/>
                <w:sz w:val="22"/>
                <w:szCs w:val="22"/>
                <w:vertAlign w:val="subscript"/>
              </w:rPr>
              <w:t>p</w:t>
            </w:r>
            <w:r w:rsidRPr="00F075B9">
              <w:rPr>
                <w:rStyle w:val="mord"/>
                <w:i/>
                <w:sz w:val="22"/>
                <w:szCs w:val="22"/>
                <w:vertAlign w:val="superscript"/>
              </w:rPr>
              <w:t>2</w:t>
            </w:r>
          </w:p>
        </w:tc>
      </w:tr>
      <w:tr w:rsidR="006B3BE7" w:rsidRPr="008B5651" w14:paraId="6DD4DD3A" w14:textId="77777777" w:rsidTr="00947CFC">
        <w:trPr>
          <w:trHeight w:val="113"/>
        </w:trPr>
        <w:tc>
          <w:tcPr>
            <w:tcW w:w="1289" w:type="dxa"/>
            <w:vMerge w:val="restart"/>
            <w:tcBorders>
              <w:top w:val="nil"/>
              <w:left w:val="nil"/>
              <w:bottom w:val="nil"/>
              <w:right w:val="nil"/>
            </w:tcBorders>
            <w:noWrap/>
            <w:vAlign w:val="center"/>
            <w:hideMark/>
          </w:tcPr>
          <w:p w14:paraId="43B9F054" w14:textId="77777777" w:rsidR="006B3BE7" w:rsidRPr="00F075B9" w:rsidRDefault="006B3BE7" w:rsidP="00947CFC">
            <w:pPr>
              <w:spacing w:after="0" w:line="240" w:lineRule="auto"/>
              <w:jc w:val="center"/>
              <w:rPr>
                <w:rFonts w:eastAsia="Times New Roman"/>
                <w:bCs/>
                <w:color w:val="000000"/>
                <w:sz w:val="22"/>
                <w:szCs w:val="18"/>
              </w:rPr>
            </w:pPr>
            <w:r>
              <w:t>Stimulus</w:t>
            </w:r>
          </w:p>
        </w:tc>
        <w:tc>
          <w:tcPr>
            <w:tcW w:w="2280" w:type="dxa"/>
            <w:tcBorders>
              <w:top w:val="nil"/>
              <w:left w:val="nil"/>
              <w:bottom w:val="nil"/>
              <w:right w:val="nil"/>
            </w:tcBorders>
            <w:vAlign w:val="center"/>
            <w:hideMark/>
          </w:tcPr>
          <w:p w14:paraId="4F45AA0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w:t>
            </w:r>
          </w:p>
        </w:tc>
        <w:tc>
          <w:tcPr>
            <w:tcW w:w="402" w:type="dxa"/>
            <w:tcBorders>
              <w:top w:val="nil"/>
              <w:left w:val="nil"/>
              <w:bottom w:val="nil"/>
              <w:right w:val="nil"/>
            </w:tcBorders>
            <w:noWrap/>
            <w:vAlign w:val="bottom"/>
            <w:hideMark/>
          </w:tcPr>
          <w:p w14:paraId="3E98640C"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742FF3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6045DF88"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nil"/>
              <w:left w:val="nil"/>
              <w:bottom w:val="nil"/>
              <w:right w:val="nil"/>
            </w:tcBorders>
            <w:noWrap/>
            <w:vAlign w:val="center"/>
            <w:hideMark/>
          </w:tcPr>
          <w:p w14:paraId="739D5CA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2.146</w:t>
            </w:r>
          </w:p>
        </w:tc>
        <w:tc>
          <w:tcPr>
            <w:tcW w:w="1182" w:type="dxa"/>
            <w:tcBorders>
              <w:top w:val="nil"/>
              <w:left w:val="nil"/>
              <w:bottom w:val="nil"/>
              <w:right w:val="nil"/>
            </w:tcBorders>
            <w:noWrap/>
            <w:vAlign w:val="center"/>
            <w:hideMark/>
          </w:tcPr>
          <w:p w14:paraId="76F8D40D"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6B3BE7" w:rsidRPr="00F075B9">
              <w:rPr>
                <w:rFonts w:eastAsia="Times New Roman"/>
                <w:sz w:val="18"/>
                <w:szCs w:val="18"/>
              </w:rPr>
              <w:t>.158</w:t>
            </w:r>
          </w:p>
        </w:tc>
        <w:tc>
          <w:tcPr>
            <w:tcW w:w="1124" w:type="dxa"/>
            <w:tcBorders>
              <w:top w:val="nil"/>
              <w:left w:val="nil"/>
              <w:bottom w:val="nil"/>
              <w:right w:val="nil"/>
            </w:tcBorders>
            <w:noWrap/>
            <w:vAlign w:val="center"/>
            <w:hideMark/>
          </w:tcPr>
          <w:p w14:paraId="42EBDEF3"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7E8BB735" w14:textId="77777777" w:rsidTr="00947CFC">
        <w:trPr>
          <w:trHeight w:val="113"/>
        </w:trPr>
        <w:tc>
          <w:tcPr>
            <w:tcW w:w="1289" w:type="dxa"/>
            <w:vMerge/>
            <w:tcBorders>
              <w:top w:val="nil"/>
              <w:left w:val="nil"/>
              <w:bottom w:val="nil"/>
              <w:right w:val="nil"/>
            </w:tcBorders>
            <w:vAlign w:val="center"/>
            <w:hideMark/>
          </w:tcPr>
          <w:p w14:paraId="1A37E8D1"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DEB5F3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coherence</w:t>
            </w:r>
          </w:p>
        </w:tc>
        <w:tc>
          <w:tcPr>
            <w:tcW w:w="402" w:type="dxa"/>
            <w:tcBorders>
              <w:top w:val="nil"/>
              <w:left w:val="nil"/>
              <w:bottom w:val="nil"/>
              <w:right w:val="nil"/>
            </w:tcBorders>
            <w:noWrap/>
            <w:vAlign w:val="bottom"/>
            <w:hideMark/>
          </w:tcPr>
          <w:p w14:paraId="79B15B4F"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2408CFB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1.31</w:t>
            </w:r>
          </w:p>
        </w:tc>
        <w:tc>
          <w:tcPr>
            <w:tcW w:w="1076" w:type="dxa"/>
            <w:tcBorders>
              <w:top w:val="nil"/>
              <w:left w:val="nil"/>
              <w:bottom w:val="nil"/>
              <w:right w:val="nil"/>
            </w:tcBorders>
            <w:noWrap/>
            <w:vAlign w:val="center"/>
            <w:hideMark/>
          </w:tcPr>
          <w:p w14:paraId="0115C6F3"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27.56</w:t>
            </w:r>
          </w:p>
        </w:tc>
        <w:tc>
          <w:tcPr>
            <w:tcW w:w="961" w:type="dxa"/>
            <w:tcBorders>
              <w:top w:val="nil"/>
              <w:left w:val="nil"/>
              <w:bottom w:val="nil"/>
              <w:right w:val="nil"/>
            </w:tcBorders>
            <w:noWrap/>
            <w:vAlign w:val="center"/>
            <w:hideMark/>
          </w:tcPr>
          <w:p w14:paraId="3B7E0A7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2.813</w:t>
            </w:r>
          </w:p>
        </w:tc>
        <w:tc>
          <w:tcPr>
            <w:tcW w:w="1182" w:type="dxa"/>
            <w:tcBorders>
              <w:top w:val="nil"/>
              <w:left w:val="nil"/>
              <w:bottom w:val="nil"/>
              <w:right w:val="nil"/>
            </w:tcBorders>
            <w:noWrap/>
            <w:vAlign w:val="center"/>
            <w:hideMark/>
          </w:tcPr>
          <w:p w14:paraId="6D64DEFB"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sz w:val="18"/>
                <w:szCs w:val="18"/>
              </w:rPr>
              <w:t>.096</w:t>
            </w:r>
          </w:p>
        </w:tc>
        <w:tc>
          <w:tcPr>
            <w:tcW w:w="1124" w:type="dxa"/>
            <w:tcBorders>
              <w:top w:val="nil"/>
              <w:left w:val="nil"/>
              <w:bottom w:val="nil"/>
              <w:right w:val="nil"/>
            </w:tcBorders>
            <w:noWrap/>
            <w:vAlign w:val="center"/>
            <w:hideMark/>
          </w:tcPr>
          <w:p w14:paraId="51CB47BB"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273EDE47" w14:textId="77777777" w:rsidTr="00947CFC">
        <w:trPr>
          <w:trHeight w:val="113"/>
        </w:trPr>
        <w:tc>
          <w:tcPr>
            <w:tcW w:w="1289" w:type="dxa"/>
            <w:vMerge/>
            <w:tcBorders>
              <w:top w:val="nil"/>
              <w:left w:val="nil"/>
              <w:bottom w:val="nil"/>
              <w:right w:val="nil"/>
            </w:tcBorders>
            <w:vAlign w:val="center"/>
            <w:hideMark/>
          </w:tcPr>
          <w:p w14:paraId="51006A22"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17F47A30" w14:textId="77777777" w:rsidR="006B3BE7" w:rsidRPr="00F075B9" w:rsidRDefault="006B3BE7" w:rsidP="00947CFC">
            <w:pPr>
              <w:spacing w:after="0" w:line="240" w:lineRule="auto"/>
              <w:jc w:val="center"/>
              <w:rPr>
                <w:rFonts w:eastAsia="Times New Roman"/>
                <w:color w:val="000000"/>
                <w:sz w:val="18"/>
                <w:szCs w:val="18"/>
              </w:rPr>
            </w:pPr>
            <w:r>
              <w:t>time, linear</w:t>
            </w:r>
          </w:p>
        </w:tc>
        <w:tc>
          <w:tcPr>
            <w:tcW w:w="402" w:type="dxa"/>
            <w:tcBorders>
              <w:top w:val="nil"/>
              <w:left w:val="nil"/>
              <w:bottom w:val="nil"/>
              <w:right w:val="nil"/>
            </w:tcBorders>
            <w:noWrap/>
            <w:vAlign w:val="bottom"/>
            <w:hideMark/>
          </w:tcPr>
          <w:p w14:paraId="19004321"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3A1C0B9A" w14:textId="77777777" w:rsidR="00205CBC" w:rsidRDefault="00000000">
            <w:r>
              <w:rPr>
                <w:color w:val="1F4E9E"/>
              </w:rPr>
              <w:t>1</w:t>
            </w:r>
          </w:p>
        </w:tc>
        <w:tc>
          <w:tcPr>
            <w:tcW w:w="1076" w:type="dxa"/>
            <w:tcBorders>
              <w:top w:val="nil"/>
              <w:left w:val="nil"/>
              <w:bottom w:val="nil"/>
              <w:right w:val="nil"/>
            </w:tcBorders>
            <w:noWrap/>
            <w:vAlign w:val="center"/>
            <w:hideMark/>
          </w:tcPr>
          <w:p w14:paraId="60F5D8C7" w14:textId="77777777" w:rsidR="00205CBC" w:rsidRDefault="00000000">
            <w:r>
              <w:rPr>
                <w:color w:val="1F4E9E"/>
              </w:rPr>
              <w:t>21</w:t>
            </w:r>
          </w:p>
        </w:tc>
        <w:tc>
          <w:tcPr>
            <w:tcW w:w="961" w:type="dxa"/>
            <w:tcBorders>
              <w:top w:val="nil"/>
              <w:left w:val="nil"/>
              <w:bottom w:val="nil"/>
              <w:right w:val="nil"/>
            </w:tcBorders>
            <w:noWrap/>
            <w:vAlign w:val="center"/>
            <w:hideMark/>
          </w:tcPr>
          <w:p w14:paraId="528A2F38" w14:textId="77777777" w:rsidR="00205CBC" w:rsidRDefault="00000000">
            <w:r>
              <w:rPr>
                <w:color w:val="1F4E9E"/>
              </w:rPr>
              <w:t>11.740</w:t>
            </w:r>
          </w:p>
        </w:tc>
        <w:tc>
          <w:tcPr>
            <w:tcW w:w="1182" w:type="dxa"/>
            <w:tcBorders>
              <w:top w:val="nil"/>
              <w:left w:val="nil"/>
              <w:bottom w:val="nil"/>
              <w:right w:val="nil"/>
            </w:tcBorders>
            <w:noWrap/>
            <w:vAlign w:val="center"/>
            <w:hideMark/>
          </w:tcPr>
          <w:p w14:paraId="1A426AE3" w14:textId="77777777" w:rsidR="00205CBC" w:rsidRDefault="00000000">
            <w:r>
              <w:rPr>
                <w:color w:val="1F4E9E"/>
              </w:rPr>
              <w:t>p = .003</w:t>
            </w:r>
          </w:p>
        </w:tc>
        <w:tc>
          <w:tcPr>
            <w:tcW w:w="1124" w:type="dxa"/>
            <w:tcBorders>
              <w:top w:val="nil"/>
              <w:left w:val="nil"/>
              <w:bottom w:val="nil"/>
              <w:right w:val="nil"/>
            </w:tcBorders>
            <w:noWrap/>
            <w:vAlign w:val="center"/>
            <w:hideMark/>
          </w:tcPr>
          <w:p w14:paraId="010B3D64" w14:textId="77777777" w:rsidR="00205CBC" w:rsidRDefault="00000000">
            <w:r>
              <w:rPr>
                <w:color w:val="1F4E9E"/>
              </w:rPr>
              <w:t>0.359</w:t>
            </w:r>
          </w:p>
        </w:tc>
      </w:tr>
      <w:tr w:rsidR="006B3BE7" w:rsidRPr="008B5651" w14:paraId="69EA2604" w14:textId="77777777" w:rsidTr="00947CFC">
        <w:trPr>
          <w:trHeight w:val="113"/>
        </w:trPr>
        <w:tc>
          <w:tcPr>
            <w:tcW w:w="1289" w:type="dxa"/>
            <w:vMerge/>
            <w:tcBorders>
              <w:top w:val="nil"/>
              <w:left w:val="nil"/>
              <w:bottom w:val="nil"/>
              <w:right w:val="nil"/>
            </w:tcBorders>
            <w:vAlign w:val="center"/>
            <w:hideMark/>
          </w:tcPr>
          <w:p w14:paraId="31E1FF12"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6031A23"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coherence</w:t>
            </w:r>
          </w:p>
        </w:tc>
        <w:tc>
          <w:tcPr>
            <w:tcW w:w="402" w:type="dxa"/>
            <w:tcBorders>
              <w:top w:val="nil"/>
              <w:left w:val="nil"/>
              <w:bottom w:val="nil"/>
              <w:right w:val="nil"/>
            </w:tcBorders>
            <w:noWrap/>
            <w:vAlign w:val="bottom"/>
            <w:hideMark/>
          </w:tcPr>
          <w:p w14:paraId="000E8294"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47B4191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1.62</w:t>
            </w:r>
          </w:p>
        </w:tc>
        <w:tc>
          <w:tcPr>
            <w:tcW w:w="1076" w:type="dxa"/>
            <w:tcBorders>
              <w:top w:val="nil"/>
              <w:left w:val="nil"/>
              <w:bottom w:val="nil"/>
              <w:right w:val="nil"/>
            </w:tcBorders>
            <w:noWrap/>
            <w:vAlign w:val="center"/>
            <w:hideMark/>
          </w:tcPr>
          <w:p w14:paraId="63328EF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34.00</w:t>
            </w:r>
          </w:p>
        </w:tc>
        <w:tc>
          <w:tcPr>
            <w:tcW w:w="961" w:type="dxa"/>
            <w:tcBorders>
              <w:top w:val="nil"/>
              <w:left w:val="nil"/>
              <w:bottom w:val="nil"/>
              <w:right w:val="nil"/>
            </w:tcBorders>
            <w:noWrap/>
            <w:vAlign w:val="center"/>
            <w:hideMark/>
          </w:tcPr>
          <w:p w14:paraId="25A2C55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0.755</w:t>
            </w:r>
          </w:p>
        </w:tc>
        <w:tc>
          <w:tcPr>
            <w:tcW w:w="1182" w:type="dxa"/>
            <w:tcBorders>
              <w:top w:val="nil"/>
              <w:left w:val="nil"/>
              <w:bottom w:val="nil"/>
              <w:right w:val="nil"/>
            </w:tcBorders>
            <w:noWrap/>
            <w:vAlign w:val="center"/>
            <w:hideMark/>
          </w:tcPr>
          <w:p w14:paraId="707A4664"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1F4E9E"/>
                <w:sz w:val="18"/>
                <w:szCs w:val="20"/>
              </w:rPr>
              <w:t>p = .452</w:t>
            </w:r>
          </w:p>
        </w:tc>
        <w:tc>
          <w:tcPr>
            <w:tcW w:w="1124" w:type="dxa"/>
            <w:tcBorders>
              <w:top w:val="nil"/>
              <w:left w:val="nil"/>
              <w:bottom w:val="nil"/>
              <w:right w:val="nil"/>
            </w:tcBorders>
            <w:noWrap/>
            <w:vAlign w:val="bottom"/>
            <w:hideMark/>
          </w:tcPr>
          <w:p w14:paraId="1DEB60B8"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01CA88D1" w14:textId="77777777" w:rsidTr="00947CFC">
        <w:trPr>
          <w:trHeight w:val="113"/>
        </w:trPr>
        <w:tc>
          <w:tcPr>
            <w:tcW w:w="1289" w:type="dxa"/>
            <w:vMerge/>
            <w:tcBorders>
              <w:top w:val="nil"/>
              <w:left w:val="nil"/>
              <w:bottom w:val="nil"/>
              <w:right w:val="nil"/>
            </w:tcBorders>
            <w:vAlign w:val="center"/>
            <w:hideMark/>
          </w:tcPr>
          <w:p w14:paraId="56C169F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550B85B1" w14:textId="77777777" w:rsidR="006B3BE7" w:rsidRPr="00F075B9" w:rsidRDefault="006B3BE7" w:rsidP="00947CFC">
            <w:pPr>
              <w:spacing w:after="0" w:line="240" w:lineRule="auto"/>
              <w:jc w:val="center"/>
              <w:rPr>
                <w:rFonts w:eastAsia="Times New Roman"/>
                <w:color w:val="000000"/>
                <w:sz w:val="18"/>
                <w:szCs w:val="18"/>
              </w:rPr>
            </w:pPr>
            <w:r>
              <w:t>duration × time, linear</w:t>
            </w:r>
          </w:p>
        </w:tc>
        <w:tc>
          <w:tcPr>
            <w:tcW w:w="402" w:type="dxa"/>
            <w:tcBorders>
              <w:top w:val="nil"/>
              <w:left w:val="nil"/>
              <w:bottom w:val="nil"/>
              <w:right w:val="nil"/>
            </w:tcBorders>
            <w:noWrap/>
            <w:vAlign w:val="bottom"/>
            <w:hideMark/>
          </w:tcPr>
          <w:p w14:paraId="3614CA64"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56A5382B" w14:textId="77777777" w:rsidR="00205CBC" w:rsidRDefault="00000000">
            <w:r>
              <w:rPr>
                <w:color w:val="1F4E9E"/>
              </w:rPr>
              <w:t>1</w:t>
            </w:r>
          </w:p>
        </w:tc>
        <w:tc>
          <w:tcPr>
            <w:tcW w:w="1076" w:type="dxa"/>
            <w:tcBorders>
              <w:top w:val="nil"/>
              <w:left w:val="nil"/>
              <w:bottom w:val="nil"/>
              <w:right w:val="nil"/>
            </w:tcBorders>
            <w:noWrap/>
            <w:vAlign w:val="center"/>
            <w:hideMark/>
          </w:tcPr>
          <w:p w14:paraId="1B689B4C" w14:textId="77777777" w:rsidR="00205CBC" w:rsidRDefault="00000000">
            <w:r>
              <w:rPr>
                <w:color w:val="1F4E9E"/>
              </w:rPr>
              <w:t>21</w:t>
            </w:r>
          </w:p>
        </w:tc>
        <w:tc>
          <w:tcPr>
            <w:tcW w:w="961" w:type="dxa"/>
            <w:tcBorders>
              <w:top w:val="nil"/>
              <w:left w:val="nil"/>
              <w:bottom w:val="nil"/>
              <w:right w:val="nil"/>
            </w:tcBorders>
            <w:noWrap/>
            <w:vAlign w:val="center"/>
            <w:hideMark/>
          </w:tcPr>
          <w:p w14:paraId="171A65A3" w14:textId="77777777" w:rsidR="00205CBC" w:rsidRDefault="00000000">
            <w:r>
              <w:rPr>
                <w:color w:val="1F4E9E"/>
              </w:rPr>
              <w:t>4.497</w:t>
            </w:r>
          </w:p>
        </w:tc>
        <w:tc>
          <w:tcPr>
            <w:tcW w:w="1182" w:type="dxa"/>
            <w:tcBorders>
              <w:top w:val="nil"/>
              <w:left w:val="nil"/>
              <w:bottom w:val="nil"/>
              <w:right w:val="nil"/>
            </w:tcBorders>
            <w:noWrap/>
            <w:vAlign w:val="center"/>
            <w:hideMark/>
          </w:tcPr>
          <w:p w14:paraId="6AB9EC70" w14:textId="77777777" w:rsidR="00205CBC" w:rsidRDefault="00000000">
            <w:r>
              <w:rPr>
                <w:color w:val="1F4E9E"/>
              </w:rPr>
              <w:t>p = .046</w:t>
            </w:r>
          </w:p>
        </w:tc>
        <w:tc>
          <w:tcPr>
            <w:tcW w:w="1124" w:type="dxa"/>
            <w:tcBorders>
              <w:top w:val="nil"/>
              <w:left w:val="nil"/>
              <w:bottom w:val="nil"/>
              <w:right w:val="nil"/>
            </w:tcBorders>
            <w:noWrap/>
            <w:vAlign w:val="center"/>
            <w:hideMark/>
          </w:tcPr>
          <w:p w14:paraId="79B076CD" w14:textId="77777777" w:rsidR="00205CBC" w:rsidRDefault="00000000">
            <w:r>
              <w:rPr>
                <w:color w:val="1F4E9E"/>
              </w:rPr>
              <w:t>0.176</w:t>
            </w:r>
          </w:p>
        </w:tc>
      </w:tr>
      <w:tr w:rsidR="006B3BE7" w:rsidRPr="008B5651" w14:paraId="07BB4A9F" w14:textId="77777777" w:rsidTr="00947CFC">
        <w:trPr>
          <w:trHeight w:val="113"/>
        </w:trPr>
        <w:tc>
          <w:tcPr>
            <w:tcW w:w="1289" w:type="dxa"/>
            <w:vMerge/>
            <w:tcBorders>
              <w:top w:val="nil"/>
              <w:left w:val="nil"/>
              <w:bottom w:val="nil"/>
              <w:right w:val="nil"/>
            </w:tcBorders>
            <w:vAlign w:val="center"/>
            <w:hideMark/>
          </w:tcPr>
          <w:p w14:paraId="51EF7472"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A530DEF" w14:textId="77777777" w:rsidR="006B3BE7" w:rsidRPr="00F075B9" w:rsidRDefault="006B3BE7" w:rsidP="00947CFC">
            <w:pPr>
              <w:spacing w:after="0" w:line="240" w:lineRule="auto"/>
              <w:jc w:val="center"/>
              <w:rPr>
                <w:rFonts w:eastAsia="Times New Roman"/>
                <w:color w:val="000000"/>
                <w:sz w:val="18"/>
                <w:szCs w:val="18"/>
              </w:rPr>
            </w:pPr>
            <w:r>
              <w:t>coherence × time, linear</w:t>
            </w:r>
          </w:p>
        </w:tc>
        <w:tc>
          <w:tcPr>
            <w:tcW w:w="402" w:type="dxa"/>
            <w:tcBorders>
              <w:top w:val="nil"/>
              <w:left w:val="nil"/>
              <w:bottom w:val="nil"/>
              <w:right w:val="nil"/>
            </w:tcBorders>
            <w:noWrap/>
            <w:vAlign w:val="bottom"/>
            <w:hideMark/>
          </w:tcPr>
          <w:p w14:paraId="0F4A7679"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36AFC1F8" w14:textId="77777777" w:rsidR="00205CBC" w:rsidRDefault="00000000">
            <w:r>
              <w:rPr>
                <w:color w:val="1F4E9E"/>
              </w:rPr>
              <w:t>1.95</w:t>
            </w:r>
          </w:p>
        </w:tc>
        <w:tc>
          <w:tcPr>
            <w:tcW w:w="1076" w:type="dxa"/>
            <w:tcBorders>
              <w:top w:val="nil"/>
              <w:left w:val="nil"/>
              <w:bottom w:val="nil"/>
              <w:right w:val="nil"/>
            </w:tcBorders>
            <w:noWrap/>
            <w:vAlign w:val="center"/>
            <w:hideMark/>
          </w:tcPr>
          <w:p w14:paraId="0FB121E9" w14:textId="77777777" w:rsidR="00205CBC" w:rsidRDefault="00000000">
            <w:r>
              <w:rPr>
                <w:color w:val="1F4E9E"/>
              </w:rPr>
              <w:t>40.99</w:t>
            </w:r>
          </w:p>
        </w:tc>
        <w:tc>
          <w:tcPr>
            <w:tcW w:w="961" w:type="dxa"/>
            <w:tcBorders>
              <w:top w:val="nil"/>
              <w:left w:val="nil"/>
              <w:bottom w:val="nil"/>
              <w:right w:val="nil"/>
            </w:tcBorders>
            <w:noWrap/>
            <w:vAlign w:val="center"/>
            <w:hideMark/>
          </w:tcPr>
          <w:p w14:paraId="196EA0D1" w14:textId="77777777" w:rsidR="00205CBC" w:rsidRDefault="00000000">
            <w:r>
              <w:rPr>
                <w:color w:val="1F4E9E"/>
              </w:rPr>
              <w:t>0.517</w:t>
            </w:r>
          </w:p>
        </w:tc>
        <w:tc>
          <w:tcPr>
            <w:tcW w:w="1182" w:type="dxa"/>
            <w:tcBorders>
              <w:top w:val="nil"/>
              <w:left w:val="nil"/>
              <w:bottom w:val="nil"/>
              <w:right w:val="nil"/>
            </w:tcBorders>
            <w:noWrap/>
            <w:vAlign w:val="center"/>
            <w:hideMark/>
          </w:tcPr>
          <w:p w14:paraId="441C3C1B" w14:textId="77777777" w:rsidR="00205CBC" w:rsidRDefault="00000000">
            <w:r>
              <w:rPr>
                <w:color w:val="1F4E9E"/>
              </w:rPr>
              <w:t>p = .596</w:t>
            </w:r>
          </w:p>
        </w:tc>
        <w:tc>
          <w:tcPr>
            <w:tcW w:w="1124" w:type="dxa"/>
            <w:tcBorders>
              <w:top w:val="nil"/>
              <w:left w:val="nil"/>
              <w:bottom w:val="nil"/>
              <w:right w:val="nil"/>
            </w:tcBorders>
            <w:noWrap/>
            <w:vAlign w:val="center"/>
            <w:hideMark/>
          </w:tcPr>
          <w:p w14:paraId="0A3AAAE8" w14:textId="77777777" w:rsidR="00205CBC" w:rsidRDefault="00000000">
            <w:r>
              <w:rPr>
                <w:color w:val="1F4E9E"/>
              </w:rPr>
              <w:t>0.024</w:t>
            </w:r>
          </w:p>
        </w:tc>
      </w:tr>
      <w:tr w:rsidR="006B3BE7" w:rsidRPr="008B5651" w14:paraId="6A3FB246" w14:textId="77777777" w:rsidTr="00947CFC">
        <w:trPr>
          <w:trHeight w:val="113"/>
        </w:trPr>
        <w:tc>
          <w:tcPr>
            <w:tcW w:w="1289" w:type="dxa"/>
            <w:vMerge/>
            <w:tcBorders>
              <w:top w:val="nil"/>
              <w:left w:val="nil"/>
              <w:bottom w:val="nil"/>
              <w:right w:val="nil"/>
            </w:tcBorders>
            <w:vAlign w:val="center"/>
            <w:hideMark/>
          </w:tcPr>
          <w:p w14:paraId="372A5C0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F1A3197" w14:textId="77777777" w:rsidR="006B3BE7" w:rsidRPr="00F075B9" w:rsidRDefault="006B3BE7" w:rsidP="00947CFC">
            <w:pPr>
              <w:spacing w:after="0" w:line="240" w:lineRule="auto"/>
              <w:jc w:val="center"/>
              <w:rPr>
                <w:rFonts w:eastAsia="Times New Roman"/>
                <w:color w:val="000000"/>
                <w:sz w:val="18"/>
                <w:szCs w:val="18"/>
              </w:rPr>
            </w:pPr>
            <w:r>
              <w:t>duration × coherence × time, linear</w:t>
            </w:r>
          </w:p>
        </w:tc>
        <w:tc>
          <w:tcPr>
            <w:tcW w:w="402" w:type="dxa"/>
            <w:tcBorders>
              <w:top w:val="nil"/>
              <w:left w:val="nil"/>
              <w:bottom w:val="nil"/>
              <w:right w:val="nil"/>
            </w:tcBorders>
            <w:noWrap/>
            <w:vAlign w:val="center"/>
            <w:hideMark/>
          </w:tcPr>
          <w:p w14:paraId="5AED6A03"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6108CE2E" w14:textId="77777777" w:rsidR="00205CBC" w:rsidRDefault="00000000">
            <w:r>
              <w:rPr>
                <w:color w:val="1F4E9E"/>
              </w:rPr>
              <w:t>1.85</w:t>
            </w:r>
          </w:p>
        </w:tc>
        <w:tc>
          <w:tcPr>
            <w:tcW w:w="1076" w:type="dxa"/>
            <w:tcBorders>
              <w:top w:val="nil"/>
              <w:left w:val="nil"/>
              <w:bottom w:val="nil"/>
              <w:right w:val="nil"/>
            </w:tcBorders>
            <w:noWrap/>
            <w:vAlign w:val="center"/>
            <w:hideMark/>
          </w:tcPr>
          <w:p w14:paraId="29DA936D" w14:textId="77777777" w:rsidR="00205CBC" w:rsidRDefault="00000000">
            <w:r>
              <w:rPr>
                <w:color w:val="1F4E9E"/>
              </w:rPr>
              <w:t>38.90</w:t>
            </w:r>
          </w:p>
        </w:tc>
        <w:tc>
          <w:tcPr>
            <w:tcW w:w="961" w:type="dxa"/>
            <w:tcBorders>
              <w:top w:val="nil"/>
              <w:left w:val="nil"/>
              <w:bottom w:val="nil"/>
              <w:right w:val="nil"/>
            </w:tcBorders>
            <w:noWrap/>
            <w:vAlign w:val="center"/>
            <w:hideMark/>
          </w:tcPr>
          <w:p w14:paraId="415698D6" w14:textId="77777777" w:rsidR="00205CBC" w:rsidRDefault="00000000">
            <w:r>
              <w:rPr>
                <w:color w:val="1F4E9E"/>
              </w:rPr>
              <w:t>0.021</w:t>
            </w:r>
          </w:p>
        </w:tc>
        <w:tc>
          <w:tcPr>
            <w:tcW w:w="1182" w:type="dxa"/>
            <w:tcBorders>
              <w:top w:val="nil"/>
              <w:left w:val="nil"/>
              <w:bottom w:val="nil"/>
              <w:right w:val="nil"/>
            </w:tcBorders>
            <w:noWrap/>
            <w:vAlign w:val="center"/>
            <w:hideMark/>
          </w:tcPr>
          <w:p w14:paraId="32321439" w14:textId="77777777" w:rsidR="00205CBC" w:rsidRDefault="00000000">
            <w:r>
              <w:rPr>
                <w:color w:val="1F4E9E"/>
              </w:rPr>
              <w:t>p = .974</w:t>
            </w:r>
          </w:p>
        </w:tc>
        <w:tc>
          <w:tcPr>
            <w:tcW w:w="1124" w:type="dxa"/>
            <w:tcBorders>
              <w:top w:val="nil"/>
              <w:left w:val="nil"/>
              <w:bottom w:val="nil"/>
              <w:right w:val="nil"/>
            </w:tcBorders>
            <w:noWrap/>
            <w:vAlign w:val="center"/>
            <w:hideMark/>
          </w:tcPr>
          <w:p w14:paraId="463E9750" w14:textId="77777777" w:rsidR="00205CBC" w:rsidRDefault="00000000">
            <w:r>
              <w:rPr>
                <w:color w:val="1F4E9E"/>
              </w:rPr>
              <w:t>0.001</w:t>
            </w:r>
          </w:p>
        </w:tc>
      </w:tr>
      <w:tr w:rsidR="006B3BE7" w:rsidRPr="008B5651" w14:paraId="6A3FB246" w14:textId="77777777" w:rsidTr="00947CFC">
        <w:trPr>
          <w:trHeight w:val="113"/>
        </w:trPr>
        <w:tc>
          <w:tcPr>
            <w:tcW w:w="1289" w:type="dxa"/>
            <w:vMerge/>
            <w:tcBorders>
              <w:top w:val="nil"/>
              <w:left w:val="nil"/>
              <w:bottom w:val="nil"/>
              <w:right w:val="nil"/>
            </w:tcBorders>
            <w:vAlign w:val="center"/>
            <w:hideMark/>
          </w:tcPr>
          <w:p w14:paraId="372A5C0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F1A3197" w14:textId="77777777" w:rsidR="006B3BE7" w:rsidRPr="00F075B9" w:rsidRDefault="006B3BE7" w:rsidP="00947CFC">
            <w:pPr>
              <w:spacing w:after="0" w:line="240" w:lineRule="auto"/>
              <w:jc w:val="center"/>
              <w:rPr>
                <w:rFonts w:eastAsia="Times New Roman"/>
                <w:color w:val="000000"/>
                <w:sz w:val="18"/>
                <w:szCs w:val="18"/>
              </w:rPr>
            </w:pPr>
            <w:r>
              <w:t>time, quadratic</w:t>
            </w:r>
          </w:p>
        </w:tc>
        <w:tc>
          <w:tcPr>
            <w:tcW w:w="402" w:type="dxa"/>
            <w:tcBorders>
              <w:top w:val="nil"/>
              <w:left w:val="nil"/>
              <w:bottom w:val="nil"/>
              <w:right w:val="nil"/>
            </w:tcBorders>
            <w:noWrap/>
            <w:vAlign w:val="center"/>
            <w:hideMark/>
          </w:tcPr>
          <w:p w14:paraId="5AED6A03" w14:textId="77777777" w:rsidR="006B3BE7" w:rsidRPr="00F075B9" w:rsidRDefault="006B3BE7" w:rsidP="00947CFC">
            <w:pPr>
              <w:spacing w:after="0" w:line="240" w:lineRule="auto"/>
              <w:jc w:val="center"/>
              <w:rPr>
                <w:rFonts w:eastAsia="Times New Roman"/>
                <w:color w:val="000000"/>
                <w:sz w:val="18"/>
                <w:szCs w:val="18"/>
              </w:rPr>
            </w:pPr>
            <w:r/>
          </w:p>
        </w:tc>
        <w:tc>
          <w:tcPr>
            <w:tcW w:w="713" w:type="dxa"/>
            <w:tcBorders>
              <w:top w:val="nil"/>
              <w:left w:val="nil"/>
              <w:bottom w:val="nil"/>
              <w:right w:val="nil"/>
            </w:tcBorders>
            <w:noWrap/>
            <w:vAlign w:val="center"/>
            <w:hideMark/>
          </w:tcPr>
          <w:p w14:paraId="6108CE2E" w14:textId="77777777" w:rsidR="00205CBC" w:rsidRDefault="00000000">
            <w:r>
              <w:rPr>
                <w:color w:val="1F4E9E"/>
              </w:rPr>
              <w:t>1</w:t>
            </w:r>
          </w:p>
        </w:tc>
        <w:tc>
          <w:tcPr>
            <w:tcW w:w="1076" w:type="dxa"/>
            <w:tcBorders>
              <w:top w:val="nil"/>
              <w:left w:val="nil"/>
              <w:bottom w:val="nil"/>
              <w:right w:val="nil"/>
            </w:tcBorders>
            <w:noWrap/>
            <w:vAlign w:val="center"/>
            <w:hideMark/>
          </w:tcPr>
          <w:p w14:paraId="29DA936D" w14:textId="77777777" w:rsidR="00205CBC" w:rsidRDefault="00000000">
            <w:r>
              <w:rPr>
                <w:color w:val="1F4E9E"/>
              </w:rPr>
              <w:t>21</w:t>
            </w:r>
          </w:p>
        </w:tc>
        <w:tc>
          <w:tcPr>
            <w:tcW w:w="961" w:type="dxa"/>
            <w:tcBorders>
              <w:top w:val="nil"/>
              <w:left w:val="nil"/>
              <w:bottom w:val="nil"/>
              <w:right w:val="nil"/>
            </w:tcBorders>
            <w:noWrap/>
            <w:vAlign w:val="center"/>
            <w:hideMark/>
          </w:tcPr>
          <w:p w14:paraId="415698D6" w14:textId="77777777" w:rsidR="00205CBC" w:rsidRDefault="00000000">
            <w:r>
              <w:t>9.116</w:t>
            </w:r>
          </w:p>
        </w:tc>
        <w:tc>
          <w:tcPr>
            <w:tcW w:w="1182" w:type="dxa"/>
            <w:tcBorders>
              <w:top w:val="nil"/>
              <w:left w:val="nil"/>
              <w:bottom w:val="nil"/>
              <w:right w:val="nil"/>
            </w:tcBorders>
            <w:noWrap/>
            <w:vAlign w:val="center"/>
            <w:hideMark/>
          </w:tcPr>
          <w:p w14:paraId="32321439" w14:textId="77777777" w:rsidR="00205CBC" w:rsidRDefault="00000000">
            <w:r>
              <w:t>p = .007</w:t>
            </w:r>
          </w:p>
        </w:tc>
        <w:tc>
          <w:tcPr>
            <w:tcW w:w="1124" w:type="dxa"/>
            <w:tcBorders>
              <w:top w:val="nil"/>
              <w:left w:val="nil"/>
              <w:bottom w:val="nil"/>
              <w:right w:val="nil"/>
            </w:tcBorders>
            <w:noWrap/>
            <w:vAlign w:val="center"/>
            <w:hideMark/>
          </w:tcPr>
          <w:p w14:paraId="463E9750" w14:textId="77777777" w:rsidR="00205CBC" w:rsidRDefault="00000000">
            <w:r>
              <w:t>0.303</w:t>
            </w:r>
          </w:p>
        </w:tc>
      </w:tr>
      <w:tr w:rsidR="006B3BE7" w:rsidRPr="008B5651" w14:paraId="6A3FB246" w14:textId="77777777" w:rsidTr="00947CFC">
        <w:trPr>
          <w:trHeight w:val="113"/>
        </w:trPr>
        <w:tc>
          <w:tcPr>
            <w:tcW w:w="1289" w:type="dxa"/>
            <w:vMerge/>
            <w:tcBorders>
              <w:top w:val="nil"/>
              <w:left w:val="nil"/>
              <w:bottom w:val="nil"/>
              <w:right w:val="nil"/>
            </w:tcBorders>
            <w:vAlign w:val="center"/>
            <w:hideMark/>
          </w:tcPr>
          <w:p w14:paraId="372A5C0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F1A3197" w14:textId="77777777" w:rsidR="006B3BE7" w:rsidRPr="00F075B9" w:rsidRDefault="006B3BE7" w:rsidP="00947CFC">
            <w:pPr>
              <w:spacing w:after="0" w:line="240" w:lineRule="auto"/>
              <w:jc w:val="center"/>
              <w:rPr>
                <w:rFonts w:eastAsia="Times New Roman"/>
                <w:color w:val="000000"/>
                <w:sz w:val="18"/>
                <w:szCs w:val="18"/>
              </w:rPr>
            </w:pPr>
            <w:r>
              <w:t>duration × time, quadratic</w:t>
            </w:r>
          </w:p>
        </w:tc>
        <w:tc>
          <w:tcPr>
            <w:tcW w:w="402" w:type="dxa"/>
            <w:tcBorders>
              <w:top w:val="nil"/>
              <w:left w:val="nil"/>
              <w:bottom w:val="nil"/>
              <w:right w:val="nil"/>
            </w:tcBorders>
            <w:noWrap/>
            <w:vAlign w:val="center"/>
            <w:hideMark/>
          </w:tcPr>
          <w:p w14:paraId="5AED6A03" w14:textId="77777777" w:rsidR="006B3BE7" w:rsidRPr="00F075B9" w:rsidRDefault="006B3BE7" w:rsidP="00947CFC">
            <w:pPr>
              <w:spacing w:after="0" w:line="240" w:lineRule="auto"/>
              <w:jc w:val="center"/>
              <w:rPr>
                <w:rFonts w:eastAsia="Times New Roman"/>
                <w:color w:val="000000"/>
                <w:sz w:val="18"/>
                <w:szCs w:val="18"/>
              </w:rPr>
            </w:pPr>
            <w:r/>
          </w:p>
        </w:tc>
        <w:tc>
          <w:tcPr>
            <w:tcW w:w="713" w:type="dxa"/>
            <w:tcBorders>
              <w:top w:val="nil"/>
              <w:left w:val="nil"/>
              <w:bottom w:val="nil"/>
              <w:right w:val="nil"/>
            </w:tcBorders>
            <w:noWrap/>
            <w:vAlign w:val="center"/>
            <w:hideMark/>
          </w:tcPr>
          <w:p w14:paraId="6108CE2E" w14:textId="77777777" w:rsidR="00205CBC" w:rsidRDefault="00000000">
            <w:r>
              <w:rPr>
                <w:color w:val="1F4E9E"/>
              </w:rPr>
              <w:t>1</w:t>
            </w:r>
          </w:p>
        </w:tc>
        <w:tc>
          <w:tcPr>
            <w:tcW w:w="1076" w:type="dxa"/>
            <w:tcBorders>
              <w:top w:val="nil"/>
              <w:left w:val="nil"/>
              <w:bottom w:val="nil"/>
              <w:right w:val="nil"/>
            </w:tcBorders>
            <w:noWrap/>
            <w:vAlign w:val="center"/>
            <w:hideMark/>
          </w:tcPr>
          <w:p w14:paraId="29DA936D" w14:textId="77777777" w:rsidR="00205CBC" w:rsidRDefault="00000000">
            <w:r>
              <w:rPr>
                <w:color w:val="1F4E9E"/>
              </w:rPr>
              <w:t>21</w:t>
            </w:r>
          </w:p>
        </w:tc>
        <w:tc>
          <w:tcPr>
            <w:tcW w:w="961" w:type="dxa"/>
            <w:tcBorders>
              <w:top w:val="nil"/>
              <w:left w:val="nil"/>
              <w:bottom w:val="nil"/>
              <w:right w:val="nil"/>
            </w:tcBorders>
            <w:noWrap/>
            <w:vAlign w:val="center"/>
            <w:hideMark/>
          </w:tcPr>
          <w:p w14:paraId="415698D6" w14:textId="77777777" w:rsidR="00205CBC" w:rsidRDefault="00000000">
            <w:r>
              <w:t>0.236</w:t>
            </w:r>
          </w:p>
        </w:tc>
        <w:tc>
          <w:tcPr>
            <w:tcW w:w="1182" w:type="dxa"/>
            <w:tcBorders>
              <w:top w:val="nil"/>
              <w:left w:val="nil"/>
              <w:bottom w:val="nil"/>
              <w:right w:val="nil"/>
            </w:tcBorders>
            <w:noWrap/>
            <w:vAlign w:val="center"/>
            <w:hideMark/>
          </w:tcPr>
          <w:p w14:paraId="32321439" w14:textId="77777777" w:rsidR="00205CBC" w:rsidRDefault="00000000">
            <w:r>
              <w:t>p = .632</w:t>
            </w:r>
          </w:p>
        </w:tc>
        <w:tc>
          <w:tcPr>
            <w:tcW w:w="1124" w:type="dxa"/>
            <w:tcBorders>
              <w:top w:val="nil"/>
              <w:left w:val="nil"/>
              <w:bottom w:val="nil"/>
              <w:right w:val="nil"/>
            </w:tcBorders>
            <w:noWrap/>
            <w:vAlign w:val="center"/>
            <w:hideMark/>
          </w:tcPr>
          <w:p w14:paraId="463E9750" w14:textId="77777777" w:rsidR="00205CBC" w:rsidRDefault="00000000">
            <w:r>
              <w:t>0.011</w:t>
            </w:r>
          </w:p>
        </w:tc>
      </w:tr>
      <w:tr w:rsidR="006B3BE7" w:rsidRPr="008B5651" w14:paraId="6A3FB246" w14:textId="77777777" w:rsidTr="00947CFC">
        <w:trPr>
          <w:trHeight w:val="113"/>
        </w:trPr>
        <w:tc>
          <w:tcPr>
            <w:tcW w:w="1289" w:type="dxa"/>
            <w:vMerge/>
            <w:tcBorders>
              <w:top w:val="nil"/>
              <w:left w:val="nil"/>
              <w:bottom w:val="nil"/>
              <w:right w:val="nil"/>
            </w:tcBorders>
            <w:vAlign w:val="center"/>
            <w:hideMark/>
          </w:tcPr>
          <w:p w14:paraId="372A5C0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F1A3197" w14:textId="77777777" w:rsidR="006B3BE7" w:rsidRPr="00F075B9" w:rsidRDefault="006B3BE7" w:rsidP="00947CFC">
            <w:pPr>
              <w:spacing w:after="0" w:line="240" w:lineRule="auto"/>
              <w:jc w:val="center"/>
              <w:rPr>
                <w:rFonts w:eastAsia="Times New Roman"/>
                <w:color w:val="000000"/>
                <w:sz w:val="18"/>
                <w:szCs w:val="18"/>
              </w:rPr>
            </w:pPr>
            <w:r>
              <w:t>coherence × time, quadratic</w:t>
            </w:r>
          </w:p>
        </w:tc>
        <w:tc>
          <w:tcPr>
            <w:tcW w:w="402" w:type="dxa"/>
            <w:tcBorders>
              <w:top w:val="nil"/>
              <w:left w:val="nil"/>
              <w:bottom w:val="nil"/>
              <w:right w:val="nil"/>
            </w:tcBorders>
            <w:noWrap/>
            <w:vAlign w:val="center"/>
            <w:hideMark/>
          </w:tcPr>
          <w:p w14:paraId="5AED6A03" w14:textId="77777777" w:rsidR="006B3BE7" w:rsidRPr="00F075B9" w:rsidRDefault="006B3BE7" w:rsidP="00947CFC">
            <w:pPr>
              <w:spacing w:after="0" w:line="240" w:lineRule="auto"/>
              <w:jc w:val="center"/>
              <w:rPr>
                <w:rFonts w:eastAsia="Times New Roman"/>
                <w:color w:val="000000"/>
                <w:sz w:val="18"/>
                <w:szCs w:val="18"/>
              </w:rPr>
            </w:pPr>
            <w:r/>
          </w:p>
        </w:tc>
        <w:tc>
          <w:tcPr>
            <w:tcW w:w="713" w:type="dxa"/>
            <w:tcBorders>
              <w:top w:val="nil"/>
              <w:left w:val="nil"/>
              <w:bottom w:val="nil"/>
              <w:right w:val="nil"/>
            </w:tcBorders>
            <w:noWrap/>
            <w:vAlign w:val="center"/>
            <w:hideMark/>
          </w:tcPr>
          <w:p w14:paraId="6108CE2E" w14:textId="77777777" w:rsidR="00205CBC" w:rsidRDefault="00000000">
            <w:r>
              <w:t>1.66</w:t>
            </w:r>
          </w:p>
        </w:tc>
        <w:tc>
          <w:tcPr>
            <w:tcW w:w="1076" w:type="dxa"/>
            <w:tcBorders>
              <w:top w:val="nil"/>
              <w:left w:val="nil"/>
              <w:bottom w:val="nil"/>
              <w:right w:val="nil"/>
            </w:tcBorders>
            <w:noWrap/>
            <w:vAlign w:val="center"/>
            <w:hideMark/>
          </w:tcPr>
          <w:p w14:paraId="29DA936D" w14:textId="77777777" w:rsidR="00205CBC" w:rsidRDefault="00000000">
            <w:r>
              <w:t>34.89</w:t>
            </w:r>
          </w:p>
        </w:tc>
        <w:tc>
          <w:tcPr>
            <w:tcW w:w="961" w:type="dxa"/>
            <w:tcBorders>
              <w:top w:val="nil"/>
              <w:left w:val="nil"/>
              <w:bottom w:val="nil"/>
              <w:right w:val="nil"/>
            </w:tcBorders>
            <w:noWrap/>
            <w:vAlign w:val="center"/>
            <w:hideMark/>
          </w:tcPr>
          <w:p w14:paraId="415698D6" w14:textId="77777777" w:rsidR="00205CBC" w:rsidRDefault="00000000">
            <w:r>
              <w:t>1.936</w:t>
            </w:r>
          </w:p>
        </w:tc>
        <w:tc>
          <w:tcPr>
            <w:tcW w:w="1182" w:type="dxa"/>
            <w:tcBorders>
              <w:top w:val="nil"/>
              <w:left w:val="nil"/>
              <w:bottom w:val="nil"/>
              <w:right w:val="nil"/>
            </w:tcBorders>
            <w:noWrap/>
            <w:vAlign w:val="center"/>
            <w:hideMark/>
          </w:tcPr>
          <w:p w14:paraId="32321439" w14:textId="77777777" w:rsidR="00205CBC" w:rsidRDefault="00000000">
            <w:r>
              <w:t>p = .165</w:t>
            </w:r>
          </w:p>
        </w:tc>
        <w:tc>
          <w:tcPr>
            <w:tcW w:w="1124" w:type="dxa"/>
            <w:tcBorders>
              <w:top w:val="nil"/>
              <w:left w:val="nil"/>
              <w:bottom w:val="nil"/>
              <w:right w:val="nil"/>
            </w:tcBorders>
            <w:noWrap/>
            <w:vAlign w:val="center"/>
            <w:hideMark/>
          </w:tcPr>
          <w:p w14:paraId="463E9750" w14:textId="77777777" w:rsidR="00205CBC" w:rsidRDefault="00000000">
            <w:r>
              <w:t>0.084</w:t>
            </w:r>
          </w:p>
        </w:tc>
      </w:tr>
      <w:tr w:rsidR="006B3BE7" w:rsidRPr="008B5651" w14:paraId="6A3FB246" w14:textId="77777777" w:rsidTr="00947CFC">
        <w:trPr>
          <w:trHeight w:val="113"/>
        </w:trPr>
        <w:tc>
          <w:tcPr>
            <w:tcW w:w="1289" w:type="dxa"/>
            <w:vMerge/>
            <w:tcBorders>
              <w:top w:val="nil"/>
              <w:left w:val="nil"/>
              <w:bottom w:val="nil"/>
              <w:right w:val="nil"/>
            </w:tcBorders>
            <w:vAlign w:val="center"/>
            <w:hideMark/>
          </w:tcPr>
          <w:p w14:paraId="372A5C0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F1A3197" w14:textId="77777777" w:rsidR="006B3BE7" w:rsidRPr="00F075B9" w:rsidRDefault="006B3BE7" w:rsidP="00947CFC">
            <w:pPr>
              <w:spacing w:after="0" w:line="240" w:lineRule="auto"/>
              <w:jc w:val="center"/>
              <w:rPr>
                <w:rFonts w:eastAsia="Times New Roman"/>
                <w:color w:val="000000"/>
                <w:sz w:val="18"/>
                <w:szCs w:val="18"/>
              </w:rPr>
            </w:pPr>
            <w:r>
              <w:t>duration × coherence × time, quadratic</w:t>
            </w:r>
          </w:p>
        </w:tc>
        <w:tc>
          <w:tcPr>
            <w:tcW w:w="402" w:type="dxa"/>
            <w:tcBorders>
              <w:top w:val="nil"/>
              <w:left w:val="nil"/>
              <w:bottom w:val="nil"/>
              <w:right w:val="nil"/>
            </w:tcBorders>
            <w:noWrap/>
            <w:vAlign w:val="center"/>
            <w:hideMark/>
          </w:tcPr>
          <w:p w14:paraId="5AED6A03" w14:textId="77777777" w:rsidR="006B3BE7" w:rsidRPr="00F075B9" w:rsidRDefault="006B3BE7" w:rsidP="00947CFC">
            <w:pPr>
              <w:spacing w:after="0" w:line="240" w:lineRule="auto"/>
              <w:jc w:val="center"/>
              <w:rPr>
                <w:rFonts w:eastAsia="Times New Roman"/>
                <w:color w:val="000000"/>
                <w:sz w:val="18"/>
                <w:szCs w:val="18"/>
              </w:rPr>
            </w:pPr>
            <w:r/>
          </w:p>
        </w:tc>
        <w:tc>
          <w:tcPr>
            <w:tcW w:w="713" w:type="dxa"/>
            <w:tcBorders>
              <w:top w:val="nil"/>
              <w:left w:val="nil"/>
              <w:bottom w:val="nil"/>
              <w:right w:val="nil"/>
            </w:tcBorders>
            <w:noWrap/>
            <w:vAlign w:val="center"/>
            <w:hideMark/>
          </w:tcPr>
          <w:p w14:paraId="6108CE2E" w14:textId="77777777" w:rsidR="00205CBC" w:rsidRDefault="00000000">
            <w:r>
              <w:t>1.99</w:t>
            </w:r>
          </w:p>
        </w:tc>
        <w:tc>
          <w:tcPr>
            <w:tcW w:w="1076" w:type="dxa"/>
            <w:tcBorders>
              <w:top w:val="nil"/>
              <w:left w:val="nil"/>
              <w:bottom w:val="nil"/>
              <w:right w:val="nil"/>
            </w:tcBorders>
            <w:noWrap/>
            <w:vAlign w:val="center"/>
            <w:hideMark/>
          </w:tcPr>
          <w:p w14:paraId="29DA936D" w14:textId="77777777" w:rsidR="00205CBC" w:rsidRDefault="00000000">
            <w:r>
              <w:t>41.79</w:t>
            </w:r>
          </w:p>
        </w:tc>
        <w:tc>
          <w:tcPr>
            <w:tcW w:w="961" w:type="dxa"/>
            <w:tcBorders>
              <w:top w:val="nil"/>
              <w:left w:val="nil"/>
              <w:bottom w:val="nil"/>
              <w:right w:val="nil"/>
            </w:tcBorders>
            <w:noWrap/>
            <w:vAlign w:val="center"/>
            <w:hideMark/>
          </w:tcPr>
          <w:p w14:paraId="415698D6" w14:textId="77777777" w:rsidR="00205CBC" w:rsidRDefault="00000000">
            <w:r>
              <w:t>1.302</w:t>
            </w:r>
          </w:p>
        </w:tc>
        <w:tc>
          <w:tcPr>
            <w:tcW w:w="1182" w:type="dxa"/>
            <w:tcBorders>
              <w:top w:val="nil"/>
              <w:left w:val="nil"/>
              <w:bottom w:val="nil"/>
              <w:right w:val="nil"/>
            </w:tcBorders>
            <w:noWrap/>
            <w:vAlign w:val="center"/>
            <w:hideMark/>
          </w:tcPr>
          <w:p w14:paraId="32321439" w14:textId="77777777" w:rsidR="00205CBC" w:rsidRDefault="00000000">
            <w:r>
              <w:t>p = .283</w:t>
            </w:r>
          </w:p>
        </w:tc>
        <w:tc>
          <w:tcPr>
            <w:tcW w:w="1124" w:type="dxa"/>
            <w:tcBorders>
              <w:top w:val="nil"/>
              <w:left w:val="nil"/>
              <w:bottom w:val="nil"/>
              <w:right w:val="nil"/>
            </w:tcBorders>
            <w:noWrap/>
            <w:vAlign w:val="center"/>
            <w:hideMark/>
          </w:tcPr>
          <w:p w14:paraId="463E9750" w14:textId="77777777" w:rsidR="00205CBC" w:rsidRDefault="00000000">
            <w:r>
              <w:t>0.058</w:t>
            </w:r>
          </w:p>
        </w:tc>
      </w:tr>
      <w:tr w:rsidR="006B3BE7" w:rsidRPr="008B5651" w14:paraId="06E412F1" w14:textId="77777777" w:rsidTr="00947CFC">
        <w:trPr>
          <w:trHeight w:val="113"/>
        </w:trPr>
        <w:tc>
          <w:tcPr>
            <w:tcW w:w="1289" w:type="dxa"/>
            <w:tcBorders>
              <w:top w:val="nil"/>
              <w:left w:val="nil"/>
              <w:bottom w:val="nil"/>
              <w:right w:val="nil"/>
            </w:tcBorders>
            <w:noWrap/>
            <w:vAlign w:val="bottom"/>
            <w:hideMark/>
          </w:tcPr>
          <w:p w14:paraId="28A71BF2" w14:textId="77777777" w:rsidR="006B3BE7" w:rsidRPr="00F075B9" w:rsidRDefault="006B3BE7" w:rsidP="00947CFC">
            <w:pPr>
              <w:spacing w:after="0" w:line="240" w:lineRule="auto"/>
              <w:rPr>
                <w:rFonts w:eastAsia="Times New Roman"/>
                <w:sz w:val="22"/>
                <w:szCs w:val="20"/>
              </w:rPr>
            </w:pPr>
          </w:p>
        </w:tc>
        <w:tc>
          <w:tcPr>
            <w:tcW w:w="2280" w:type="dxa"/>
            <w:tcBorders>
              <w:top w:val="nil"/>
              <w:left w:val="nil"/>
              <w:bottom w:val="nil"/>
              <w:right w:val="nil"/>
            </w:tcBorders>
            <w:vAlign w:val="bottom"/>
            <w:hideMark/>
          </w:tcPr>
          <w:p w14:paraId="2DE7D7B3" w14:textId="77777777" w:rsidR="006B3BE7" w:rsidRPr="00F075B9" w:rsidRDefault="006B3BE7" w:rsidP="00947CFC">
            <w:pPr>
              <w:spacing w:after="0" w:line="240" w:lineRule="auto"/>
              <w:jc w:val="center"/>
              <w:rPr>
                <w:rFonts w:eastAsia="Times New Roman"/>
                <w:sz w:val="20"/>
                <w:szCs w:val="20"/>
              </w:rPr>
            </w:pPr>
          </w:p>
        </w:tc>
        <w:tc>
          <w:tcPr>
            <w:tcW w:w="402" w:type="dxa"/>
            <w:tcBorders>
              <w:top w:val="nil"/>
              <w:left w:val="nil"/>
              <w:bottom w:val="nil"/>
              <w:right w:val="nil"/>
            </w:tcBorders>
            <w:noWrap/>
            <w:vAlign w:val="bottom"/>
            <w:hideMark/>
          </w:tcPr>
          <w:p w14:paraId="324ABE20" w14:textId="77777777" w:rsidR="006B3BE7" w:rsidRPr="00F075B9" w:rsidRDefault="006B3BE7" w:rsidP="00947CFC">
            <w:pPr>
              <w:spacing w:after="0" w:line="240" w:lineRule="auto"/>
              <w:jc w:val="center"/>
              <w:rPr>
                <w:rFonts w:eastAsia="Times New Roman"/>
                <w:sz w:val="20"/>
                <w:szCs w:val="20"/>
              </w:rPr>
            </w:pPr>
          </w:p>
        </w:tc>
        <w:tc>
          <w:tcPr>
            <w:tcW w:w="713" w:type="dxa"/>
            <w:tcBorders>
              <w:top w:val="nil"/>
              <w:left w:val="nil"/>
              <w:bottom w:val="nil"/>
              <w:right w:val="nil"/>
            </w:tcBorders>
            <w:noWrap/>
            <w:vAlign w:val="bottom"/>
            <w:hideMark/>
          </w:tcPr>
          <w:p w14:paraId="786CB221" w14:textId="77777777" w:rsidR="006B3BE7" w:rsidRPr="00F075B9" w:rsidRDefault="006B3BE7" w:rsidP="00947CFC">
            <w:pPr>
              <w:spacing w:after="0" w:line="240" w:lineRule="auto"/>
              <w:jc w:val="center"/>
              <w:rPr>
                <w:rFonts w:eastAsia="Times New Roman"/>
                <w:sz w:val="18"/>
                <w:szCs w:val="18"/>
              </w:rPr>
            </w:pPr>
          </w:p>
        </w:tc>
        <w:tc>
          <w:tcPr>
            <w:tcW w:w="1076" w:type="dxa"/>
            <w:tcBorders>
              <w:top w:val="nil"/>
              <w:left w:val="nil"/>
              <w:bottom w:val="nil"/>
              <w:right w:val="nil"/>
            </w:tcBorders>
            <w:noWrap/>
            <w:vAlign w:val="bottom"/>
            <w:hideMark/>
          </w:tcPr>
          <w:p w14:paraId="7CFA9A64" w14:textId="77777777" w:rsidR="006B3BE7" w:rsidRPr="00F075B9" w:rsidRDefault="006B3BE7" w:rsidP="00947CFC">
            <w:pPr>
              <w:spacing w:after="0" w:line="240" w:lineRule="auto"/>
              <w:jc w:val="center"/>
              <w:rPr>
                <w:rFonts w:eastAsia="Times New Roman"/>
                <w:sz w:val="18"/>
                <w:szCs w:val="18"/>
              </w:rPr>
            </w:pPr>
          </w:p>
        </w:tc>
        <w:tc>
          <w:tcPr>
            <w:tcW w:w="961" w:type="dxa"/>
            <w:tcBorders>
              <w:top w:val="nil"/>
              <w:left w:val="nil"/>
              <w:bottom w:val="nil"/>
              <w:right w:val="nil"/>
            </w:tcBorders>
            <w:noWrap/>
            <w:vAlign w:val="bottom"/>
            <w:hideMark/>
          </w:tcPr>
          <w:p w14:paraId="3501D8A7" w14:textId="77777777" w:rsidR="006B3BE7" w:rsidRPr="00F075B9" w:rsidRDefault="006B3BE7" w:rsidP="00947CFC">
            <w:pPr>
              <w:spacing w:after="0" w:line="240" w:lineRule="auto"/>
              <w:jc w:val="center"/>
              <w:rPr>
                <w:rFonts w:eastAsia="Times New Roman"/>
                <w:sz w:val="18"/>
                <w:szCs w:val="18"/>
              </w:rPr>
            </w:pPr>
          </w:p>
        </w:tc>
        <w:tc>
          <w:tcPr>
            <w:tcW w:w="1182" w:type="dxa"/>
            <w:tcBorders>
              <w:top w:val="nil"/>
              <w:left w:val="nil"/>
              <w:bottom w:val="nil"/>
              <w:right w:val="nil"/>
            </w:tcBorders>
            <w:noWrap/>
            <w:vAlign w:val="bottom"/>
            <w:hideMark/>
          </w:tcPr>
          <w:p w14:paraId="22E14EEB" w14:textId="77777777" w:rsidR="006B3BE7" w:rsidRPr="00F075B9" w:rsidRDefault="006B3BE7" w:rsidP="00947CFC">
            <w:pPr>
              <w:spacing w:after="0" w:line="240" w:lineRule="auto"/>
              <w:jc w:val="center"/>
              <w:rPr>
                <w:rFonts w:eastAsia="Times New Roman"/>
                <w:sz w:val="18"/>
                <w:szCs w:val="18"/>
              </w:rPr>
            </w:pPr>
          </w:p>
        </w:tc>
        <w:tc>
          <w:tcPr>
            <w:tcW w:w="1124" w:type="dxa"/>
            <w:tcBorders>
              <w:top w:val="nil"/>
              <w:left w:val="nil"/>
              <w:bottom w:val="nil"/>
              <w:right w:val="nil"/>
            </w:tcBorders>
            <w:noWrap/>
            <w:vAlign w:val="bottom"/>
            <w:hideMark/>
          </w:tcPr>
          <w:p w14:paraId="389D5574" w14:textId="77777777" w:rsidR="006B3BE7" w:rsidRPr="00F075B9" w:rsidRDefault="006B3BE7" w:rsidP="00947CFC">
            <w:pPr>
              <w:spacing w:after="0" w:line="240" w:lineRule="auto"/>
              <w:jc w:val="center"/>
              <w:rPr>
                <w:rFonts w:eastAsia="Times New Roman"/>
                <w:sz w:val="18"/>
                <w:szCs w:val="18"/>
              </w:rPr>
            </w:pPr>
          </w:p>
        </w:tc>
      </w:tr>
      <w:tr w:rsidR="006B3BE7" w:rsidRPr="008B5651" w14:paraId="592C7E97" w14:textId="77777777" w:rsidTr="00947CFC">
        <w:trPr>
          <w:trHeight w:val="113"/>
        </w:trPr>
        <w:tc>
          <w:tcPr>
            <w:tcW w:w="1289" w:type="dxa"/>
            <w:vMerge w:val="restart"/>
            <w:tcBorders>
              <w:top w:val="single" w:sz="8" w:space="0" w:color="auto"/>
              <w:left w:val="nil"/>
              <w:bottom w:val="nil"/>
              <w:right w:val="nil"/>
            </w:tcBorders>
            <w:noWrap/>
            <w:vAlign w:val="center"/>
            <w:hideMark/>
          </w:tcPr>
          <w:p w14:paraId="76B76C2F" w14:textId="77777777" w:rsidR="006B3BE7" w:rsidRPr="00F075B9" w:rsidRDefault="006B3BE7" w:rsidP="00947CFC">
            <w:pPr>
              <w:spacing w:after="0" w:line="240" w:lineRule="auto"/>
              <w:jc w:val="center"/>
              <w:rPr>
                <w:rFonts w:eastAsia="Times New Roman"/>
                <w:bCs/>
                <w:color w:val="000000"/>
                <w:sz w:val="22"/>
                <w:szCs w:val="18"/>
              </w:rPr>
            </w:pPr>
            <w:r>
              <w:t>Delay</w:t>
            </w:r>
          </w:p>
        </w:tc>
        <w:tc>
          <w:tcPr>
            <w:tcW w:w="2280" w:type="dxa"/>
            <w:tcBorders>
              <w:top w:val="single" w:sz="8" w:space="0" w:color="auto"/>
              <w:left w:val="nil"/>
              <w:bottom w:val="nil"/>
              <w:right w:val="nil"/>
            </w:tcBorders>
            <w:vAlign w:val="center"/>
            <w:hideMark/>
          </w:tcPr>
          <w:p w14:paraId="75BE2F9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w:t>
            </w:r>
          </w:p>
        </w:tc>
        <w:tc>
          <w:tcPr>
            <w:tcW w:w="402" w:type="dxa"/>
            <w:tcBorders>
              <w:top w:val="single" w:sz="8" w:space="0" w:color="auto"/>
              <w:left w:val="nil"/>
              <w:bottom w:val="nil"/>
              <w:right w:val="nil"/>
            </w:tcBorders>
            <w:noWrap/>
            <w:vAlign w:val="center"/>
            <w:hideMark/>
          </w:tcPr>
          <w:p w14:paraId="1C34E969"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single" w:sz="8" w:space="0" w:color="auto"/>
              <w:left w:val="nil"/>
              <w:bottom w:val="nil"/>
              <w:right w:val="nil"/>
            </w:tcBorders>
            <w:noWrap/>
            <w:vAlign w:val="center"/>
            <w:hideMark/>
          </w:tcPr>
          <w:p w14:paraId="34EB191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single" w:sz="8" w:space="0" w:color="auto"/>
              <w:left w:val="nil"/>
              <w:bottom w:val="nil"/>
              <w:right w:val="nil"/>
            </w:tcBorders>
            <w:noWrap/>
            <w:vAlign w:val="center"/>
            <w:hideMark/>
          </w:tcPr>
          <w:p w14:paraId="3A2F61A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single" w:sz="8" w:space="0" w:color="auto"/>
              <w:left w:val="nil"/>
              <w:bottom w:val="nil"/>
              <w:right w:val="nil"/>
            </w:tcBorders>
            <w:noWrap/>
            <w:vAlign w:val="center"/>
            <w:hideMark/>
          </w:tcPr>
          <w:p w14:paraId="46C2F22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3.177</w:t>
            </w:r>
          </w:p>
        </w:tc>
        <w:tc>
          <w:tcPr>
            <w:tcW w:w="1182" w:type="dxa"/>
            <w:tcBorders>
              <w:top w:val="single" w:sz="8" w:space="0" w:color="auto"/>
              <w:left w:val="nil"/>
              <w:bottom w:val="nil"/>
              <w:right w:val="nil"/>
            </w:tcBorders>
            <w:noWrap/>
            <w:vAlign w:val="center"/>
            <w:hideMark/>
          </w:tcPr>
          <w:p w14:paraId="3FD0A6DF"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iCs/>
                <w:sz w:val="18"/>
                <w:szCs w:val="18"/>
              </w:rPr>
              <w:t>.089</w:t>
            </w:r>
          </w:p>
        </w:tc>
        <w:tc>
          <w:tcPr>
            <w:tcW w:w="1124" w:type="dxa"/>
            <w:tcBorders>
              <w:top w:val="single" w:sz="8" w:space="0" w:color="auto"/>
              <w:left w:val="nil"/>
              <w:bottom w:val="nil"/>
              <w:right w:val="nil"/>
            </w:tcBorders>
            <w:noWrap/>
            <w:vAlign w:val="center"/>
            <w:hideMark/>
          </w:tcPr>
          <w:p w14:paraId="429E97A5" w14:textId="77777777" w:rsidR="006B3BE7" w:rsidRPr="00F075B9" w:rsidRDefault="00C342B2" w:rsidP="00947CFC">
            <w:pPr>
              <w:spacing w:after="0" w:line="240" w:lineRule="auto"/>
              <w:jc w:val="center"/>
              <w:rPr>
                <w:rFonts w:eastAsia="Times New Roman"/>
                <w:color w:val="000000"/>
                <w:sz w:val="18"/>
                <w:szCs w:val="18"/>
              </w:rPr>
            </w:pPr>
            <w:r w:rsidRPr="00F075B9">
              <w:rPr>
                <w:rFonts w:eastAsia="Times New Roman"/>
                <w:sz w:val="18"/>
                <w:szCs w:val="18"/>
              </w:rPr>
              <w:t>–</w:t>
            </w:r>
          </w:p>
        </w:tc>
      </w:tr>
      <w:tr w:rsidR="006B3BE7" w:rsidRPr="008B5651" w14:paraId="0958B4A6" w14:textId="77777777" w:rsidTr="00947CFC">
        <w:trPr>
          <w:trHeight w:val="113"/>
        </w:trPr>
        <w:tc>
          <w:tcPr>
            <w:tcW w:w="1289" w:type="dxa"/>
            <w:vMerge/>
            <w:tcBorders>
              <w:top w:val="single" w:sz="8" w:space="0" w:color="auto"/>
              <w:left w:val="nil"/>
              <w:bottom w:val="nil"/>
              <w:right w:val="nil"/>
            </w:tcBorders>
            <w:vAlign w:val="center"/>
            <w:hideMark/>
          </w:tcPr>
          <w:p w14:paraId="1B01450B"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1AC276D6"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coherence</w:t>
            </w:r>
          </w:p>
        </w:tc>
        <w:tc>
          <w:tcPr>
            <w:tcW w:w="402" w:type="dxa"/>
            <w:tcBorders>
              <w:top w:val="nil"/>
              <w:left w:val="nil"/>
              <w:bottom w:val="nil"/>
              <w:right w:val="nil"/>
            </w:tcBorders>
            <w:noWrap/>
            <w:vAlign w:val="bottom"/>
            <w:hideMark/>
          </w:tcPr>
          <w:p w14:paraId="3155C04B"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41BEBAD6"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1.29</w:t>
            </w:r>
          </w:p>
        </w:tc>
        <w:tc>
          <w:tcPr>
            <w:tcW w:w="1076" w:type="dxa"/>
            <w:tcBorders>
              <w:top w:val="nil"/>
              <w:left w:val="nil"/>
              <w:bottom w:val="nil"/>
              <w:right w:val="nil"/>
            </w:tcBorders>
            <w:noWrap/>
            <w:vAlign w:val="center"/>
            <w:hideMark/>
          </w:tcPr>
          <w:p w14:paraId="4D12896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27.12</w:t>
            </w:r>
          </w:p>
        </w:tc>
        <w:tc>
          <w:tcPr>
            <w:tcW w:w="961" w:type="dxa"/>
            <w:tcBorders>
              <w:top w:val="nil"/>
              <w:left w:val="nil"/>
              <w:bottom w:val="nil"/>
              <w:right w:val="nil"/>
            </w:tcBorders>
            <w:noWrap/>
            <w:vAlign w:val="center"/>
            <w:hideMark/>
          </w:tcPr>
          <w:p w14:paraId="5B2EBA5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1.257</w:t>
            </w:r>
          </w:p>
        </w:tc>
        <w:tc>
          <w:tcPr>
            <w:tcW w:w="1182" w:type="dxa"/>
            <w:tcBorders>
              <w:top w:val="nil"/>
              <w:left w:val="nil"/>
              <w:bottom w:val="nil"/>
              <w:right w:val="nil"/>
            </w:tcBorders>
            <w:noWrap/>
            <w:vAlign w:val="center"/>
            <w:hideMark/>
          </w:tcPr>
          <w:p w14:paraId="2AB08297"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iCs/>
                <w:sz w:val="18"/>
                <w:szCs w:val="18"/>
              </w:rPr>
              <w:t>.285</w:t>
            </w:r>
          </w:p>
        </w:tc>
        <w:tc>
          <w:tcPr>
            <w:tcW w:w="1124" w:type="dxa"/>
            <w:tcBorders>
              <w:top w:val="nil"/>
              <w:left w:val="nil"/>
              <w:bottom w:val="nil"/>
              <w:right w:val="nil"/>
            </w:tcBorders>
            <w:noWrap/>
            <w:vAlign w:val="center"/>
            <w:hideMark/>
          </w:tcPr>
          <w:p w14:paraId="508E978C"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535A1E74" w14:textId="77777777" w:rsidTr="00947CFC">
        <w:trPr>
          <w:trHeight w:val="113"/>
        </w:trPr>
        <w:tc>
          <w:tcPr>
            <w:tcW w:w="1289" w:type="dxa"/>
            <w:vMerge/>
            <w:tcBorders>
              <w:top w:val="single" w:sz="8" w:space="0" w:color="auto"/>
              <w:left w:val="nil"/>
              <w:bottom w:val="nil"/>
              <w:right w:val="nil"/>
            </w:tcBorders>
            <w:vAlign w:val="center"/>
            <w:hideMark/>
          </w:tcPr>
          <w:p w14:paraId="2B16EF2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29E1F434" w14:textId="77777777" w:rsidR="006B3BE7" w:rsidRPr="00F075B9" w:rsidRDefault="006B3BE7" w:rsidP="00947CFC">
            <w:pPr>
              <w:spacing w:after="0" w:line="240" w:lineRule="auto"/>
              <w:jc w:val="center"/>
              <w:rPr>
                <w:rFonts w:eastAsia="Times New Roman"/>
                <w:color w:val="000000"/>
                <w:sz w:val="18"/>
                <w:szCs w:val="18"/>
              </w:rPr>
            </w:pPr>
            <w:r>
              <w:t>time, linear</w:t>
            </w:r>
          </w:p>
        </w:tc>
        <w:tc>
          <w:tcPr>
            <w:tcW w:w="402" w:type="dxa"/>
            <w:tcBorders>
              <w:top w:val="nil"/>
              <w:left w:val="nil"/>
              <w:bottom w:val="nil"/>
              <w:right w:val="nil"/>
            </w:tcBorders>
            <w:noWrap/>
            <w:vAlign w:val="bottom"/>
            <w:hideMark/>
          </w:tcPr>
          <w:p w14:paraId="5C622F7A"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3DC44B30" w14:textId="77777777" w:rsidR="00205CBC" w:rsidRDefault="00000000">
            <w:r>
              <w:rPr>
                <w:color w:val="1F4E9E"/>
              </w:rPr>
              <w:t>1</w:t>
            </w:r>
          </w:p>
        </w:tc>
        <w:tc>
          <w:tcPr>
            <w:tcW w:w="1076" w:type="dxa"/>
            <w:tcBorders>
              <w:top w:val="nil"/>
              <w:left w:val="nil"/>
              <w:bottom w:val="nil"/>
              <w:right w:val="nil"/>
            </w:tcBorders>
            <w:noWrap/>
            <w:vAlign w:val="center"/>
            <w:hideMark/>
          </w:tcPr>
          <w:p w14:paraId="2E85518C" w14:textId="77777777" w:rsidR="00205CBC" w:rsidRDefault="00000000">
            <w:r>
              <w:rPr>
                <w:color w:val="1F4E9E"/>
              </w:rPr>
              <w:t>21</w:t>
            </w:r>
          </w:p>
        </w:tc>
        <w:tc>
          <w:tcPr>
            <w:tcW w:w="961" w:type="dxa"/>
            <w:tcBorders>
              <w:top w:val="nil"/>
              <w:left w:val="nil"/>
              <w:bottom w:val="nil"/>
              <w:right w:val="nil"/>
            </w:tcBorders>
            <w:noWrap/>
            <w:vAlign w:val="center"/>
            <w:hideMark/>
          </w:tcPr>
          <w:p w14:paraId="4B962AEB" w14:textId="77777777" w:rsidR="00205CBC" w:rsidRDefault="00000000">
            <w:r>
              <w:rPr>
                <w:color w:val="1F4E9E"/>
              </w:rPr>
              <w:t>7.107</w:t>
            </w:r>
          </w:p>
        </w:tc>
        <w:tc>
          <w:tcPr>
            <w:tcW w:w="1182" w:type="dxa"/>
            <w:tcBorders>
              <w:top w:val="nil"/>
              <w:left w:val="nil"/>
              <w:bottom w:val="nil"/>
              <w:right w:val="nil"/>
            </w:tcBorders>
            <w:noWrap/>
            <w:vAlign w:val="center"/>
            <w:hideMark/>
          </w:tcPr>
          <w:p w14:paraId="5AF96903" w14:textId="77777777" w:rsidR="00205CBC" w:rsidRDefault="00000000">
            <w:r>
              <w:rPr>
                <w:color w:val="1F4E9E"/>
              </w:rPr>
              <w:t>p = .014</w:t>
            </w:r>
          </w:p>
        </w:tc>
        <w:tc>
          <w:tcPr>
            <w:tcW w:w="1124" w:type="dxa"/>
            <w:tcBorders>
              <w:top w:val="nil"/>
              <w:left w:val="nil"/>
              <w:bottom w:val="nil"/>
              <w:right w:val="nil"/>
            </w:tcBorders>
            <w:noWrap/>
            <w:vAlign w:val="center"/>
            <w:hideMark/>
          </w:tcPr>
          <w:p w14:paraId="2D3E8AA8" w14:textId="77777777" w:rsidR="00205CBC" w:rsidRDefault="00000000">
            <w:r>
              <w:rPr>
                <w:color w:val="1F4E9E"/>
              </w:rPr>
              <w:t>0.253</w:t>
            </w:r>
          </w:p>
        </w:tc>
      </w:tr>
      <w:tr w:rsidR="006B3BE7" w:rsidRPr="008B5651" w14:paraId="00E5AB7C" w14:textId="77777777" w:rsidTr="00947CFC">
        <w:trPr>
          <w:trHeight w:val="113"/>
        </w:trPr>
        <w:tc>
          <w:tcPr>
            <w:tcW w:w="1289" w:type="dxa"/>
            <w:vMerge/>
            <w:tcBorders>
              <w:top w:val="single" w:sz="8" w:space="0" w:color="auto"/>
              <w:left w:val="nil"/>
              <w:bottom w:val="nil"/>
              <w:right w:val="nil"/>
            </w:tcBorders>
            <w:vAlign w:val="center"/>
            <w:hideMark/>
          </w:tcPr>
          <w:p w14:paraId="434F36A9"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50F0C82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coherence</w:t>
            </w:r>
          </w:p>
        </w:tc>
        <w:tc>
          <w:tcPr>
            <w:tcW w:w="402" w:type="dxa"/>
            <w:tcBorders>
              <w:top w:val="nil"/>
              <w:left w:val="nil"/>
              <w:bottom w:val="nil"/>
              <w:right w:val="nil"/>
            </w:tcBorders>
            <w:noWrap/>
            <w:vAlign w:val="bottom"/>
            <w:hideMark/>
          </w:tcPr>
          <w:p w14:paraId="403BB3C5"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4D6C757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1.69</w:t>
            </w:r>
          </w:p>
        </w:tc>
        <w:tc>
          <w:tcPr>
            <w:tcW w:w="1076" w:type="dxa"/>
            <w:tcBorders>
              <w:top w:val="nil"/>
              <w:left w:val="nil"/>
              <w:bottom w:val="nil"/>
              <w:right w:val="nil"/>
            </w:tcBorders>
            <w:noWrap/>
            <w:vAlign w:val="center"/>
            <w:hideMark/>
          </w:tcPr>
          <w:p w14:paraId="54E33B7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35.43</w:t>
            </w:r>
          </w:p>
        </w:tc>
        <w:tc>
          <w:tcPr>
            <w:tcW w:w="961" w:type="dxa"/>
            <w:tcBorders>
              <w:top w:val="nil"/>
              <w:left w:val="nil"/>
              <w:bottom w:val="nil"/>
              <w:right w:val="nil"/>
            </w:tcBorders>
            <w:noWrap/>
            <w:vAlign w:val="center"/>
            <w:hideMark/>
          </w:tcPr>
          <w:p w14:paraId="2C6CE08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1.586</w:t>
            </w:r>
          </w:p>
        </w:tc>
        <w:tc>
          <w:tcPr>
            <w:tcW w:w="1182" w:type="dxa"/>
            <w:tcBorders>
              <w:top w:val="nil"/>
              <w:left w:val="nil"/>
              <w:bottom w:val="nil"/>
              <w:right w:val="nil"/>
            </w:tcBorders>
            <w:noWrap/>
            <w:vAlign w:val="center"/>
            <w:hideMark/>
          </w:tcPr>
          <w:p w14:paraId="67EF7463"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1F4E9E"/>
                <w:sz w:val="18"/>
                <w:szCs w:val="20"/>
              </w:rPr>
              <w:t>p = .220</w:t>
            </w:r>
          </w:p>
        </w:tc>
        <w:tc>
          <w:tcPr>
            <w:tcW w:w="1124" w:type="dxa"/>
            <w:tcBorders>
              <w:top w:val="nil"/>
              <w:left w:val="nil"/>
              <w:bottom w:val="nil"/>
              <w:right w:val="nil"/>
            </w:tcBorders>
            <w:noWrap/>
            <w:vAlign w:val="center"/>
            <w:hideMark/>
          </w:tcPr>
          <w:p w14:paraId="6850DAC5"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11F26311" w14:textId="77777777" w:rsidTr="00947CFC">
        <w:trPr>
          <w:trHeight w:val="113"/>
        </w:trPr>
        <w:tc>
          <w:tcPr>
            <w:tcW w:w="1289" w:type="dxa"/>
            <w:vMerge/>
            <w:tcBorders>
              <w:top w:val="single" w:sz="8" w:space="0" w:color="auto"/>
              <w:left w:val="nil"/>
              <w:bottom w:val="nil"/>
              <w:right w:val="nil"/>
            </w:tcBorders>
            <w:vAlign w:val="center"/>
            <w:hideMark/>
          </w:tcPr>
          <w:p w14:paraId="05F06774"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72BD717B" w14:textId="77777777" w:rsidR="006B3BE7" w:rsidRPr="00F075B9" w:rsidRDefault="006B3BE7" w:rsidP="00947CFC">
            <w:pPr>
              <w:spacing w:after="0" w:line="240" w:lineRule="auto"/>
              <w:jc w:val="center"/>
              <w:rPr>
                <w:rFonts w:eastAsia="Times New Roman"/>
                <w:color w:val="000000"/>
                <w:sz w:val="18"/>
                <w:szCs w:val="18"/>
              </w:rPr>
            </w:pPr>
            <w:r>
              <w:t>duration × time, linear</w:t>
            </w:r>
          </w:p>
        </w:tc>
        <w:tc>
          <w:tcPr>
            <w:tcW w:w="402" w:type="dxa"/>
            <w:tcBorders>
              <w:top w:val="nil"/>
              <w:left w:val="nil"/>
              <w:bottom w:val="nil"/>
              <w:right w:val="nil"/>
            </w:tcBorders>
            <w:noWrap/>
            <w:vAlign w:val="bottom"/>
            <w:hideMark/>
          </w:tcPr>
          <w:p w14:paraId="68B764B2"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5E9EDD33" w14:textId="77777777" w:rsidR="00205CBC" w:rsidRDefault="00000000">
            <w:r>
              <w:rPr>
                <w:color w:val="1F4E9E"/>
              </w:rPr>
              <w:t>1</w:t>
            </w:r>
          </w:p>
        </w:tc>
        <w:tc>
          <w:tcPr>
            <w:tcW w:w="1076" w:type="dxa"/>
            <w:tcBorders>
              <w:top w:val="nil"/>
              <w:left w:val="nil"/>
              <w:bottom w:val="nil"/>
              <w:right w:val="nil"/>
            </w:tcBorders>
            <w:noWrap/>
            <w:vAlign w:val="center"/>
            <w:hideMark/>
          </w:tcPr>
          <w:p w14:paraId="0F98D3E2" w14:textId="77777777" w:rsidR="00205CBC" w:rsidRDefault="00000000">
            <w:r>
              <w:rPr>
                <w:color w:val="1F4E9E"/>
              </w:rPr>
              <w:t>21</w:t>
            </w:r>
          </w:p>
        </w:tc>
        <w:tc>
          <w:tcPr>
            <w:tcW w:w="961" w:type="dxa"/>
            <w:tcBorders>
              <w:top w:val="nil"/>
              <w:left w:val="nil"/>
              <w:bottom w:val="nil"/>
              <w:right w:val="nil"/>
            </w:tcBorders>
            <w:noWrap/>
            <w:vAlign w:val="center"/>
            <w:hideMark/>
          </w:tcPr>
          <w:p w14:paraId="75053D38" w14:textId="77777777" w:rsidR="00205CBC" w:rsidRDefault="00000000">
            <w:r>
              <w:rPr>
                <w:color w:val="1F4E9E"/>
              </w:rPr>
              <w:t>0.019</w:t>
            </w:r>
          </w:p>
        </w:tc>
        <w:tc>
          <w:tcPr>
            <w:tcW w:w="1182" w:type="dxa"/>
            <w:tcBorders>
              <w:top w:val="nil"/>
              <w:left w:val="nil"/>
              <w:bottom w:val="nil"/>
              <w:right w:val="nil"/>
            </w:tcBorders>
            <w:noWrap/>
            <w:vAlign w:val="center"/>
            <w:hideMark/>
          </w:tcPr>
          <w:p w14:paraId="650A8F6B" w14:textId="77777777" w:rsidR="00205CBC" w:rsidRDefault="00000000">
            <w:r>
              <w:rPr>
                <w:color w:val="1F4E9E"/>
              </w:rPr>
              <w:t>p = .893</w:t>
            </w:r>
          </w:p>
        </w:tc>
        <w:tc>
          <w:tcPr>
            <w:tcW w:w="1124" w:type="dxa"/>
            <w:tcBorders>
              <w:top w:val="nil"/>
              <w:left w:val="nil"/>
              <w:bottom w:val="nil"/>
              <w:right w:val="nil"/>
            </w:tcBorders>
            <w:noWrap/>
            <w:vAlign w:val="center"/>
            <w:hideMark/>
          </w:tcPr>
          <w:p w14:paraId="612CE24C" w14:textId="77777777" w:rsidR="00205CBC" w:rsidRDefault="00000000">
            <w:r>
              <w:rPr>
                <w:color w:val="1F4E9E"/>
              </w:rPr>
              <w:t>0.001</w:t>
            </w:r>
          </w:p>
        </w:tc>
      </w:tr>
      <w:tr w:rsidR="006B3BE7" w:rsidRPr="008B5651" w14:paraId="7EA7FD62" w14:textId="77777777" w:rsidTr="00947CFC">
        <w:trPr>
          <w:trHeight w:val="113"/>
        </w:trPr>
        <w:tc>
          <w:tcPr>
            <w:tcW w:w="1289" w:type="dxa"/>
            <w:vMerge/>
            <w:tcBorders>
              <w:top w:val="single" w:sz="8" w:space="0" w:color="auto"/>
              <w:left w:val="nil"/>
              <w:bottom w:val="nil"/>
              <w:right w:val="nil"/>
            </w:tcBorders>
            <w:vAlign w:val="center"/>
            <w:hideMark/>
          </w:tcPr>
          <w:p w14:paraId="1ACF3468"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1A1A3A39" w14:textId="77777777" w:rsidR="006B3BE7" w:rsidRPr="00F075B9" w:rsidRDefault="006B3BE7" w:rsidP="00947CFC">
            <w:pPr>
              <w:spacing w:after="0" w:line="240" w:lineRule="auto"/>
              <w:jc w:val="center"/>
              <w:rPr>
                <w:rFonts w:eastAsia="Times New Roman"/>
                <w:color w:val="000000"/>
                <w:sz w:val="18"/>
                <w:szCs w:val="18"/>
              </w:rPr>
            </w:pPr>
            <w:r>
              <w:t>coherence × time, linear</w:t>
            </w:r>
          </w:p>
        </w:tc>
        <w:tc>
          <w:tcPr>
            <w:tcW w:w="402" w:type="dxa"/>
            <w:tcBorders>
              <w:top w:val="nil"/>
              <w:left w:val="nil"/>
              <w:bottom w:val="nil"/>
              <w:right w:val="nil"/>
            </w:tcBorders>
            <w:noWrap/>
            <w:vAlign w:val="bottom"/>
            <w:hideMark/>
          </w:tcPr>
          <w:p w14:paraId="7B385846"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3B9F5EC8" w14:textId="77777777" w:rsidR="00205CBC" w:rsidRDefault="00000000">
            <w:r>
              <w:rPr>
                <w:color w:val="1F4E9E"/>
              </w:rPr>
              <w:t>1.78</w:t>
            </w:r>
          </w:p>
        </w:tc>
        <w:tc>
          <w:tcPr>
            <w:tcW w:w="1076" w:type="dxa"/>
            <w:tcBorders>
              <w:top w:val="nil"/>
              <w:left w:val="nil"/>
              <w:bottom w:val="nil"/>
              <w:right w:val="nil"/>
            </w:tcBorders>
            <w:noWrap/>
            <w:vAlign w:val="center"/>
            <w:hideMark/>
          </w:tcPr>
          <w:p w14:paraId="6C03E0F7" w14:textId="77777777" w:rsidR="00205CBC" w:rsidRDefault="00000000">
            <w:r>
              <w:rPr>
                <w:color w:val="1F4E9E"/>
              </w:rPr>
              <w:t>37.43</w:t>
            </w:r>
          </w:p>
        </w:tc>
        <w:tc>
          <w:tcPr>
            <w:tcW w:w="961" w:type="dxa"/>
            <w:tcBorders>
              <w:top w:val="nil"/>
              <w:left w:val="nil"/>
              <w:bottom w:val="nil"/>
              <w:right w:val="nil"/>
            </w:tcBorders>
            <w:noWrap/>
            <w:vAlign w:val="center"/>
            <w:hideMark/>
          </w:tcPr>
          <w:p w14:paraId="6BDA5A6A" w14:textId="77777777" w:rsidR="00205CBC" w:rsidRDefault="00000000">
            <w:r>
              <w:rPr>
                <w:color w:val="1F4E9E"/>
              </w:rPr>
              <w:t>1.371</w:t>
            </w:r>
          </w:p>
        </w:tc>
        <w:tc>
          <w:tcPr>
            <w:tcW w:w="1182" w:type="dxa"/>
            <w:tcBorders>
              <w:top w:val="nil"/>
              <w:left w:val="nil"/>
              <w:bottom w:val="nil"/>
              <w:right w:val="nil"/>
            </w:tcBorders>
            <w:noWrap/>
            <w:vAlign w:val="center"/>
            <w:hideMark/>
          </w:tcPr>
          <w:p w14:paraId="32CB89EC" w14:textId="77777777" w:rsidR="00205CBC" w:rsidRDefault="00000000">
            <w:r>
              <w:rPr>
                <w:color w:val="1F4E9E"/>
              </w:rPr>
              <w:t>p = .265</w:t>
            </w:r>
          </w:p>
        </w:tc>
        <w:tc>
          <w:tcPr>
            <w:tcW w:w="1124" w:type="dxa"/>
            <w:tcBorders>
              <w:top w:val="nil"/>
              <w:left w:val="nil"/>
              <w:bottom w:val="nil"/>
              <w:right w:val="nil"/>
            </w:tcBorders>
            <w:noWrap/>
            <w:vAlign w:val="bottom"/>
            <w:hideMark/>
          </w:tcPr>
          <w:p w14:paraId="4576EE7D" w14:textId="77777777" w:rsidR="00205CBC" w:rsidRDefault="00000000">
            <w:r>
              <w:rPr>
                <w:color w:val="1F4E9E"/>
              </w:rPr>
              <w:t>0.061</w:t>
            </w:r>
          </w:p>
        </w:tc>
      </w:tr>
      <w:tr w:rsidR="006B3BE7" w:rsidRPr="008B5651" w14:paraId="6073A1A7" w14:textId="77777777" w:rsidTr="00947CFC">
        <w:trPr>
          <w:trHeight w:val="113"/>
        </w:trPr>
        <w:tc>
          <w:tcPr>
            <w:tcW w:w="1289" w:type="dxa"/>
            <w:vMerge/>
            <w:tcBorders>
              <w:top w:val="single" w:sz="8" w:space="0" w:color="auto"/>
              <w:left w:val="nil"/>
              <w:bottom w:val="nil"/>
              <w:right w:val="nil"/>
            </w:tcBorders>
            <w:vAlign w:val="center"/>
            <w:hideMark/>
          </w:tcPr>
          <w:p w14:paraId="0DB09FD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BF11C6D" w14:textId="77777777" w:rsidR="006B3BE7" w:rsidRPr="00F075B9" w:rsidRDefault="006B3BE7" w:rsidP="00947CFC">
            <w:pPr>
              <w:spacing w:after="0" w:line="240" w:lineRule="auto"/>
              <w:jc w:val="center"/>
              <w:rPr>
                <w:rFonts w:eastAsia="Times New Roman"/>
                <w:color w:val="000000"/>
                <w:sz w:val="18"/>
                <w:szCs w:val="18"/>
              </w:rPr>
            </w:pPr>
            <w:r>
              <w:t>duration × coherence × time, linear</w:t>
            </w:r>
          </w:p>
        </w:tc>
        <w:tc>
          <w:tcPr>
            <w:tcW w:w="402" w:type="dxa"/>
            <w:tcBorders>
              <w:top w:val="nil"/>
              <w:left w:val="nil"/>
              <w:bottom w:val="nil"/>
              <w:right w:val="nil"/>
            </w:tcBorders>
            <w:noWrap/>
            <w:vAlign w:val="center"/>
            <w:hideMark/>
          </w:tcPr>
          <w:p w14:paraId="7BDC5E35"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50170493" w14:textId="77777777" w:rsidR="00205CBC" w:rsidRDefault="00000000">
            <w:r>
              <w:rPr>
                <w:color w:val="1F4E9E"/>
              </w:rPr>
              <w:t>1.81</w:t>
            </w:r>
          </w:p>
        </w:tc>
        <w:tc>
          <w:tcPr>
            <w:tcW w:w="1076" w:type="dxa"/>
            <w:tcBorders>
              <w:top w:val="nil"/>
              <w:left w:val="nil"/>
              <w:bottom w:val="nil"/>
              <w:right w:val="nil"/>
            </w:tcBorders>
            <w:noWrap/>
            <w:vAlign w:val="center"/>
            <w:hideMark/>
          </w:tcPr>
          <w:p w14:paraId="1E1755D8" w14:textId="77777777" w:rsidR="00205CBC" w:rsidRDefault="00000000">
            <w:r>
              <w:rPr>
                <w:color w:val="1F4E9E"/>
              </w:rPr>
              <w:t>37.91</w:t>
            </w:r>
          </w:p>
        </w:tc>
        <w:tc>
          <w:tcPr>
            <w:tcW w:w="961" w:type="dxa"/>
            <w:tcBorders>
              <w:top w:val="nil"/>
              <w:left w:val="nil"/>
              <w:bottom w:val="nil"/>
              <w:right w:val="nil"/>
            </w:tcBorders>
            <w:noWrap/>
            <w:vAlign w:val="center"/>
            <w:hideMark/>
          </w:tcPr>
          <w:p w14:paraId="0044FC2A" w14:textId="77777777" w:rsidR="00205CBC" w:rsidRDefault="00000000">
            <w:r>
              <w:rPr>
                <w:color w:val="1F4E9E"/>
              </w:rPr>
              <w:t>2.687</w:t>
            </w:r>
          </w:p>
        </w:tc>
        <w:tc>
          <w:tcPr>
            <w:tcW w:w="1182" w:type="dxa"/>
            <w:tcBorders>
              <w:top w:val="nil"/>
              <w:left w:val="nil"/>
              <w:bottom w:val="nil"/>
              <w:right w:val="nil"/>
            </w:tcBorders>
            <w:noWrap/>
            <w:vAlign w:val="center"/>
            <w:hideMark/>
          </w:tcPr>
          <w:p w14:paraId="718A8FAD" w14:textId="77777777" w:rsidR="00205CBC" w:rsidRDefault="00000000">
            <w:r>
              <w:rPr>
                <w:color w:val="1F4E9E"/>
              </w:rPr>
              <w:t>p = .086</w:t>
            </w:r>
          </w:p>
        </w:tc>
        <w:tc>
          <w:tcPr>
            <w:tcW w:w="1124" w:type="dxa"/>
            <w:tcBorders>
              <w:top w:val="nil"/>
              <w:left w:val="nil"/>
              <w:bottom w:val="nil"/>
              <w:right w:val="nil"/>
            </w:tcBorders>
            <w:noWrap/>
            <w:vAlign w:val="center"/>
            <w:hideMark/>
          </w:tcPr>
          <w:p w14:paraId="6BB6D76F" w14:textId="77777777" w:rsidR="00205CBC" w:rsidRDefault="00000000">
            <w:r>
              <w:rPr>
                <w:color w:val="1F4E9E"/>
              </w:rPr>
              <w:t>0.113</w:t>
            </w:r>
          </w:p>
        </w:tc>
      </w:tr>
      <w:tr w:rsidR="006B3BE7" w:rsidRPr="008B5651" w14:paraId="6073A1A7" w14:textId="77777777" w:rsidTr="00947CFC">
        <w:trPr>
          <w:trHeight w:val="113"/>
        </w:trPr>
        <w:tc>
          <w:tcPr>
            <w:tcW w:w="1289" w:type="dxa"/>
            <w:vMerge/>
            <w:tcBorders>
              <w:top w:val="single" w:sz="8" w:space="0" w:color="auto"/>
              <w:left w:val="nil"/>
              <w:bottom w:val="nil"/>
              <w:right w:val="nil"/>
            </w:tcBorders>
            <w:vAlign w:val="center"/>
            <w:hideMark/>
          </w:tcPr>
          <w:p w14:paraId="0DB09FD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BF11C6D" w14:textId="77777777" w:rsidR="006B3BE7" w:rsidRPr="00F075B9" w:rsidRDefault="006B3BE7" w:rsidP="00947CFC">
            <w:pPr>
              <w:spacing w:after="0" w:line="240" w:lineRule="auto"/>
              <w:jc w:val="center"/>
              <w:rPr>
                <w:rFonts w:eastAsia="Times New Roman"/>
                <w:color w:val="000000"/>
                <w:sz w:val="18"/>
                <w:szCs w:val="18"/>
              </w:rPr>
            </w:pPr>
            <w:r>
              <w:t>time, quadratic</w:t>
            </w:r>
          </w:p>
        </w:tc>
        <w:tc>
          <w:tcPr>
            <w:tcW w:w="402" w:type="dxa"/>
            <w:tcBorders>
              <w:top w:val="nil"/>
              <w:left w:val="nil"/>
              <w:bottom w:val="nil"/>
              <w:right w:val="nil"/>
            </w:tcBorders>
            <w:noWrap/>
            <w:vAlign w:val="center"/>
            <w:hideMark/>
          </w:tcPr>
          <w:p w14:paraId="7BDC5E35" w14:textId="77777777" w:rsidR="006B3BE7" w:rsidRPr="00F075B9" w:rsidRDefault="006B3BE7" w:rsidP="00947CFC">
            <w:pPr>
              <w:spacing w:after="0" w:line="240" w:lineRule="auto"/>
              <w:jc w:val="center"/>
              <w:rPr>
                <w:rFonts w:eastAsia="Times New Roman"/>
                <w:color w:val="000000"/>
                <w:sz w:val="18"/>
                <w:szCs w:val="18"/>
              </w:rPr>
            </w:pPr>
            <w:r/>
          </w:p>
        </w:tc>
        <w:tc>
          <w:tcPr>
            <w:tcW w:w="713" w:type="dxa"/>
            <w:tcBorders>
              <w:top w:val="nil"/>
              <w:left w:val="nil"/>
              <w:bottom w:val="nil"/>
              <w:right w:val="nil"/>
            </w:tcBorders>
            <w:noWrap/>
            <w:vAlign w:val="center"/>
            <w:hideMark/>
          </w:tcPr>
          <w:p w14:paraId="50170493" w14:textId="77777777" w:rsidR="00205CBC" w:rsidRDefault="00000000">
            <w:r>
              <w:rPr>
                <w:color w:val="1F4E9E"/>
              </w:rPr>
              <w:t>1</w:t>
            </w:r>
          </w:p>
        </w:tc>
        <w:tc>
          <w:tcPr>
            <w:tcW w:w="1076" w:type="dxa"/>
            <w:tcBorders>
              <w:top w:val="nil"/>
              <w:left w:val="nil"/>
              <w:bottom w:val="nil"/>
              <w:right w:val="nil"/>
            </w:tcBorders>
            <w:noWrap/>
            <w:vAlign w:val="center"/>
            <w:hideMark/>
          </w:tcPr>
          <w:p w14:paraId="1E1755D8" w14:textId="77777777" w:rsidR="00205CBC" w:rsidRDefault="00000000">
            <w:r>
              <w:rPr>
                <w:color w:val="1F4E9E"/>
              </w:rPr>
              <w:t>21</w:t>
            </w:r>
          </w:p>
        </w:tc>
        <w:tc>
          <w:tcPr>
            <w:tcW w:w="961" w:type="dxa"/>
            <w:tcBorders>
              <w:top w:val="nil"/>
              <w:left w:val="nil"/>
              <w:bottom w:val="nil"/>
              <w:right w:val="nil"/>
            </w:tcBorders>
            <w:noWrap/>
            <w:vAlign w:val="center"/>
            <w:hideMark/>
          </w:tcPr>
          <w:p w14:paraId="0044FC2A" w14:textId="77777777" w:rsidR="00205CBC" w:rsidRDefault="00000000">
            <w:r>
              <w:t>3.290</w:t>
            </w:r>
          </w:p>
        </w:tc>
        <w:tc>
          <w:tcPr>
            <w:tcW w:w="1182" w:type="dxa"/>
            <w:tcBorders>
              <w:top w:val="nil"/>
              <w:left w:val="nil"/>
              <w:bottom w:val="nil"/>
              <w:right w:val="nil"/>
            </w:tcBorders>
            <w:noWrap/>
            <w:vAlign w:val="center"/>
            <w:hideMark/>
          </w:tcPr>
          <w:p w14:paraId="718A8FAD" w14:textId="77777777" w:rsidR="00205CBC" w:rsidRDefault="00000000">
            <w:r>
              <w:t>p = .084</w:t>
            </w:r>
          </w:p>
        </w:tc>
        <w:tc>
          <w:tcPr>
            <w:tcW w:w="1124" w:type="dxa"/>
            <w:tcBorders>
              <w:top w:val="nil"/>
              <w:left w:val="nil"/>
              <w:bottom w:val="nil"/>
              <w:right w:val="nil"/>
            </w:tcBorders>
            <w:noWrap/>
            <w:vAlign w:val="center"/>
            <w:hideMark/>
          </w:tcPr>
          <w:p w14:paraId="6BB6D76F" w14:textId="77777777" w:rsidR="00205CBC" w:rsidRDefault="00000000">
            <w:r>
              <w:t>0.135</w:t>
            </w:r>
          </w:p>
        </w:tc>
      </w:tr>
      <w:tr w:rsidR="006B3BE7" w:rsidRPr="008B5651" w14:paraId="6073A1A7" w14:textId="77777777" w:rsidTr="00947CFC">
        <w:trPr>
          <w:trHeight w:val="113"/>
        </w:trPr>
        <w:tc>
          <w:tcPr>
            <w:tcW w:w="1289" w:type="dxa"/>
            <w:vMerge/>
            <w:tcBorders>
              <w:top w:val="single" w:sz="8" w:space="0" w:color="auto"/>
              <w:left w:val="nil"/>
              <w:bottom w:val="nil"/>
              <w:right w:val="nil"/>
            </w:tcBorders>
            <w:vAlign w:val="center"/>
            <w:hideMark/>
          </w:tcPr>
          <w:p w14:paraId="0DB09FD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BF11C6D" w14:textId="77777777" w:rsidR="006B3BE7" w:rsidRPr="00F075B9" w:rsidRDefault="006B3BE7" w:rsidP="00947CFC">
            <w:pPr>
              <w:spacing w:after="0" w:line="240" w:lineRule="auto"/>
              <w:jc w:val="center"/>
              <w:rPr>
                <w:rFonts w:eastAsia="Times New Roman"/>
                <w:color w:val="000000"/>
                <w:sz w:val="18"/>
                <w:szCs w:val="18"/>
              </w:rPr>
            </w:pPr>
            <w:r>
              <w:t>duration × time, quadratic</w:t>
            </w:r>
          </w:p>
        </w:tc>
        <w:tc>
          <w:tcPr>
            <w:tcW w:w="402" w:type="dxa"/>
            <w:tcBorders>
              <w:top w:val="nil"/>
              <w:left w:val="nil"/>
              <w:bottom w:val="nil"/>
              <w:right w:val="nil"/>
            </w:tcBorders>
            <w:noWrap/>
            <w:vAlign w:val="center"/>
            <w:hideMark/>
          </w:tcPr>
          <w:p w14:paraId="7BDC5E35" w14:textId="77777777" w:rsidR="006B3BE7" w:rsidRPr="00F075B9" w:rsidRDefault="006B3BE7" w:rsidP="00947CFC">
            <w:pPr>
              <w:spacing w:after="0" w:line="240" w:lineRule="auto"/>
              <w:jc w:val="center"/>
              <w:rPr>
                <w:rFonts w:eastAsia="Times New Roman"/>
                <w:color w:val="000000"/>
                <w:sz w:val="18"/>
                <w:szCs w:val="18"/>
              </w:rPr>
            </w:pPr>
            <w:r/>
          </w:p>
        </w:tc>
        <w:tc>
          <w:tcPr>
            <w:tcW w:w="713" w:type="dxa"/>
            <w:tcBorders>
              <w:top w:val="nil"/>
              <w:left w:val="nil"/>
              <w:bottom w:val="nil"/>
              <w:right w:val="nil"/>
            </w:tcBorders>
            <w:noWrap/>
            <w:vAlign w:val="center"/>
            <w:hideMark/>
          </w:tcPr>
          <w:p w14:paraId="50170493" w14:textId="77777777" w:rsidR="00205CBC" w:rsidRDefault="00000000">
            <w:r>
              <w:rPr>
                <w:color w:val="1F4E9E"/>
              </w:rPr>
              <w:t>1</w:t>
            </w:r>
          </w:p>
        </w:tc>
        <w:tc>
          <w:tcPr>
            <w:tcW w:w="1076" w:type="dxa"/>
            <w:tcBorders>
              <w:top w:val="nil"/>
              <w:left w:val="nil"/>
              <w:bottom w:val="nil"/>
              <w:right w:val="nil"/>
            </w:tcBorders>
            <w:noWrap/>
            <w:vAlign w:val="center"/>
            <w:hideMark/>
          </w:tcPr>
          <w:p w14:paraId="1E1755D8" w14:textId="77777777" w:rsidR="00205CBC" w:rsidRDefault="00000000">
            <w:r>
              <w:rPr>
                <w:color w:val="1F4E9E"/>
              </w:rPr>
              <w:t>21</w:t>
            </w:r>
          </w:p>
        </w:tc>
        <w:tc>
          <w:tcPr>
            <w:tcW w:w="961" w:type="dxa"/>
            <w:tcBorders>
              <w:top w:val="nil"/>
              <w:left w:val="nil"/>
              <w:bottom w:val="nil"/>
              <w:right w:val="nil"/>
            </w:tcBorders>
            <w:noWrap/>
            <w:vAlign w:val="center"/>
            <w:hideMark/>
          </w:tcPr>
          <w:p w14:paraId="0044FC2A" w14:textId="77777777" w:rsidR="00205CBC" w:rsidRDefault="00000000">
            <w:r>
              <w:t>3.741</w:t>
            </w:r>
          </w:p>
        </w:tc>
        <w:tc>
          <w:tcPr>
            <w:tcW w:w="1182" w:type="dxa"/>
            <w:tcBorders>
              <w:top w:val="nil"/>
              <w:left w:val="nil"/>
              <w:bottom w:val="nil"/>
              <w:right w:val="nil"/>
            </w:tcBorders>
            <w:noWrap/>
            <w:vAlign w:val="center"/>
            <w:hideMark/>
          </w:tcPr>
          <w:p w14:paraId="718A8FAD" w14:textId="77777777" w:rsidR="00205CBC" w:rsidRDefault="00000000">
            <w:r>
              <w:t>p = .067</w:t>
            </w:r>
          </w:p>
        </w:tc>
        <w:tc>
          <w:tcPr>
            <w:tcW w:w="1124" w:type="dxa"/>
            <w:tcBorders>
              <w:top w:val="nil"/>
              <w:left w:val="nil"/>
              <w:bottom w:val="nil"/>
              <w:right w:val="nil"/>
            </w:tcBorders>
            <w:noWrap/>
            <w:vAlign w:val="center"/>
            <w:hideMark/>
          </w:tcPr>
          <w:p w14:paraId="6BB6D76F" w14:textId="77777777" w:rsidR="00205CBC" w:rsidRDefault="00000000">
            <w:r>
              <w:t>0.151</w:t>
            </w:r>
          </w:p>
        </w:tc>
      </w:tr>
      <w:tr w:rsidR="006B3BE7" w:rsidRPr="008B5651" w14:paraId="6073A1A7" w14:textId="77777777" w:rsidTr="00947CFC">
        <w:trPr>
          <w:trHeight w:val="113"/>
        </w:trPr>
        <w:tc>
          <w:tcPr>
            <w:tcW w:w="1289" w:type="dxa"/>
            <w:vMerge/>
            <w:tcBorders>
              <w:top w:val="single" w:sz="8" w:space="0" w:color="auto"/>
              <w:left w:val="nil"/>
              <w:bottom w:val="nil"/>
              <w:right w:val="nil"/>
            </w:tcBorders>
            <w:vAlign w:val="center"/>
            <w:hideMark/>
          </w:tcPr>
          <w:p w14:paraId="0DB09FD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BF11C6D" w14:textId="77777777" w:rsidR="006B3BE7" w:rsidRPr="00F075B9" w:rsidRDefault="006B3BE7" w:rsidP="00947CFC">
            <w:pPr>
              <w:spacing w:after="0" w:line="240" w:lineRule="auto"/>
              <w:jc w:val="center"/>
              <w:rPr>
                <w:rFonts w:eastAsia="Times New Roman"/>
                <w:color w:val="000000"/>
                <w:sz w:val="18"/>
                <w:szCs w:val="18"/>
              </w:rPr>
            </w:pPr>
            <w:r>
              <w:t>coherence × time, quadratic</w:t>
            </w:r>
          </w:p>
        </w:tc>
        <w:tc>
          <w:tcPr>
            <w:tcW w:w="402" w:type="dxa"/>
            <w:tcBorders>
              <w:top w:val="nil"/>
              <w:left w:val="nil"/>
              <w:bottom w:val="nil"/>
              <w:right w:val="nil"/>
            </w:tcBorders>
            <w:noWrap/>
            <w:vAlign w:val="center"/>
            <w:hideMark/>
          </w:tcPr>
          <w:p w14:paraId="7BDC5E35" w14:textId="77777777" w:rsidR="006B3BE7" w:rsidRPr="00F075B9" w:rsidRDefault="006B3BE7" w:rsidP="00947CFC">
            <w:pPr>
              <w:spacing w:after="0" w:line="240" w:lineRule="auto"/>
              <w:jc w:val="center"/>
              <w:rPr>
                <w:rFonts w:eastAsia="Times New Roman"/>
                <w:color w:val="000000"/>
                <w:sz w:val="18"/>
                <w:szCs w:val="18"/>
              </w:rPr>
            </w:pPr>
            <w:r/>
          </w:p>
        </w:tc>
        <w:tc>
          <w:tcPr>
            <w:tcW w:w="713" w:type="dxa"/>
            <w:tcBorders>
              <w:top w:val="nil"/>
              <w:left w:val="nil"/>
              <w:bottom w:val="nil"/>
              <w:right w:val="nil"/>
            </w:tcBorders>
            <w:noWrap/>
            <w:vAlign w:val="center"/>
            <w:hideMark/>
          </w:tcPr>
          <w:p w14:paraId="50170493" w14:textId="77777777" w:rsidR="00205CBC" w:rsidRDefault="00000000">
            <w:r>
              <w:t>1.96</w:t>
            </w:r>
          </w:p>
        </w:tc>
        <w:tc>
          <w:tcPr>
            <w:tcW w:w="1076" w:type="dxa"/>
            <w:tcBorders>
              <w:top w:val="nil"/>
              <w:left w:val="nil"/>
              <w:bottom w:val="nil"/>
              <w:right w:val="nil"/>
            </w:tcBorders>
            <w:noWrap/>
            <w:vAlign w:val="center"/>
            <w:hideMark/>
          </w:tcPr>
          <w:p w14:paraId="1E1755D8" w14:textId="77777777" w:rsidR="00205CBC" w:rsidRDefault="00000000">
            <w:r>
              <w:t>41.11</w:t>
            </w:r>
          </w:p>
        </w:tc>
        <w:tc>
          <w:tcPr>
            <w:tcW w:w="961" w:type="dxa"/>
            <w:tcBorders>
              <w:top w:val="nil"/>
              <w:left w:val="nil"/>
              <w:bottom w:val="nil"/>
              <w:right w:val="nil"/>
            </w:tcBorders>
            <w:noWrap/>
            <w:vAlign w:val="center"/>
            <w:hideMark/>
          </w:tcPr>
          <w:p w14:paraId="0044FC2A" w14:textId="77777777" w:rsidR="00205CBC" w:rsidRDefault="00000000">
            <w:r>
              <w:t>3.147</w:t>
            </w:r>
          </w:p>
        </w:tc>
        <w:tc>
          <w:tcPr>
            <w:tcW w:w="1182" w:type="dxa"/>
            <w:tcBorders>
              <w:top w:val="nil"/>
              <w:left w:val="nil"/>
              <w:bottom w:val="nil"/>
              <w:right w:val="nil"/>
            </w:tcBorders>
            <w:noWrap/>
            <w:vAlign w:val="center"/>
            <w:hideMark/>
          </w:tcPr>
          <w:p w14:paraId="718A8FAD" w14:textId="77777777" w:rsidR="00205CBC" w:rsidRDefault="00000000">
            <w:r>
              <w:t>p = .054</w:t>
            </w:r>
          </w:p>
        </w:tc>
        <w:tc>
          <w:tcPr>
            <w:tcW w:w="1124" w:type="dxa"/>
            <w:tcBorders>
              <w:top w:val="nil"/>
              <w:left w:val="nil"/>
              <w:bottom w:val="nil"/>
              <w:right w:val="nil"/>
            </w:tcBorders>
            <w:noWrap/>
            <w:vAlign w:val="center"/>
            <w:hideMark/>
          </w:tcPr>
          <w:p w14:paraId="6BB6D76F" w14:textId="77777777" w:rsidR="00205CBC" w:rsidRDefault="00000000">
            <w:r>
              <w:t>0.130</w:t>
            </w:r>
          </w:p>
        </w:tc>
      </w:tr>
      <w:tr w:rsidR="006B3BE7" w:rsidRPr="008B5651" w14:paraId="6073A1A7" w14:textId="77777777" w:rsidTr="00947CFC">
        <w:trPr>
          <w:trHeight w:val="113"/>
        </w:trPr>
        <w:tc>
          <w:tcPr>
            <w:tcW w:w="1289" w:type="dxa"/>
            <w:vMerge/>
            <w:tcBorders>
              <w:top w:val="single" w:sz="8" w:space="0" w:color="auto"/>
              <w:left w:val="nil"/>
              <w:bottom w:val="nil"/>
              <w:right w:val="nil"/>
            </w:tcBorders>
            <w:vAlign w:val="center"/>
            <w:hideMark/>
          </w:tcPr>
          <w:p w14:paraId="0DB09FD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BF11C6D" w14:textId="77777777" w:rsidR="006B3BE7" w:rsidRPr="00F075B9" w:rsidRDefault="006B3BE7" w:rsidP="00947CFC">
            <w:pPr>
              <w:spacing w:after="0" w:line="240" w:lineRule="auto"/>
              <w:jc w:val="center"/>
              <w:rPr>
                <w:rFonts w:eastAsia="Times New Roman"/>
                <w:color w:val="000000"/>
                <w:sz w:val="18"/>
                <w:szCs w:val="18"/>
              </w:rPr>
            </w:pPr>
            <w:r>
              <w:t>duration × coherence × time, quadratic</w:t>
            </w:r>
          </w:p>
        </w:tc>
        <w:tc>
          <w:tcPr>
            <w:tcW w:w="402" w:type="dxa"/>
            <w:tcBorders>
              <w:top w:val="nil"/>
              <w:left w:val="nil"/>
              <w:bottom w:val="nil"/>
              <w:right w:val="nil"/>
            </w:tcBorders>
            <w:noWrap/>
            <w:vAlign w:val="center"/>
            <w:hideMark/>
          </w:tcPr>
          <w:p w14:paraId="7BDC5E35" w14:textId="77777777" w:rsidR="006B3BE7" w:rsidRPr="00F075B9" w:rsidRDefault="006B3BE7" w:rsidP="00947CFC">
            <w:pPr>
              <w:spacing w:after="0" w:line="240" w:lineRule="auto"/>
              <w:jc w:val="center"/>
              <w:rPr>
                <w:rFonts w:eastAsia="Times New Roman"/>
                <w:color w:val="000000"/>
                <w:sz w:val="18"/>
                <w:szCs w:val="18"/>
              </w:rPr>
            </w:pPr>
            <w:r/>
          </w:p>
        </w:tc>
        <w:tc>
          <w:tcPr>
            <w:tcW w:w="713" w:type="dxa"/>
            <w:tcBorders>
              <w:top w:val="nil"/>
              <w:left w:val="nil"/>
              <w:bottom w:val="nil"/>
              <w:right w:val="nil"/>
            </w:tcBorders>
            <w:noWrap/>
            <w:vAlign w:val="center"/>
            <w:hideMark/>
          </w:tcPr>
          <w:p w14:paraId="50170493" w14:textId="77777777" w:rsidR="00205CBC" w:rsidRDefault="00000000">
            <w:r>
              <w:t>1.29</w:t>
            </w:r>
          </w:p>
        </w:tc>
        <w:tc>
          <w:tcPr>
            <w:tcW w:w="1076" w:type="dxa"/>
            <w:tcBorders>
              <w:top w:val="nil"/>
              <w:left w:val="nil"/>
              <w:bottom w:val="nil"/>
              <w:right w:val="nil"/>
            </w:tcBorders>
            <w:noWrap/>
            <w:vAlign w:val="center"/>
            <w:hideMark/>
          </w:tcPr>
          <w:p w14:paraId="1E1755D8" w14:textId="77777777" w:rsidR="00205CBC" w:rsidRDefault="00000000">
            <w:r>
              <w:t>27.01</w:t>
            </w:r>
          </w:p>
        </w:tc>
        <w:tc>
          <w:tcPr>
            <w:tcW w:w="961" w:type="dxa"/>
            <w:tcBorders>
              <w:top w:val="nil"/>
              <w:left w:val="nil"/>
              <w:bottom w:val="nil"/>
              <w:right w:val="nil"/>
            </w:tcBorders>
            <w:noWrap/>
            <w:vAlign w:val="center"/>
            <w:hideMark/>
          </w:tcPr>
          <w:p w14:paraId="0044FC2A" w14:textId="77777777" w:rsidR="00205CBC" w:rsidRDefault="00000000">
            <w:r>
              <w:t>0.565</w:t>
            </w:r>
          </w:p>
        </w:tc>
        <w:tc>
          <w:tcPr>
            <w:tcW w:w="1182" w:type="dxa"/>
            <w:tcBorders>
              <w:top w:val="nil"/>
              <w:left w:val="nil"/>
              <w:bottom w:val="nil"/>
              <w:right w:val="nil"/>
            </w:tcBorders>
            <w:noWrap/>
            <w:vAlign w:val="center"/>
            <w:hideMark/>
          </w:tcPr>
          <w:p w14:paraId="718A8FAD" w14:textId="77777777" w:rsidR="00205CBC" w:rsidRDefault="00000000">
            <w:r>
              <w:t>p = .501</w:t>
            </w:r>
          </w:p>
        </w:tc>
        <w:tc>
          <w:tcPr>
            <w:tcW w:w="1124" w:type="dxa"/>
            <w:tcBorders>
              <w:top w:val="nil"/>
              <w:left w:val="nil"/>
              <w:bottom w:val="nil"/>
              <w:right w:val="nil"/>
            </w:tcBorders>
            <w:noWrap/>
            <w:vAlign w:val="center"/>
            <w:hideMark/>
          </w:tcPr>
          <w:p w14:paraId="6BB6D76F" w14:textId="77777777" w:rsidR="00205CBC" w:rsidRDefault="00000000">
            <w:r>
              <w:t>0.026</w:t>
            </w:r>
          </w:p>
        </w:tc>
      </w:tr>
      <w:tr w:rsidR="006B3BE7" w:rsidRPr="008B5651" w14:paraId="587B1CBE" w14:textId="77777777" w:rsidTr="00947CFC">
        <w:trPr>
          <w:trHeight w:val="113"/>
        </w:trPr>
        <w:tc>
          <w:tcPr>
            <w:tcW w:w="1289" w:type="dxa"/>
            <w:tcBorders>
              <w:top w:val="nil"/>
              <w:left w:val="nil"/>
              <w:bottom w:val="nil"/>
              <w:right w:val="nil"/>
            </w:tcBorders>
            <w:noWrap/>
            <w:vAlign w:val="bottom"/>
            <w:hideMark/>
          </w:tcPr>
          <w:p w14:paraId="4F0D65E6" w14:textId="77777777" w:rsidR="006B3BE7" w:rsidRPr="00F075B9" w:rsidRDefault="006B3BE7" w:rsidP="00947CFC">
            <w:pPr>
              <w:spacing w:after="0" w:line="240" w:lineRule="auto"/>
              <w:rPr>
                <w:rFonts w:eastAsia="Times New Roman"/>
                <w:sz w:val="22"/>
                <w:szCs w:val="20"/>
              </w:rPr>
            </w:pPr>
          </w:p>
        </w:tc>
        <w:tc>
          <w:tcPr>
            <w:tcW w:w="2280" w:type="dxa"/>
            <w:tcBorders>
              <w:top w:val="nil"/>
              <w:left w:val="nil"/>
              <w:bottom w:val="nil"/>
              <w:right w:val="nil"/>
            </w:tcBorders>
            <w:vAlign w:val="bottom"/>
            <w:hideMark/>
          </w:tcPr>
          <w:p w14:paraId="500B076A" w14:textId="77777777" w:rsidR="006B3BE7" w:rsidRPr="00F075B9" w:rsidRDefault="006B3BE7" w:rsidP="00947CFC">
            <w:pPr>
              <w:spacing w:after="0" w:line="240" w:lineRule="auto"/>
              <w:jc w:val="center"/>
              <w:rPr>
                <w:rFonts w:eastAsia="Times New Roman"/>
                <w:sz w:val="20"/>
                <w:szCs w:val="20"/>
              </w:rPr>
            </w:pPr>
          </w:p>
        </w:tc>
        <w:tc>
          <w:tcPr>
            <w:tcW w:w="402" w:type="dxa"/>
            <w:tcBorders>
              <w:top w:val="nil"/>
              <w:left w:val="nil"/>
              <w:bottom w:val="nil"/>
              <w:right w:val="nil"/>
            </w:tcBorders>
            <w:noWrap/>
            <w:vAlign w:val="bottom"/>
            <w:hideMark/>
          </w:tcPr>
          <w:p w14:paraId="522845B3" w14:textId="77777777" w:rsidR="006B3BE7" w:rsidRPr="00F075B9" w:rsidRDefault="006B3BE7" w:rsidP="00947CFC">
            <w:pPr>
              <w:spacing w:after="0" w:line="240" w:lineRule="auto"/>
              <w:jc w:val="center"/>
              <w:rPr>
                <w:rFonts w:eastAsia="Times New Roman"/>
                <w:sz w:val="20"/>
                <w:szCs w:val="20"/>
              </w:rPr>
            </w:pPr>
          </w:p>
        </w:tc>
        <w:tc>
          <w:tcPr>
            <w:tcW w:w="713" w:type="dxa"/>
            <w:tcBorders>
              <w:top w:val="nil"/>
              <w:left w:val="nil"/>
              <w:bottom w:val="nil"/>
              <w:right w:val="nil"/>
            </w:tcBorders>
            <w:noWrap/>
            <w:vAlign w:val="bottom"/>
            <w:hideMark/>
          </w:tcPr>
          <w:p w14:paraId="6E06B5D9" w14:textId="77777777" w:rsidR="006B3BE7" w:rsidRPr="00F075B9" w:rsidRDefault="006B3BE7" w:rsidP="00947CFC">
            <w:pPr>
              <w:spacing w:after="0" w:line="240" w:lineRule="auto"/>
              <w:jc w:val="center"/>
              <w:rPr>
                <w:rFonts w:eastAsia="Times New Roman"/>
                <w:sz w:val="18"/>
                <w:szCs w:val="18"/>
              </w:rPr>
            </w:pPr>
          </w:p>
        </w:tc>
        <w:tc>
          <w:tcPr>
            <w:tcW w:w="1076" w:type="dxa"/>
            <w:tcBorders>
              <w:top w:val="nil"/>
              <w:left w:val="nil"/>
              <w:bottom w:val="nil"/>
              <w:right w:val="nil"/>
            </w:tcBorders>
            <w:noWrap/>
            <w:vAlign w:val="bottom"/>
            <w:hideMark/>
          </w:tcPr>
          <w:p w14:paraId="127B2D29" w14:textId="77777777" w:rsidR="006B3BE7" w:rsidRPr="00F075B9" w:rsidRDefault="006B3BE7" w:rsidP="00947CFC">
            <w:pPr>
              <w:spacing w:after="0" w:line="240" w:lineRule="auto"/>
              <w:jc w:val="center"/>
              <w:rPr>
                <w:rFonts w:eastAsia="Times New Roman"/>
                <w:sz w:val="18"/>
                <w:szCs w:val="18"/>
              </w:rPr>
            </w:pPr>
          </w:p>
        </w:tc>
        <w:tc>
          <w:tcPr>
            <w:tcW w:w="961" w:type="dxa"/>
            <w:tcBorders>
              <w:top w:val="nil"/>
              <w:left w:val="nil"/>
              <w:bottom w:val="nil"/>
              <w:right w:val="nil"/>
            </w:tcBorders>
            <w:noWrap/>
            <w:vAlign w:val="bottom"/>
            <w:hideMark/>
          </w:tcPr>
          <w:p w14:paraId="1A8043F5" w14:textId="77777777" w:rsidR="006B3BE7" w:rsidRPr="00F075B9" w:rsidRDefault="006B3BE7" w:rsidP="00947CFC">
            <w:pPr>
              <w:spacing w:after="0" w:line="240" w:lineRule="auto"/>
              <w:jc w:val="center"/>
              <w:rPr>
                <w:rFonts w:eastAsia="Times New Roman"/>
                <w:sz w:val="18"/>
                <w:szCs w:val="18"/>
              </w:rPr>
            </w:pPr>
          </w:p>
        </w:tc>
        <w:tc>
          <w:tcPr>
            <w:tcW w:w="1182" w:type="dxa"/>
            <w:tcBorders>
              <w:top w:val="nil"/>
              <w:left w:val="nil"/>
              <w:bottom w:val="nil"/>
              <w:right w:val="nil"/>
            </w:tcBorders>
            <w:noWrap/>
            <w:vAlign w:val="bottom"/>
            <w:hideMark/>
          </w:tcPr>
          <w:p w14:paraId="45BBBB1C" w14:textId="77777777" w:rsidR="006B3BE7" w:rsidRPr="00F075B9" w:rsidRDefault="006B3BE7" w:rsidP="00947CFC">
            <w:pPr>
              <w:spacing w:after="0" w:line="240" w:lineRule="auto"/>
              <w:jc w:val="center"/>
              <w:rPr>
                <w:rFonts w:eastAsia="Times New Roman"/>
                <w:sz w:val="18"/>
                <w:szCs w:val="18"/>
              </w:rPr>
            </w:pPr>
          </w:p>
        </w:tc>
        <w:tc>
          <w:tcPr>
            <w:tcW w:w="1124" w:type="dxa"/>
            <w:tcBorders>
              <w:top w:val="nil"/>
              <w:left w:val="nil"/>
              <w:bottom w:val="nil"/>
              <w:right w:val="nil"/>
            </w:tcBorders>
            <w:noWrap/>
            <w:vAlign w:val="bottom"/>
            <w:hideMark/>
          </w:tcPr>
          <w:p w14:paraId="4E060859" w14:textId="77777777" w:rsidR="006B3BE7" w:rsidRPr="00F075B9" w:rsidRDefault="006B3BE7" w:rsidP="00947CFC">
            <w:pPr>
              <w:spacing w:after="0" w:line="240" w:lineRule="auto"/>
              <w:jc w:val="center"/>
              <w:rPr>
                <w:rFonts w:eastAsia="Times New Roman"/>
                <w:sz w:val="18"/>
                <w:szCs w:val="18"/>
              </w:rPr>
            </w:pPr>
          </w:p>
        </w:tc>
      </w:tr>
      <w:tr w:rsidR="006B3BE7" w:rsidRPr="008B5651" w14:paraId="351A8239" w14:textId="77777777" w:rsidTr="00947CFC">
        <w:trPr>
          <w:trHeight w:val="113"/>
        </w:trPr>
        <w:tc>
          <w:tcPr>
            <w:tcW w:w="1289" w:type="dxa"/>
            <w:vMerge w:val="restart"/>
            <w:tcBorders>
              <w:top w:val="single" w:sz="8" w:space="0" w:color="auto"/>
              <w:left w:val="nil"/>
              <w:bottom w:val="nil"/>
              <w:right w:val="nil"/>
            </w:tcBorders>
            <w:noWrap/>
            <w:vAlign w:val="center"/>
            <w:hideMark/>
          </w:tcPr>
          <w:p w14:paraId="060A79C5" w14:textId="77777777" w:rsidR="006B3BE7" w:rsidRPr="00F075B9" w:rsidRDefault="006B3BE7" w:rsidP="00947CFC">
            <w:pPr>
              <w:spacing w:after="0" w:line="240" w:lineRule="auto"/>
              <w:jc w:val="center"/>
              <w:rPr>
                <w:rFonts w:eastAsia="Times New Roman"/>
                <w:bCs/>
                <w:color w:val="000000"/>
                <w:sz w:val="22"/>
                <w:szCs w:val="18"/>
              </w:rPr>
            </w:pPr>
            <w:r w:rsidRPr="00F075B9">
              <w:rPr>
                <w:rFonts w:eastAsia="Times New Roman"/>
                <w:bCs/>
                <w:color w:val="000000"/>
                <w:sz w:val="22"/>
                <w:szCs w:val="18"/>
              </w:rPr>
              <w:t>R</w:t>
            </w:r>
            <w:r w:rsidR="008A3869" w:rsidRPr="00F075B9">
              <w:rPr>
                <w:rFonts w:eastAsia="Times New Roman"/>
                <w:bCs/>
                <w:sz w:val="22"/>
                <w:szCs w:val="18"/>
              </w:rPr>
              <w:t>esponse signal</w:t>
            </w:r>
          </w:p>
        </w:tc>
        <w:tc>
          <w:tcPr>
            <w:tcW w:w="2280" w:type="dxa"/>
            <w:tcBorders>
              <w:top w:val="single" w:sz="8" w:space="0" w:color="auto"/>
              <w:left w:val="nil"/>
              <w:bottom w:val="nil"/>
              <w:right w:val="nil"/>
            </w:tcBorders>
            <w:vAlign w:val="center"/>
            <w:hideMark/>
          </w:tcPr>
          <w:p w14:paraId="5AEE3EC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w:t>
            </w:r>
          </w:p>
        </w:tc>
        <w:tc>
          <w:tcPr>
            <w:tcW w:w="402" w:type="dxa"/>
            <w:tcBorders>
              <w:top w:val="single" w:sz="8" w:space="0" w:color="auto"/>
              <w:left w:val="nil"/>
              <w:bottom w:val="nil"/>
              <w:right w:val="nil"/>
            </w:tcBorders>
            <w:noWrap/>
            <w:vAlign w:val="center"/>
            <w:hideMark/>
          </w:tcPr>
          <w:p w14:paraId="00EA30D5"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single" w:sz="8" w:space="0" w:color="auto"/>
              <w:left w:val="nil"/>
              <w:bottom w:val="nil"/>
              <w:right w:val="nil"/>
            </w:tcBorders>
            <w:noWrap/>
            <w:vAlign w:val="center"/>
            <w:hideMark/>
          </w:tcPr>
          <w:p w14:paraId="3360102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single" w:sz="8" w:space="0" w:color="auto"/>
              <w:left w:val="nil"/>
              <w:bottom w:val="nil"/>
              <w:right w:val="nil"/>
            </w:tcBorders>
            <w:noWrap/>
            <w:vAlign w:val="center"/>
            <w:hideMark/>
          </w:tcPr>
          <w:p w14:paraId="0757970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single" w:sz="8" w:space="0" w:color="auto"/>
              <w:left w:val="nil"/>
              <w:bottom w:val="nil"/>
              <w:right w:val="nil"/>
            </w:tcBorders>
            <w:noWrap/>
            <w:vAlign w:val="center"/>
            <w:hideMark/>
          </w:tcPr>
          <w:p w14:paraId="4649F97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3.039</w:t>
            </w:r>
          </w:p>
        </w:tc>
        <w:tc>
          <w:tcPr>
            <w:tcW w:w="1182" w:type="dxa"/>
            <w:tcBorders>
              <w:top w:val="single" w:sz="8" w:space="0" w:color="auto"/>
              <w:left w:val="nil"/>
              <w:bottom w:val="nil"/>
              <w:right w:val="nil"/>
            </w:tcBorders>
            <w:noWrap/>
            <w:vAlign w:val="center"/>
            <w:hideMark/>
          </w:tcPr>
          <w:p w14:paraId="1EF42D7A"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iCs/>
                <w:sz w:val="18"/>
                <w:szCs w:val="18"/>
              </w:rPr>
              <w:t>.096</w:t>
            </w:r>
          </w:p>
        </w:tc>
        <w:tc>
          <w:tcPr>
            <w:tcW w:w="1124" w:type="dxa"/>
            <w:tcBorders>
              <w:top w:val="single" w:sz="8" w:space="0" w:color="auto"/>
              <w:left w:val="nil"/>
              <w:bottom w:val="nil"/>
              <w:right w:val="nil"/>
            </w:tcBorders>
            <w:noWrap/>
            <w:vAlign w:val="center"/>
            <w:hideMark/>
          </w:tcPr>
          <w:p w14:paraId="18815805" w14:textId="77777777" w:rsidR="006B3BE7" w:rsidRPr="00F075B9" w:rsidRDefault="00C342B2" w:rsidP="00947CFC">
            <w:pPr>
              <w:spacing w:after="0" w:line="240" w:lineRule="auto"/>
              <w:jc w:val="center"/>
              <w:rPr>
                <w:rFonts w:eastAsia="Times New Roman"/>
                <w:color w:val="000000"/>
                <w:sz w:val="18"/>
                <w:szCs w:val="18"/>
              </w:rPr>
            </w:pPr>
            <w:r w:rsidRPr="00F075B9">
              <w:rPr>
                <w:rFonts w:eastAsia="Times New Roman"/>
                <w:sz w:val="18"/>
                <w:szCs w:val="18"/>
              </w:rPr>
              <w:t>–</w:t>
            </w:r>
          </w:p>
        </w:tc>
      </w:tr>
      <w:tr w:rsidR="006B3BE7" w:rsidRPr="008B5651" w14:paraId="5E35F388" w14:textId="77777777" w:rsidTr="00947CFC">
        <w:trPr>
          <w:trHeight w:val="113"/>
        </w:trPr>
        <w:tc>
          <w:tcPr>
            <w:tcW w:w="1289" w:type="dxa"/>
            <w:vMerge/>
            <w:tcBorders>
              <w:top w:val="single" w:sz="8" w:space="0" w:color="auto"/>
              <w:left w:val="nil"/>
              <w:bottom w:val="nil"/>
              <w:right w:val="nil"/>
            </w:tcBorders>
            <w:vAlign w:val="center"/>
            <w:hideMark/>
          </w:tcPr>
          <w:p w14:paraId="55028658"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5CE8BC4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coherence</w:t>
            </w:r>
          </w:p>
        </w:tc>
        <w:tc>
          <w:tcPr>
            <w:tcW w:w="402" w:type="dxa"/>
            <w:tcBorders>
              <w:top w:val="nil"/>
              <w:left w:val="nil"/>
              <w:bottom w:val="nil"/>
              <w:right w:val="nil"/>
            </w:tcBorders>
            <w:noWrap/>
            <w:vAlign w:val="bottom"/>
            <w:hideMark/>
          </w:tcPr>
          <w:p w14:paraId="678CCA1C"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1F3282D8"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1.90</w:t>
            </w:r>
          </w:p>
        </w:tc>
        <w:tc>
          <w:tcPr>
            <w:tcW w:w="1076" w:type="dxa"/>
            <w:tcBorders>
              <w:top w:val="nil"/>
              <w:left w:val="nil"/>
              <w:bottom w:val="nil"/>
              <w:right w:val="nil"/>
            </w:tcBorders>
            <w:noWrap/>
            <w:vAlign w:val="center"/>
            <w:hideMark/>
          </w:tcPr>
          <w:p w14:paraId="6FD256C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39.94</w:t>
            </w:r>
          </w:p>
        </w:tc>
        <w:tc>
          <w:tcPr>
            <w:tcW w:w="961" w:type="dxa"/>
            <w:tcBorders>
              <w:top w:val="nil"/>
              <w:left w:val="nil"/>
              <w:bottom w:val="nil"/>
              <w:right w:val="nil"/>
            </w:tcBorders>
            <w:noWrap/>
            <w:vAlign w:val="center"/>
            <w:hideMark/>
          </w:tcPr>
          <w:p w14:paraId="735921D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0.160</w:t>
            </w:r>
          </w:p>
        </w:tc>
        <w:tc>
          <w:tcPr>
            <w:tcW w:w="1182" w:type="dxa"/>
            <w:tcBorders>
              <w:top w:val="nil"/>
              <w:left w:val="nil"/>
              <w:bottom w:val="nil"/>
              <w:right w:val="nil"/>
            </w:tcBorders>
            <w:noWrap/>
            <w:vAlign w:val="center"/>
            <w:hideMark/>
          </w:tcPr>
          <w:p w14:paraId="3D73D21A"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1F4E9E"/>
                <w:sz w:val="18"/>
                <w:szCs w:val="20"/>
              </w:rPr>
              <w:t>p = .843</w:t>
            </w:r>
          </w:p>
        </w:tc>
        <w:tc>
          <w:tcPr>
            <w:tcW w:w="1124" w:type="dxa"/>
            <w:tcBorders>
              <w:top w:val="nil"/>
              <w:left w:val="nil"/>
              <w:bottom w:val="nil"/>
              <w:right w:val="nil"/>
            </w:tcBorders>
            <w:noWrap/>
            <w:vAlign w:val="bottom"/>
            <w:hideMark/>
          </w:tcPr>
          <w:p w14:paraId="1F5014AD"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15A9FCE8" w14:textId="77777777" w:rsidTr="00947CFC">
        <w:trPr>
          <w:trHeight w:val="113"/>
        </w:trPr>
        <w:tc>
          <w:tcPr>
            <w:tcW w:w="1289" w:type="dxa"/>
            <w:vMerge/>
            <w:tcBorders>
              <w:top w:val="single" w:sz="8" w:space="0" w:color="auto"/>
              <w:left w:val="nil"/>
              <w:bottom w:val="nil"/>
              <w:right w:val="nil"/>
            </w:tcBorders>
            <w:vAlign w:val="center"/>
            <w:hideMark/>
          </w:tcPr>
          <w:p w14:paraId="56CC9B92"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027910D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time</w:t>
            </w:r>
          </w:p>
        </w:tc>
        <w:tc>
          <w:tcPr>
            <w:tcW w:w="402" w:type="dxa"/>
            <w:tcBorders>
              <w:top w:val="nil"/>
              <w:left w:val="nil"/>
              <w:bottom w:val="nil"/>
              <w:right w:val="nil"/>
            </w:tcBorders>
            <w:noWrap/>
            <w:vAlign w:val="bottom"/>
            <w:hideMark/>
          </w:tcPr>
          <w:p w14:paraId="79882261"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69BE35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556E6EC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nil"/>
              <w:left w:val="nil"/>
              <w:bottom w:val="nil"/>
              <w:right w:val="nil"/>
            </w:tcBorders>
            <w:noWrap/>
            <w:vAlign w:val="center"/>
            <w:hideMark/>
          </w:tcPr>
          <w:p w14:paraId="089CBC36"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0.05</w:t>
            </w:r>
            <w:r w:rsidR="00541D22" w:rsidRPr="000A420D">
              <w:rPr>
                <w:rFonts w:eastAsia="Times New Roman"/>
                <w:sz w:val="18"/>
                <w:szCs w:val="18"/>
              </w:rPr>
              <w:t>9</w:t>
            </w:r>
          </w:p>
        </w:tc>
        <w:tc>
          <w:tcPr>
            <w:tcW w:w="1182" w:type="dxa"/>
            <w:tcBorders>
              <w:top w:val="nil"/>
              <w:left w:val="nil"/>
              <w:bottom w:val="nil"/>
              <w:right w:val="nil"/>
            </w:tcBorders>
            <w:noWrap/>
            <w:vAlign w:val="center"/>
            <w:hideMark/>
          </w:tcPr>
          <w:p w14:paraId="7FED1704"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iCs/>
                <w:sz w:val="18"/>
                <w:szCs w:val="18"/>
              </w:rPr>
              <w:t>.810</w:t>
            </w:r>
          </w:p>
        </w:tc>
        <w:tc>
          <w:tcPr>
            <w:tcW w:w="1124" w:type="dxa"/>
            <w:tcBorders>
              <w:top w:val="nil"/>
              <w:left w:val="nil"/>
              <w:bottom w:val="nil"/>
              <w:right w:val="nil"/>
            </w:tcBorders>
            <w:noWrap/>
            <w:vAlign w:val="center"/>
            <w:hideMark/>
          </w:tcPr>
          <w:p w14:paraId="4598E585"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339FD48D" w14:textId="77777777" w:rsidTr="00947CFC">
        <w:trPr>
          <w:trHeight w:val="113"/>
        </w:trPr>
        <w:tc>
          <w:tcPr>
            <w:tcW w:w="1289" w:type="dxa"/>
            <w:vMerge/>
            <w:tcBorders>
              <w:top w:val="single" w:sz="8" w:space="0" w:color="auto"/>
              <w:left w:val="nil"/>
              <w:bottom w:val="nil"/>
              <w:right w:val="nil"/>
            </w:tcBorders>
            <w:vAlign w:val="center"/>
            <w:hideMark/>
          </w:tcPr>
          <w:p w14:paraId="3557FEB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0BD463D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coherence</w:t>
            </w:r>
          </w:p>
        </w:tc>
        <w:tc>
          <w:tcPr>
            <w:tcW w:w="402" w:type="dxa"/>
            <w:tcBorders>
              <w:top w:val="nil"/>
              <w:left w:val="nil"/>
              <w:bottom w:val="nil"/>
              <w:right w:val="nil"/>
            </w:tcBorders>
            <w:noWrap/>
            <w:vAlign w:val="bottom"/>
            <w:hideMark/>
          </w:tcPr>
          <w:p w14:paraId="6E060384"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7C1E0C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2.00</w:t>
            </w:r>
          </w:p>
        </w:tc>
        <w:tc>
          <w:tcPr>
            <w:tcW w:w="1076" w:type="dxa"/>
            <w:tcBorders>
              <w:top w:val="nil"/>
              <w:left w:val="nil"/>
              <w:bottom w:val="nil"/>
              <w:right w:val="nil"/>
            </w:tcBorders>
            <w:noWrap/>
            <w:vAlign w:val="center"/>
            <w:hideMark/>
          </w:tcPr>
          <w:p w14:paraId="63DA106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41.96</w:t>
            </w:r>
          </w:p>
        </w:tc>
        <w:tc>
          <w:tcPr>
            <w:tcW w:w="961" w:type="dxa"/>
            <w:tcBorders>
              <w:top w:val="nil"/>
              <w:left w:val="nil"/>
              <w:bottom w:val="nil"/>
              <w:right w:val="nil"/>
            </w:tcBorders>
            <w:noWrap/>
            <w:vAlign w:val="center"/>
            <w:hideMark/>
          </w:tcPr>
          <w:p w14:paraId="3FB544D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1.216</w:t>
            </w:r>
          </w:p>
        </w:tc>
        <w:tc>
          <w:tcPr>
            <w:tcW w:w="1182" w:type="dxa"/>
            <w:tcBorders>
              <w:top w:val="nil"/>
              <w:left w:val="nil"/>
              <w:bottom w:val="nil"/>
              <w:right w:val="nil"/>
            </w:tcBorders>
            <w:noWrap/>
            <w:vAlign w:val="center"/>
            <w:hideMark/>
          </w:tcPr>
          <w:p w14:paraId="281E059B"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iCs/>
                <w:sz w:val="18"/>
                <w:szCs w:val="18"/>
              </w:rPr>
              <w:t>.307</w:t>
            </w:r>
          </w:p>
        </w:tc>
        <w:tc>
          <w:tcPr>
            <w:tcW w:w="1124" w:type="dxa"/>
            <w:tcBorders>
              <w:top w:val="nil"/>
              <w:left w:val="nil"/>
              <w:bottom w:val="nil"/>
              <w:right w:val="nil"/>
            </w:tcBorders>
            <w:noWrap/>
            <w:vAlign w:val="bottom"/>
            <w:hideMark/>
          </w:tcPr>
          <w:p w14:paraId="22C9D291"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04C9FFC6" w14:textId="77777777" w:rsidTr="00947CFC">
        <w:trPr>
          <w:trHeight w:val="113"/>
        </w:trPr>
        <w:tc>
          <w:tcPr>
            <w:tcW w:w="1289" w:type="dxa"/>
            <w:vMerge/>
            <w:tcBorders>
              <w:top w:val="single" w:sz="8" w:space="0" w:color="auto"/>
              <w:left w:val="nil"/>
              <w:bottom w:val="nil"/>
              <w:right w:val="nil"/>
            </w:tcBorders>
            <w:vAlign w:val="center"/>
            <w:hideMark/>
          </w:tcPr>
          <w:p w14:paraId="15A9F0D4"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3388B30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time</w:t>
            </w:r>
          </w:p>
        </w:tc>
        <w:tc>
          <w:tcPr>
            <w:tcW w:w="402" w:type="dxa"/>
            <w:tcBorders>
              <w:top w:val="nil"/>
              <w:left w:val="nil"/>
              <w:bottom w:val="nil"/>
              <w:right w:val="nil"/>
            </w:tcBorders>
            <w:noWrap/>
            <w:vAlign w:val="bottom"/>
            <w:hideMark/>
          </w:tcPr>
          <w:p w14:paraId="1E4A0936"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1950306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345D22A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nil"/>
              <w:left w:val="nil"/>
              <w:bottom w:val="nil"/>
              <w:right w:val="nil"/>
            </w:tcBorders>
            <w:noWrap/>
            <w:vAlign w:val="center"/>
            <w:hideMark/>
          </w:tcPr>
          <w:p w14:paraId="74072E9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1.509</w:t>
            </w:r>
          </w:p>
        </w:tc>
        <w:tc>
          <w:tcPr>
            <w:tcW w:w="1182" w:type="dxa"/>
            <w:tcBorders>
              <w:top w:val="nil"/>
              <w:left w:val="nil"/>
              <w:bottom w:val="nil"/>
              <w:right w:val="nil"/>
            </w:tcBorders>
            <w:noWrap/>
            <w:vAlign w:val="center"/>
            <w:hideMark/>
          </w:tcPr>
          <w:p w14:paraId="52935376"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iCs/>
                <w:sz w:val="18"/>
                <w:szCs w:val="18"/>
              </w:rPr>
              <w:t>.233</w:t>
            </w:r>
          </w:p>
        </w:tc>
        <w:tc>
          <w:tcPr>
            <w:tcW w:w="1124" w:type="dxa"/>
            <w:tcBorders>
              <w:top w:val="nil"/>
              <w:left w:val="nil"/>
              <w:bottom w:val="nil"/>
              <w:right w:val="nil"/>
            </w:tcBorders>
            <w:noWrap/>
            <w:vAlign w:val="center"/>
            <w:hideMark/>
          </w:tcPr>
          <w:p w14:paraId="78F5B267"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68E48F2A" w14:textId="77777777" w:rsidTr="00947CFC">
        <w:trPr>
          <w:trHeight w:val="113"/>
        </w:trPr>
        <w:tc>
          <w:tcPr>
            <w:tcW w:w="1289" w:type="dxa"/>
            <w:vMerge/>
            <w:tcBorders>
              <w:top w:val="single" w:sz="8" w:space="0" w:color="auto"/>
              <w:left w:val="nil"/>
              <w:bottom w:val="nil"/>
              <w:right w:val="nil"/>
            </w:tcBorders>
            <w:vAlign w:val="center"/>
            <w:hideMark/>
          </w:tcPr>
          <w:p w14:paraId="5466070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929596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coherence × time</w:t>
            </w:r>
          </w:p>
        </w:tc>
        <w:tc>
          <w:tcPr>
            <w:tcW w:w="402" w:type="dxa"/>
            <w:tcBorders>
              <w:top w:val="nil"/>
              <w:left w:val="nil"/>
              <w:bottom w:val="nil"/>
              <w:right w:val="nil"/>
            </w:tcBorders>
            <w:noWrap/>
            <w:vAlign w:val="bottom"/>
            <w:hideMark/>
          </w:tcPr>
          <w:p w14:paraId="7258DDC0"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563FF43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1.99</w:t>
            </w:r>
          </w:p>
        </w:tc>
        <w:tc>
          <w:tcPr>
            <w:tcW w:w="1076" w:type="dxa"/>
            <w:tcBorders>
              <w:top w:val="nil"/>
              <w:left w:val="nil"/>
              <w:bottom w:val="nil"/>
              <w:right w:val="nil"/>
            </w:tcBorders>
            <w:noWrap/>
            <w:vAlign w:val="center"/>
            <w:hideMark/>
          </w:tcPr>
          <w:p w14:paraId="6E88467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41.73</w:t>
            </w:r>
          </w:p>
        </w:tc>
        <w:tc>
          <w:tcPr>
            <w:tcW w:w="961" w:type="dxa"/>
            <w:tcBorders>
              <w:top w:val="nil"/>
              <w:left w:val="nil"/>
              <w:bottom w:val="nil"/>
              <w:right w:val="nil"/>
            </w:tcBorders>
            <w:noWrap/>
            <w:vAlign w:val="center"/>
            <w:hideMark/>
          </w:tcPr>
          <w:p w14:paraId="7D04C37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0.024</w:t>
            </w:r>
          </w:p>
        </w:tc>
        <w:tc>
          <w:tcPr>
            <w:tcW w:w="1182" w:type="dxa"/>
            <w:tcBorders>
              <w:top w:val="nil"/>
              <w:left w:val="nil"/>
              <w:bottom w:val="nil"/>
              <w:right w:val="nil"/>
            </w:tcBorders>
            <w:noWrap/>
            <w:vAlign w:val="center"/>
            <w:hideMark/>
          </w:tcPr>
          <w:p w14:paraId="3ACC4DFB"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1F4E9E"/>
                <w:sz w:val="18"/>
                <w:szCs w:val="20"/>
              </w:rPr>
              <w:t>p = .976</w:t>
            </w:r>
          </w:p>
        </w:tc>
        <w:tc>
          <w:tcPr>
            <w:tcW w:w="1124" w:type="dxa"/>
            <w:tcBorders>
              <w:top w:val="nil"/>
              <w:left w:val="nil"/>
              <w:bottom w:val="nil"/>
              <w:right w:val="nil"/>
            </w:tcBorders>
            <w:noWrap/>
            <w:vAlign w:val="bottom"/>
            <w:hideMark/>
          </w:tcPr>
          <w:p w14:paraId="4AD8593E"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42553D6E" w14:textId="77777777" w:rsidTr="00947CFC">
        <w:trPr>
          <w:trHeight w:val="113"/>
        </w:trPr>
        <w:tc>
          <w:tcPr>
            <w:tcW w:w="1289" w:type="dxa"/>
            <w:vMerge/>
            <w:tcBorders>
              <w:top w:val="single" w:sz="8" w:space="0" w:color="auto"/>
              <w:left w:val="nil"/>
              <w:bottom w:val="nil"/>
              <w:right w:val="nil"/>
            </w:tcBorders>
            <w:vAlign w:val="center"/>
            <w:hideMark/>
          </w:tcPr>
          <w:p w14:paraId="235530D3"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163EDE1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coherence × time</w:t>
            </w:r>
          </w:p>
        </w:tc>
        <w:tc>
          <w:tcPr>
            <w:tcW w:w="402" w:type="dxa"/>
            <w:tcBorders>
              <w:top w:val="nil"/>
              <w:left w:val="nil"/>
              <w:bottom w:val="nil"/>
              <w:right w:val="nil"/>
            </w:tcBorders>
            <w:noWrap/>
            <w:vAlign w:val="center"/>
            <w:hideMark/>
          </w:tcPr>
          <w:p w14:paraId="04DA6D6D"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4AA49F0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1.66</w:t>
            </w:r>
          </w:p>
        </w:tc>
        <w:tc>
          <w:tcPr>
            <w:tcW w:w="1076" w:type="dxa"/>
            <w:tcBorders>
              <w:top w:val="nil"/>
              <w:left w:val="nil"/>
              <w:bottom w:val="nil"/>
              <w:right w:val="nil"/>
            </w:tcBorders>
            <w:noWrap/>
            <w:vAlign w:val="center"/>
            <w:hideMark/>
          </w:tcPr>
          <w:p w14:paraId="2874A9E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34.93</w:t>
            </w:r>
          </w:p>
        </w:tc>
        <w:tc>
          <w:tcPr>
            <w:tcW w:w="961" w:type="dxa"/>
            <w:tcBorders>
              <w:top w:val="nil"/>
              <w:left w:val="nil"/>
              <w:bottom w:val="nil"/>
              <w:right w:val="nil"/>
            </w:tcBorders>
            <w:noWrap/>
            <w:vAlign w:val="center"/>
            <w:hideMark/>
          </w:tcPr>
          <w:p w14:paraId="1EA5DF4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1.458</w:t>
            </w:r>
          </w:p>
        </w:tc>
        <w:tc>
          <w:tcPr>
            <w:tcW w:w="1182" w:type="dxa"/>
            <w:tcBorders>
              <w:top w:val="nil"/>
              <w:left w:val="nil"/>
              <w:bottom w:val="nil"/>
              <w:right w:val="nil"/>
            </w:tcBorders>
            <w:noWrap/>
            <w:vAlign w:val="center"/>
            <w:hideMark/>
          </w:tcPr>
          <w:p w14:paraId="5C7365A8"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1F4E9E"/>
                <w:sz w:val="18"/>
                <w:szCs w:val="20"/>
              </w:rPr>
              <w:t>p = .246</w:t>
            </w:r>
          </w:p>
        </w:tc>
        <w:tc>
          <w:tcPr>
            <w:tcW w:w="1124" w:type="dxa"/>
            <w:tcBorders>
              <w:top w:val="nil"/>
              <w:left w:val="nil"/>
              <w:bottom w:val="nil"/>
              <w:right w:val="nil"/>
            </w:tcBorders>
            <w:noWrap/>
            <w:vAlign w:val="center"/>
            <w:hideMark/>
          </w:tcPr>
          <w:p w14:paraId="520FC714"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1BBDF68D" w14:textId="77777777" w:rsidTr="00947CFC">
        <w:trPr>
          <w:trHeight w:val="113"/>
        </w:trPr>
        <w:tc>
          <w:tcPr>
            <w:tcW w:w="1289" w:type="dxa"/>
            <w:tcBorders>
              <w:top w:val="nil"/>
              <w:left w:val="nil"/>
              <w:bottom w:val="nil"/>
              <w:right w:val="nil"/>
            </w:tcBorders>
            <w:noWrap/>
            <w:vAlign w:val="bottom"/>
            <w:hideMark/>
          </w:tcPr>
          <w:p w14:paraId="5B2285C4" w14:textId="77777777" w:rsidR="006B3BE7" w:rsidRPr="00F075B9" w:rsidRDefault="006B3BE7" w:rsidP="00947CFC">
            <w:pPr>
              <w:spacing w:after="0" w:line="240" w:lineRule="auto"/>
              <w:rPr>
                <w:rFonts w:eastAsia="Times New Roman"/>
                <w:sz w:val="22"/>
                <w:szCs w:val="20"/>
              </w:rPr>
            </w:pPr>
          </w:p>
        </w:tc>
        <w:tc>
          <w:tcPr>
            <w:tcW w:w="2280" w:type="dxa"/>
            <w:tcBorders>
              <w:top w:val="nil"/>
              <w:left w:val="nil"/>
              <w:bottom w:val="nil"/>
              <w:right w:val="nil"/>
            </w:tcBorders>
            <w:vAlign w:val="bottom"/>
            <w:hideMark/>
          </w:tcPr>
          <w:p w14:paraId="5672A41E" w14:textId="77777777" w:rsidR="006B3BE7" w:rsidRPr="00F075B9" w:rsidRDefault="006B3BE7" w:rsidP="00947CFC">
            <w:pPr>
              <w:spacing w:after="0" w:line="240" w:lineRule="auto"/>
              <w:jc w:val="center"/>
              <w:rPr>
                <w:rFonts w:eastAsia="Times New Roman"/>
                <w:sz w:val="20"/>
                <w:szCs w:val="20"/>
              </w:rPr>
            </w:pPr>
          </w:p>
        </w:tc>
        <w:tc>
          <w:tcPr>
            <w:tcW w:w="402" w:type="dxa"/>
            <w:tcBorders>
              <w:top w:val="nil"/>
              <w:left w:val="nil"/>
              <w:bottom w:val="nil"/>
              <w:right w:val="nil"/>
            </w:tcBorders>
            <w:noWrap/>
            <w:vAlign w:val="bottom"/>
            <w:hideMark/>
          </w:tcPr>
          <w:p w14:paraId="070EECAB" w14:textId="77777777" w:rsidR="006B3BE7" w:rsidRPr="00F075B9" w:rsidRDefault="006B3BE7" w:rsidP="00947CFC">
            <w:pPr>
              <w:spacing w:after="0" w:line="240" w:lineRule="auto"/>
              <w:jc w:val="center"/>
              <w:rPr>
                <w:rFonts w:eastAsia="Times New Roman"/>
                <w:sz w:val="20"/>
                <w:szCs w:val="20"/>
              </w:rPr>
            </w:pPr>
          </w:p>
        </w:tc>
        <w:tc>
          <w:tcPr>
            <w:tcW w:w="713" w:type="dxa"/>
            <w:tcBorders>
              <w:top w:val="nil"/>
              <w:left w:val="nil"/>
              <w:bottom w:val="nil"/>
              <w:right w:val="nil"/>
            </w:tcBorders>
            <w:noWrap/>
            <w:vAlign w:val="bottom"/>
            <w:hideMark/>
          </w:tcPr>
          <w:p w14:paraId="629A0076" w14:textId="77777777" w:rsidR="006B3BE7" w:rsidRPr="00F075B9" w:rsidRDefault="006B3BE7" w:rsidP="00947CFC">
            <w:pPr>
              <w:spacing w:after="0" w:line="240" w:lineRule="auto"/>
              <w:jc w:val="center"/>
              <w:rPr>
                <w:rFonts w:eastAsia="Times New Roman"/>
                <w:sz w:val="18"/>
                <w:szCs w:val="18"/>
              </w:rPr>
            </w:pPr>
          </w:p>
        </w:tc>
        <w:tc>
          <w:tcPr>
            <w:tcW w:w="1076" w:type="dxa"/>
            <w:tcBorders>
              <w:top w:val="nil"/>
              <w:left w:val="nil"/>
              <w:bottom w:val="nil"/>
              <w:right w:val="nil"/>
            </w:tcBorders>
            <w:noWrap/>
            <w:vAlign w:val="bottom"/>
            <w:hideMark/>
          </w:tcPr>
          <w:p w14:paraId="49108C61" w14:textId="77777777" w:rsidR="006B3BE7" w:rsidRPr="00F075B9" w:rsidRDefault="006B3BE7" w:rsidP="00947CFC">
            <w:pPr>
              <w:spacing w:after="0" w:line="240" w:lineRule="auto"/>
              <w:jc w:val="center"/>
              <w:rPr>
                <w:rFonts w:eastAsia="Times New Roman"/>
                <w:sz w:val="18"/>
                <w:szCs w:val="18"/>
              </w:rPr>
            </w:pPr>
          </w:p>
        </w:tc>
        <w:tc>
          <w:tcPr>
            <w:tcW w:w="961" w:type="dxa"/>
            <w:tcBorders>
              <w:top w:val="nil"/>
              <w:left w:val="nil"/>
              <w:bottom w:val="nil"/>
              <w:right w:val="nil"/>
            </w:tcBorders>
            <w:noWrap/>
            <w:vAlign w:val="bottom"/>
            <w:hideMark/>
          </w:tcPr>
          <w:p w14:paraId="1AE63317" w14:textId="77777777" w:rsidR="006B3BE7" w:rsidRPr="00F075B9" w:rsidRDefault="006B3BE7" w:rsidP="00947CFC">
            <w:pPr>
              <w:spacing w:after="0" w:line="240" w:lineRule="auto"/>
              <w:jc w:val="center"/>
              <w:rPr>
                <w:rFonts w:eastAsia="Times New Roman"/>
                <w:sz w:val="18"/>
                <w:szCs w:val="18"/>
              </w:rPr>
            </w:pPr>
          </w:p>
        </w:tc>
        <w:tc>
          <w:tcPr>
            <w:tcW w:w="1182" w:type="dxa"/>
            <w:tcBorders>
              <w:top w:val="nil"/>
              <w:left w:val="nil"/>
              <w:bottom w:val="nil"/>
              <w:right w:val="nil"/>
            </w:tcBorders>
            <w:noWrap/>
            <w:vAlign w:val="bottom"/>
            <w:hideMark/>
          </w:tcPr>
          <w:p w14:paraId="0C42C8A2" w14:textId="77777777" w:rsidR="006B3BE7" w:rsidRPr="00F075B9" w:rsidRDefault="006B3BE7" w:rsidP="00947CFC">
            <w:pPr>
              <w:spacing w:after="0" w:line="240" w:lineRule="auto"/>
              <w:jc w:val="center"/>
              <w:rPr>
                <w:rFonts w:eastAsia="Times New Roman"/>
                <w:sz w:val="18"/>
                <w:szCs w:val="18"/>
              </w:rPr>
            </w:pPr>
          </w:p>
        </w:tc>
        <w:tc>
          <w:tcPr>
            <w:tcW w:w="1124" w:type="dxa"/>
            <w:tcBorders>
              <w:top w:val="nil"/>
              <w:left w:val="nil"/>
              <w:bottom w:val="nil"/>
              <w:right w:val="nil"/>
            </w:tcBorders>
            <w:noWrap/>
            <w:vAlign w:val="bottom"/>
            <w:hideMark/>
          </w:tcPr>
          <w:p w14:paraId="7917A911" w14:textId="77777777" w:rsidR="006B3BE7" w:rsidRPr="00F075B9" w:rsidRDefault="006B3BE7" w:rsidP="00947CFC">
            <w:pPr>
              <w:spacing w:after="0" w:line="240" w:lineRule="auto"/>
              <w:jc w:val="center"/>
              <w:rPr>
                <w:rFonts w:eastAsia="Times New Roman"/>
                <w:sz w:val="18"/>
                <w:szCs w:val="18"/>
              </w:rPr>
            </w:pPr>
          </w:p>
        </w:tc>
      </w:tr>
      <w:tr w:rsidR="006B3BE7" w:rsidRPr="008B5651" w14:paraId="2FA4360C" w14:textId="77777777" w:rsidTr="00947CFC">
        <w:trPr>
          <w:trHeight w:val="113"/>
        </w:trPr>
        <w:tc>
          <w:tcPr>
            <w:tcW w:w="1289" w:type="dxa"/>
            <w:vMerge w:val="restart"/>
            <w:tcBorders>
              <w:top w:val="single" w:sz="8" w:space="0" w:color="auto"/>
              <w:left w:val="nil"/>
              <w:bottom w:val="single" w:sz="12" w:space="0" w:color="000000"/>
              <w:right w:val="nil"/>
            </w:tcBorders>
            <w:noWrap/>
            <w:vAlign w:val="center"/>
            <w:hideMark/>
          </w:tcPr>
          <w:p w14:paraId="61A83EFC" w14:textId="77777777" w:rsidR="006B3BE7" w:rsidRPr="00F075B9" w:rsidRDefault="006B3BE7" w:rsidP="00947CFC">
            <w:pPr>
              <w:spacing w:after="0" w:line="240" w:lineRule="auto"/>
              <w:jc w:val="center"/>
              <w:rPr>
                <w:rFonts w:eastAsia="Times New Roman"/>
                <w:bCs/>
                <w:color w:val="000000"/>
                <w:sz w:val="22"/>
                <w:szCs w:val="18"/>
              </w:rPr>
            </w:pPr>
            <w:r w:rsidRPr="00F075B9">
              <w:rPr>
                <w:rFonts w:eastAsia="Times New Roman"/>
                <w:bCs/>
                <w:sz w:val="22"/>
                <w:szCs w:val="18"/>
              </w:rPr>
              <w:t>Response</w:t>
            </w:r>
          </w:p>
        </w:tc>
        <w:tc>
          <w:tcPr>
            <w:tcW w:w="2280" w:type="dxa"/>
            <w:tcBorders>
              <w:top w:val="single" w:sz="8" w:space="0" w:color="auto"/>
              <w:left w:val="nil"/>
              <w:bottom w:val="nil"/>
              <w:right w:val="nil"/>
            </w:tcBorders>
            <w:vAlign w:val="center"/>
            <w:hideMark/>
          </w:tcPr>
          <w:p w14:paraId="0E85397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w:t>
            </w:r>
          </w:p>
        </w:tc>
        <w:tc>
          <w:tcPr>
            <w:tcW w:w="402" w:type="dxa"/>
            <w:tcBorders>
              <w:top w:val="single" w:sz="8" w:space="0" w:color="auto"/>
              <w:left w:val="nil"/>
              <w:bottom w:val="nil"/>
              <w:right w:val="nil"/>
            </w:tcBorders>
            <w:noWrap/>
            <w:vAlign w:val="center"/>
            <w:hideMark/>
          </w:tcPr>
          <w:p w14:paraId="27FB587D"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single" w:sz="8" w:space="0" w:color="auto"/>
              <w:left w:val="nil"/>
              <w:bottom w:val="nil"/>
              <w:right w:val="nil"/>
            </w:tcBorders>
            <w:noWrap/>
            <w:vAlign w:val="center"/>
            <w:hideMark/>
          </w:tcPr>
          <w:p w14:paraId="707E725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single" w:sz="8" w:space="0" w:color="auto"/>
              <w:left w:val="nil"/>
              <w:bottom w:val="nil"/>
              <w:right w:val="nil"/>
            </w:tcBorders>
            <w:noWrap/>
            <w:vAlign w:val="center"/>
            <w:hideMark/>
          </w:tcPr>
          <w:p w14:paraId="3DF5B05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single" w:sz="8" w:space="0" w:color="auto"/>
              <w:left w:val="nil"/>
              <w:bottom w:val="nil"/>
              <w:right w:val="nil"/>
            </w:tcBorders>
            <w:noWrap/>
            <w:vAlign w:val="center"/>
            <w:hideMark/>
          </w:tcPr>
          <w:p w14:paraId="157B3574" w14:textId="77777777"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006</w:t>
            </w:r>
          </w:p>
        </w:tc>
        <w:tc>
          <w:tcPr>
            <w:tcW w:w="1182" w:type="dxa"/>
            <w:tcBorders>
              <w:top w:val="single" w:sz="8" w:space="0" w:color="auto"/>
              <w:left w:val="nil"/>
              <w:bottom w:val="nil"/>
              <w:right w:val="nil"/>
            </w:tcBorders>
            <w:noWrap/>
            <w:vAlign w:val="center"/>
            <w:hideMark/>
          </w:tcPr>
          <w:p w14:paraId="32BE64EE"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20"/>
              </w:rPr>
              <w:t xml:space="preserve">p </w:t>
            </w:r>
            <w:r w:rsidRPr="000A420D">
              <w:rPr>
                <w:rFonts w:eastAsia="Times New Roman"/>
                <w:sz w:val="18"/>
                <w:szCs w:val="20"/>
              </w:rPr>
              <w:t>=</w:t>
            </w:r>
            <w:r w:rsidR="00E71874" w:rsidRPr="000A420D">
              <w:rPr>
                <w:rFonts w:eastAsia="Times New Roman"/>
                <w:sz w:val="18"/>
                <w:szCs w:val="20"/>
              </w:rPr>
              <w:t xml:space="preserve"> </w:t>
            </w:r>
            <w:r w:rsidR="006B3BE7" w:rsidRPr="000A420D">
              <w:rPr>
                <w:rFonts w:eastAsia="Times New Roman"/>
                <w:iCs/>
                <w:sz w:val="18"/>
                <w:szCs w:val="18"/>
              </w:rPr>
              <w:t>.</w:t>
            </w:r>
            <w:r w:rsidR="000C177D" w:rsidRPr="000A420D">
              <w:rPr>
                <w:rFonts w:eastAsia="Times New Roman"/>
                <w:iCs/>
                <w:sz w:val="18"/>
                <w:szCs w:val="18"/>
              </w:rPr>
              <w:t>937</w:t>
            </w:r>
          </w:p>
        </w:tc>
        <w:tc>
          <w:tcPr>
            <w:tcW w:w="1124" w:type="dxa"/>
            <w:tcBorders>
              <w:top w:val="single" w:sz="8" w:space="0" w:color="auto"/>
              <w:left w:val="nil"/>
              <w:bottom w:val="nil"/>
              <w:right w:val="nil"/>
            </w:tcBorders>
            <w:noWrap/>
            <w:vAlign w:val="center"/>
            <w:hideMark/>
          </w:tcPr>
          <w:p w14:paraId="4D32C45E" w14:textId="77777777"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072C9DCA"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49BA336A"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0753472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coherence</w:t>
            </w:r>
          </w:p>
        </w:tc>
        <w:tc>
          <w:tcPr>
            <w:tcW w:w="402" w:type="dxa"/>
            <w:tcBorders>
              <w:top w:val="nil"/>
              <w:left w:val="nil"/>
              <w:bottom w:val="nil"/>
              <w:right w:val="nil"/>
            </w:tcBorders>
            <w:noWrap/>
            <w:vAlign w:val="bottom"/>
            <w:hideMark/>
          </w:tcPr>
          <w:p w14:paraId="20DE1869"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035B3B2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1.95</w:t>
            </w:r>
          </w:p>
        </w:tc>
        <w:tc>
          <w:tcPr>
            <w:tcW w:w="1076" w:type="dxa"/>
            <w:tcBorders>
              <w:top w:val="nil"/>
              <w:left w:val="nil"/>
              <w:bottom w:val="nil"/>
              <w:right w:val="nil"/>
            </w:tcBorders>
            <w:noWrap/>
            <w:vAlign w:val="center"/>
            <w:hideMark/>
          </w:tcPr>
          <w:p w14:paraId="5DFA0EA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40.91</w:t>
            </w:r>
          </w:p>
        </w:tc>
        <w:tc>
          <w:tcPr>
            <w:tcW w:w="961" w:type="dxa"/>
            <w:tcBorders>
              <w:top w:val="nil"/>
              <w:left w:val="nil"/>
              <w:bottom w:val="nil"/>
              <w:right w:val="nil"/>
            </w:tcBorders>
            <w:noWrap/>
            <w:vAlign w:val="center"/>
            <w:hideMark/>
          </w:tcPr>
          <w:p w14:paraId="5D12012D" w14:textId="77777777"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364</w:t>
            </w:r>
          </w:p>
        </w:tc>
        <w:tc>
          <w:tcPr>
            <w:tcW w:w="1182" w:type="dxa"/>
            <w:tcBorders>
              <w:top w:val="nil"/>
              <w:left w:val="nil"/>
              <w:bottom w:val="nil"/>
              <w:right w:val="nil"/>
            </w:tcBorders>
            <w:noWrap/>
            <w:vAlign w:val="center"/>
            <w:hideMark/>
          </w:tcPr>
          <w:p w14:paraId="16C3FEA1"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color w:val="1F4E9E"/>
                <w:sz w:val="18"/>
                <w:szCs w:val="20"/>
              </w:rPr>
              <w:t>p = .692</w:t>
            </w:r>
          </w:p>
        </w:tc>
        <w:tc>
          <w:tcPr>
            <w:tcW w:w="1124" w:type="dxa"/>
            <w:tcBorders>
              <w:top w:val="nil"/>
              <w:left w:val="nil"/>
              <w:bottom w:val="nil"/>
              <w:right w:val="nil"/>
            </w:tcBorders>
            <w:noWrap/>
            <w:vAlign w:val="bottom"/>
            <w:hideMark/>
          </w:tcPr>
          <w:p w14:paraId="780C33D0" w14:textId="77777777"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7E773F0F"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55ADFF29"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0F22AB4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time</w:t>
            </w:r>
          </w:p>
        </w:tc>
        <w:tc>
          <w:tcPr>
            <w:tcW w:w="402" w:type="dxa"/>
            <w:tcBorders>
              <w:top w:val="nil"/>
              <w:left w:val="nil"/>
              <w:bottom w:val="nil"/>
              <w:right w:val="nil"/>
            </w:tcBorders>
            <w:noWrap/>
            <w:vAlign w:val="bottom"/>
            <w:hideMark/>
          </w:tcPr>
          <w:p w14:paraId="40108A8B"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559FDD9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71050E0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nil"/>
              <w:left w:val="nil"/>
              <w:bottom w:val="nil"/>
              <w:right w:val="nil"/>
            </w:tcBorders>
            <w:noWrap/>
            <w:vAlign w:val="center"/>
            <w:hideMark/>
          </w:tcPr>
          <w:p w14:paraId="69F7D50B" w14:textId="77777777" w:rsidR="006B3BE7" w:rsidRPr="000A420D" w:rsidRDefault="006B3BE7" w:rsidP="00947CFC">
            <w:pPr>
              <w:spacing w:after="0" w:line="240" w:lineRule="auto"/>
              <w:jc w:val="center"/>
              <w:rPr>
                <w:rFonts w:eastAsia="Times New Roman"/>
                <w:sz w:val="18"/>
                <w:szCs w:val="18"/>
              </w:rPr>
            </w:pPr>
            <w:r w:rsidRPr="000A420D">
              <w:rPr>
                <w:rFonts w:eastAsia="Times New Roman"/>
                <w:color w:val="1F4E9E"/>
                <w:sz w:val="18"/>
                <w:szCs w:val="18"/>
              </w:rPr>
              <w:t>11.658</w:t>
            </w:r>
          </w:p>
        </w:tc>
        <w:tc>
          <w:tcPr>
            <w:tcW w:w="1182" w:type="dxa"/>
            <w:tcBorders>
              <w:top w:val="nil"/>
              <w:left w:val="nil"/>
              <w:bottom w:val="nil"/>
              <w:right w:val="nil"/>
            </w:tcBorders>
            <w:noWrap/>
            <w:vAlign w:val="center"/>
            <w:hideMark/>
          </w:tcPr>
          <w:p w14:paraId="63B4F12B"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18"/>
              </w:rPr>
              <w:t>p</w:t>
            </w:r>
            <w:r w:rsidRPr="000A420D">
              <w:rPr>
                <w:rFonts w:eastAsia="Times New Roman"/>
                <w:sz w:val="18"/>
                <w:szCs w:val="18"/>
              </w:rPr>
              <w:t xml:space="preserve"> </w:t>
            </w:r>
            <w:r w:rsidR="000C177D" w:rsidRPr="000A420D">
              <w:rPr>
                <w:rFonts w:eastAsia="Times New Roman"/>
                <w:iCs/>
                <w:sz w:val="18"/>
                <w:szCs w:val="18"/>
              </w:rPr>
              <w:t>= .003</w:t>
            </w:r>
          </w:p>
        </w:tc>
        <w:tc>
          <w:tcPr>
            <w:tcW w:w="1124" w:type="dxa"/>
            <w:tcBorders>
              <w:top w:val="nil"/>
              <w:left w:val="nil"/>
              <w:bottom w:val="nil"/>
              <w:right w:val="nil"/>
            </w:tcBorders>
            <w:noWrap/>
            <w:vAlign w:val="center"/>
            <w:hideMark/>
          </w:tcPr>
          <w:p w14:paraId="2F94E739" w14:textId="77777777"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357</w:t>
            </w:r>
          </w:p>
        </w:tc>
      </w:tr>
      <w:tr w:rsidR="006B3BE7" w:rsidRPr="008B5651" w14:paraId="2301FD56"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3FBB1BFC"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082D5DD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coherence</w:t>
            </w:r>
          </w:p>
        </w:tc>
        <w:tc>
          <w:tcPr>
            <w:tcW w:w="402" w:type="dxa"/>
            <w:tcBorders>
              <w:top w:val="nil"/>
              <w:left w:val="nil"/>
              <w:bottom w:val="nil"/>
              <w:right w:val="nil"/>
            </w:tcBorders>
            <w:noWrap/>
            <w:vAlign w:val="bottom"/>
            <w:hideMark/>
          </w:tcPr>
          <w:p w14:paraId="4F763CBA"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06047ED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1.65</w:t>
            </w:r>
          </w:p>
        </w:tc>
        <w:tc>
          <w:tcPr>
            <w:tcW w:w="1076" w:type="dxa"/>
            <w:tcBorders>
              <w:top w:val="nil"/>
              <w:left w:val="nil"/>
              <w:bottom w:val="nil"/>
              <w:right w:val="nil"/>
            </w:tcBorders>
            <w:noWrap/>
            <w:vAlign w:val="center"/>
            <w:hideMark/>
          </w:tcPr>
          <w:p w14:paraId="7581EA3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34.56</w:t>
            </w:r>
          </w:p>
        </w:tc>
        <w:tc>
          <w:tcPr>
            <w:tcW w:w="961" w:type="dxa"/>
            <w:tcBorders>
              <w:top w:val="nil"/>
              <w:left w:val="nil"/>
              <w:bottom w:val="nil"/>
              <w:right w:val="nil"/>
            </w:tcBorders>
            <w:noWrap/>
            <w:vAlign w:val="center"/>
            <w:hideMark/>
          </w:tcPr>
          <w:p w14:paraId="14026AF1" w14:textId="77777777"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161</w:t>
            </w:r>
          </w:p>
        </w:tc>
        <w:tc>
          <w:tcPr>
            <w:tcW w:w="1182" w:type="dxa"/>
            <w:tcBorders>
              <w:top w:val="nil"/>
              <w:left w:val="nil"/>
              <w:bottom w:val="nil"/>
              <w:right w:val="nil"/>
            </w:tcBorders>
            <w:noWrap/>
            <w:vAlign w:val="center"/>
            <w:hideMark/>
          </w:tcPr>
          <w:p w14:paraId="3BCD4CE2"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color w:val="1F4E9E"/>
                <w:sz w:val="18"/>
                <w:szCs w:val="20"/>
              </w:rPr>
              <w:t>p = .811</w:t>
            </w:r>
          </w:p>
        </w:tc>
        <w:tc>
          <w:tcPr>
            <w:tcW w:w="1124" w:type="dxa"/>
            <w:tcBorders>
              <w:top w:val="nil"/>
              <w:left w:val="nil"/>
              <w:bottom w:val="nil"/>
              <w:right w:val="nil"/>
            </w:tcBorders>
            <w:noWrap/>
            <w:vAlign w:val="bottom"/>
            <w:hideMark/>
          </w:tcPr>
          <w:p w14:paraId="4E0B4FD2" w14:textId="77777777"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52065C58"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1E60A21D"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7C37EC2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time</w:t>
            </w:r>
          </w:p>
        </w:tc>
        <w:tc>
          <w:tcPr>
            <w:tcW w:w="402" w:type="dxa"/>
            <w:tcBorders>
              <w:top w:val="nil"/>
              <w:left w:val="nil"/>
              <w:bottom w:val="nil"/>
              <w:right w:val="nil"/>
            </w:tcBorders>
            <w:noWrap/>
            <w:vAlign w:val="bottom"/>
            <w:hideMark/>
          </w:tcPr>
          <w:p w14:paraId="086B8829"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2053474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35E1C24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nil"/>
              <w:left w:val="nil"/>
              <w:bottom w:val="nil"/>
              <w:right w:val="nil"/>
            </w:tcBorders>
            <w:noWrap/>
            <w:vAlign w:val="center"/>
            <w:hideMark/>
          </w:tcPr>
          <w:p w14:paraId="30E74868" w14:textId="77777777" w:rsidR="006B3BE7" w:rsidRPr="000A420D" w:rsidRDefault="000C177D" w:rsidP="00947CFC">
            <w:pPr>
              <w:spacing w:after="0" w:line="240" w:lineRule="auto"/>
              <w:jc w:val="center"/>
              <w:rPr>
                <w:rFonts w:eastAsia="Times New Roman"/>
                <w:sz w:val="18"/>
                <w:szCs w:val="18"/>
              </w:rPr>
            </w:pPr>
            <w:r w:rsidRPr="000A420D">
              <w:rPr>
                <w:rFonts w:eastAsia="Times New Roman"/>
                <w:sz w:val="18"/>
                <w:szCs w:val="18"/>
              </w:rPr>
              <w:t>2</w:t>
            </w:r>
            <w:r w:rsidR="006B3BE7" w:rsidRPr="000A420D">
              <w:rPr>
                <w:rFonts w:eastAsia="Times New Roman"/>
                <w:sz w:val="18"/>
                <w:szCs w:val="18"/>
              </w:rPr>
              <w:t>.</w:t>
            </w:r>
            <w:r w:rsidRPr="000A420D">
              <w:rPr>
                <w:rFonts w:eastAsia="Times New Roman"/>
                <w:sz w:val="18"/>
                <w:szCs w:val="18"/>
              </w:rPr>
              <w:t>129</w:t>
            </w:r>
          </w:p>
        </w:tc>
        <w:tc>
          <w:tcPr>
            <w:tcW w:w="1182" w:type="dxa"/>
            <w:tcBorders>
              <w:top w:val="nil"/>
              <w:left w:val="nil"/>
              <w:bottom w:val="nil"/>
              <w:right w:val="nil"/>
            </w:tcBorders>
            <w:noWrap/>
            <w:vAlign w:val="center"/>
            <w:hideMark/>
          </w:tcPr>
          <w:p w14:paraId="33D1881C"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20"/>
              </w:rPr>
              <w:t xml:space="preserve">p </w:t>
            </w:r>
            <w:r w:rsidRPr="000A420D">
              <w:rPr>
                <w:rFonts w:eastAsia="Times New Roman"/>
                <w:sz w:val="18"/>
                <w:szCs w:val="20"/>
              </w:rPr>
              <w:t>=</w:t>
            </w:r>
            <w:r w:rsidR="00E71874" w:rsidRPr="000A420D">
              <w:rPr>
                <w:rFonts w:eastAsia="Times New Roman"/>
                <w:sz w:val="18"/>
                <w:szCs w:val="20"/>
              </w:rPr>
              <w:t xml:space="preserve"> </w:t>
            </w:r>
            <w:r w:rsidR="006B3BE7" w:rsidRPr="000A420D">
              <w:rPr>
                <w:rFonts w:eastAsia="Times New Roman"/>
                <w:iCs/>
                <w:sz w:val="18"/>
                <w:szCs w:val="18"/>
              </w:rPr>
              <w:t>.</w:t>
            </w:r>
            <w:r w:rsidR="000C177D" w:rsidRPr="000A420D">
              <w:rPr>
                <w:rFonts w:eastAsia="Times New Roman"/>
                <w:iCs/>
                <w:sz w:val="18"/>
                <w:szCs w:val="18"/>
              </w:rPr>
              <w:t>159</w:t>
            </w:r>
          </w:p>
        </w:tc>
        <w:tc>
          <w:tcPr>
            <w:tcW w:w="1124" w:type="dxa"/>
            <w:tcBorders>
              <w:top w:val="nil"/>
              <w:left w:val="nil"/>
              <w:bottom w:val="nil"/>
              <w:right w:val="nil"/>
            </w:tcBorders>
            <w:noWrap/>
            <w:vAlign w:val="center"/>
            <w:hideMark/>
          </w:tcPr>
          <w:p w14:paraId="085F7B35" w14:textId="77777777"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243E69DD"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59118FBB"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11C3EB2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coherence × time</w:t>
            </w:r>
          </w:p>
        </w:tc>
        <w:tc>
          <w:tcPr>
            <w:tcW w:w="402" w:type="dxa"/>
            <w:tcBorders>
              <w:top w:val="nil"/>
              <w:left w:val="nil"/>
              <w:bottom w:val="nil"/>
              <w:right w:val="nil"/>
            </w:tcBorders>
            <w:noWrap/>
            <w:vAlign w:val="bottom"/>
            <w:hideMark/>
          </w:tcPr>
          <w:p w14:paraId="241FFD93"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A4FA6C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1.98</w:t>
            </w:r>
          </w:p>
        </w:tc>
        <w:tc>
          <w:tcPr>
            <w:tcW w:w="1076" w:type="dxa"/>
            <w:tcBorders>
              <w:top w:val="nil"/>
              <w:left w:val="nil"/>
              <w:bottom w:val="nil"/>
              <w:right w:val="nil"/>
            </w:tcBorders>
            <w:noWrap/>
            <w:vAlign w:val="center"/>
            <w:hideMark/>
          </w:tcPr>
          <w:p w14:paraId="5CBEDB5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41.51</w:t>
            </w:r>
          </w:p>
        </w:tc>
        <w:tc>
          <w:tcPr>
            <w:tcW w:w="961" w:type="dxa"/>
            <w:tcBorders>
              <w:top w:val="nil"/>
              <w:left w:val="nil"/>
              <w:bottom w:val="nil"/>
              <w:right w:val="nil"/>
            </w:tcBorders>
            <w:noWrap/>
            <w:vAlign w:val="center"/>
            <w:hideMark/>
          </w:tcPr>
          <w:p w14:paraId="20F27759" w14:textId="77777777"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252</w:t>
            </w:r>
          </w:p>
        </w:tc>
        <w:tc>
          <w:tcPr>
            <w:tcW w:w="1182" w:type="dxa"/>
            <w:tcBorders>
              <w:top w:val="nil"/>
              <w:left w:val="nil"/>
              <w:bottom w:val="nil"/>
              <w:right w:val="nil"/>
            </w:tcBorders>
            <w:noWrap/>
            <w:vAlign w:val="center"/>
            <w:hideMark/>
          </w:tcPr>
          <w:p w14:paraId="10D94EC7"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color w:val="1F4E9E"/>
                <w:sz w:val="18"/>
                <w:szCs w:val="20"/>
              </w:rPr>
              <w:t>p = .776</w:t>
            </w:r>
          </w:p>
        </w:tc>
        <w:tc>
          <w:tcPr>
            <w:tcW w:w="1124" w:type="dxa"/>
            <w:tcBorders>
              <w:top w:val="nil"/>
              <w:left w:val="nil"/>
              <w:bottom w:val="nil"/>
              <w:right w:val="nil"/>
            </w:tcBorders>
            <w:noWrap/>
            <w:vAlign w:val="bottom"/>
            <w:hideMark/>
          </w:tcPr>
          <w:p w14:paraId="7BAFD9AB" w14:textId="77777777"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0F0701AC"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096FF69D"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single" w:sz="12" w:space="0" w:color="auto"/>
              <w:right w:val="nil"/>
            </w:tcBorders>
            <w:vAlign w:val="center"/>
            <w:hideMark/>
          </w:tcPr>
          <w:p w14:paraId="2754A8C6"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coherence × time</w:t>
            </w:r>
          </w:p>
        </w:tc>
        <w:tc>
          <w:tcPr>
            <w:tcW w:w="402" w:type="dxa"/>
            <w:tcBorders>
              <w:top w:val="nil"/>
              <w:left w:val="nil"/>
              <w:bottom w:val="single" w:sz="12" w:space="0" w:color="auto"/>
              <w:right w:val="nil"/>
            </w:tcBorders>
            <w:noWrap/>
            <w:vAlign w:val="center"/>
            <w:hideMark/>
          </w:tcPr>
          <w:p w14:paraId="75DB6F32"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nil"/>
              <w:left w:val="nil"/>
              <w:bottom w:val="single" w:sz="12" w:space="0" w:color="auto"/>
              <w:right w:val="nil"/>
            </w:tcBorders>
            <w:noWrap/>
            <w:vAlign w:val="center"/>
            <w:hideMark/>
          </w:tcPr>
          <w:p w14:paraId="7E45C500" w14:textId="77777777" w:rsidR="006B3BE7" w:rsidRPr="00F075B9" w:rsidRDefault="000C177D" w:rsidP="00947CFC">
            <w:pPr>
              <w:spacing w:after="0" w:line="240" w:lineRule="auto"/>
              <w:jc w:val="center"/>
              <w:rPr>
                <w:rFonts w:eastAsia="Times New Roman"/>
                <w:color w:val="000000"/>
                <w:sz w:val="18"/>
                <w:szCs w:val="18"/>
              </w:rPr>
            </w:pPr>
            <w:r>
              <w:rPr>
                <w:rFonts w:eastAsia="Times New Roman"/>
                <w:color w:val="1F4E9E"/>
                <w:sz w:val="18"/>
                <w:szCs w:val="18"/>
              </w:rPr>
              <w:t>1.72</w:t>
            </w:r>
          </w:p>
        </w:tc>
        <w:tc>
          <w:tcPr>
            <w:tcW w:w="1076" w:type="dxa"/>
            <w:tcBorders>
              <w:top w:val="nil"/>
              <w:left w:val="nil"/>
              <w:bottom w:val="single" w:sz="12" w:space="0" w:color="auto"/>
              <w:right w:val="nil"/>
            </w:tcBorders>
            <w:noWrap/>
            <w:vAlign w:val="center"/>
            <w:hideMark/>
          </w:tcPr>
          <w:p w14:paraId="55A38A28" w14:textId="77777777" w:rsidR="006B3BE7" w:rsidRPr="00F075B9" w:rsidRDefault="000C177D" w:rsidP="00947CFC">
            <w:pPr>
              <w:spacing w:after="0" w:line="240" w:lineRule="auto"/>
              <w:jc w:val="center"/>
              <w:rPr>
                <w:rFonts w:eastAsia="Times New Roman"/>
                <w:color w:val="000000"/>
                <w:sz w:val="18"/>
                <w:szCs w:val="18"/>
              </w:rPr>
            </w:pPr>
            <w:r>
              <w:rPr>
                <w:rFonts w:eastAsia="Times New Roman"/>
                <w:color w:val="1F4E9E"/>
                <w:sz w:val="18"/>
                <w:szCs w:val="18"/>
              </w:rPr>
              <w:t>36.21</w:t>
            </w:r>
          </w:p>
        </w:tc>
        <w:tc>
          <w:tcPr>
            <w:tcW w:w="961" w:type="dxa"/>
            <w:tcBorders>
              <w:top w:val="nil"/>
              <w:left w:val="nil"/>
              <w:bottom w:val="single" w:sz="12" w:space="0" w:color="auto"/>
              <w:right w:val="nil"/>
            </w:tcBorders>
            <w:noWrap/>
            <w:vAlign w:val="center"/>
            <w:hideMark/>
          </w:tcPr>
          <w:p w14:paraId="7DF815CA" w14:textId="77777777"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719</w:t>
            </w:r>
          </w:p>
        </w:tc>
        <w:tc>
          <w:tcPr>
            <w:tcW w:w="1182" w:type="dxa"/>
            <w:tcBorders>
              <w:top w:val="nil"/>
              <w:left w:val="nil"/>
              <w:bottom w:val="single" w:sz="12" w:space="0" w:color="auto"/>
              <w:right w:val="nil"/>
            </w:tcBorders>
            <w:noWrap/>
            <w:vAlign w:val="center"/>
            <w:hideMark/>
          </w:tcPr>
          <w:p w14:paraId="3168F0DA"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color w:val="1F4E9E"/>
                <w:sz w:val="18"/>
                <w:szCs w:val="20"/>
              </w:rPr>
              <w:t>p = .475</w:t>
            </w:r>
          </w:p>
        </w:tc>
        <w:tc>
          <w:tcPr>
            <w:tcW w:w="1124" w:type="dxa"/>
            <w:tcBorders>
              <w:top w:val="nil"/>
              <w:left w:val="nil"/>
              <w:bottom w:val="single" w:sz="8" w:space="0" w:color="auto"/>
              <w:right w:val="nil"/>
            </w:tcBorders>
            <w:noWrap/>
            <w:vAlign w:val="center"/>
            <w:hideMark/>
          </w:tcPr>
          <w:p w14:paraId="21ECA873" w14:textId="77777777"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bl>
    <w:p w14:paraId="1AD7D850" w14:textId="77777777" w:rsidR="006D2DC2" w:rsidRDefault="006D2DC2" w:rsidP="006D2DC2">
      <w:pPr>
        <w:spacing w:before="120" w:after="120" w:line="259" w:lineRule="auto"/>
        <w:rPr>
          <w:b/>
          <w:szCs w:val="22"/>
        </w:rPr>
        <w:sectPr w:rsidR="006D2DC2">
          <w:pgSz w:w="11906" w:h="16838"/>
          <w:pgMar w:top="1417" w:right="1417" w:bottom="1417" w:left="1417" w:header="708" w:footer="708" w:gutter="0"/>
          <w:cols w:space="708"/>
          <w:docGrid w:linePitch="360"/>
        </w:sectPr>
      </w:pPr>
      <w:r>
        <w:rPr>
          <w:color w:val="1F4E9E"/>
        </w:rPr>
        <w:t>Note. Greenhouse–Geisser correction was applied to every effect with more than one numerator degree of freedom, that is to every effect involving the three-level coherence factor; degrees of freedom (df) with decimals indicate a corrected test. The partial eta squared statistic (ηp2) is computed from the uncorrected degrees of freedom and is therefore unchanged by that correction. Time refers to the time bin factor. The time-bin main effect and its interactions are reported as one-degree-of-freedom linear-trend and quadratic contrasts computed on per-participant scores for the Stimulus and Delay periods (Methods): a contrast crossed only with duration therefore yields F(1,21), whereas a contrast crossed with coherence carries corrected degrees of freedom. One stimulus-period effect (coherence × time, linear) is significant on the omnibus test but not as a full-window linear trend, because the effect is confined to the first half of the stimulus period (Results; Table S4). One other (duration × time, linear) is significant as a linear trend but was not significant on the omnibus test. The RS and Response periods are unaffected (two time bins each, so the omnibus and trend tests coincide exactly, and no quadratic contrast exists).</w:t>
      </w:r>
    </w:p>
    <w:p>
      <w:r>
        <w:rPr>
          <w:b/>
        </w:rPr>
        <w:t xml:space="preserve">Table S4. </w:t>
      </w:r>
      <w:r>
        <w:rPr>
          <w:b/>
        </w:rPr>
        <w:t>Mu–beta lateralization, stimulus period: split-half trend analysis.</w:t>
      </w:r>
    </w:p>
    <w:p w14:paraId="114102ED" w14:textId="77777777" w:rsidR="00205CBC" w:rsidRDefault="00000000">
      <w:r>
        <w:rPr>
          <w:color w:val="1F4E9E"/>
        </w:rPr>
        <w:t>A non-monotone profile for this measure was anticipated in Methods (rising over approximately the first second of the stimulus period and flattening thereafter), which is why a quadratic contrast was prespecified alongside the linear one. To characterize this directly, the stimulus period was split a priori at its temporal midpoint into two 1-s halves (bins 1–10 and 11–20) and the same TREND analysis was repeated within each half:</w:t>
      </w:r>
    </w:p>
    <w:tbl>
      <w:tblPr>
        <w:tblW w:w="0" w:type="auto"/>
        <w:tblLook w:val="04A0" w:firstRow="1" w:lastRow="0" w:firstColumn="1" w:lastColumn="0" w:noHBand="0" w:noVBand="1"/>
      </w:tblPr>
      <w:tblGrid>
        <w:gridCol w:w="2778"/>
        <w:gridCol w:w="946"/>
        <w:gridCol w:w="938"/>
        <w:gridCol w:w="1189"/>
        <w:gridCol w:w="1189"/>
        <w:gridCol w:w="1016"/>
        <w:gridCol w:w="1016"/>
      </w:tblGrid>
      <w:tr w:rsidR="00205CBC" w14:paraId="5B6C5379" w14:textId="77777777">
        <w:tc>
          <w:tcPr>
            <w:tcW w:w="3149" w:type="dxa"/>
          </w:tcPr>
          <w:p w14:paraId="061A07FB" w14:textId="77777777" w:rsidR="00205CBC" w:rsidRDefault="00000000">
            <w:r>
              <w:rPr>
                <w:color w:val="1F4E9E"/>
              </w:rPr>
              <w:lastRenderedPageBreak/>
              <w:t>Window</w:t>
            </w:r>
          </w:p>
        </w:tc>
        <w:tc>
          <w:tcPr>
            <w:tcW w:w="987" w:type="dxa"/>
          </w:tcPr>
          <w:p w14:paraId="2FB0DF68" w14:textId="77777777" w:rsidR="00205CBC" w:rsidRDefault="00000000">
            <w:r>
              <w:rPr>
                <w:color w:val="1F4E9E"/>
              </w:rPr>
              <w:t>trend F</w:t>
            </w:r>
          </w:p>
        </w:tc>
        <w:tc>
          <w:tcPr>
            <w:tcW w:w="987" w:type="dxa"/>
          </w:tcPr>
          <w:p w14:paraId="2F776D9A" w14:textId="77777777" w:rsidR="00205CBC" w:rsidRDefault="00000000">
            <w:r>
              <w:rPr>
                <w:color w:val="1F4E9E"/>
              </w:rPr>
              <w:t>trend p</w:t>
            </w:r>
          </w:p>
        </w:tc>
        <w:tc>
          <w:tcPr>
            <w:tcW w:w="987" w:type="dxa"/>
          </w:tcPr>
          <w:p w14:paraId="13B4781A" w14:textId="77777777" w:rsidR="00205CBC" w:rsidRDefault="00000000">
            <w:r>
              <w:rPr>
                <w:color w:val="1F4E9E"/>
              </w:rPr>
              <w:t>trend × coherence F</w:t>
            </w:r>
          </w:p>
        </w:tc>
        <w:tc>
          <w:tcPr>
            <w:tcW w:w="987" w:type="dxa"/>
          </w:tcPr>
          <w:p w14:paraId="0D70380B" w14:textId="77777777" w:rsidR="00205CBC" w:rsidRDefault="00000000">
            <w:r>
              <w:rPr>
                <w:color w:val="1F4E9E"/>
              </w:rPr>
              <w:t>trend × coherence p</w:t>
            </w:r>
          </w:p>
        </w:tc>
        <w:tc>
          <w:tcPr>
            <w:tcW w:w="987" w:type="dxa"/>
          </w:tcPr>
          <w:p w14:paraId="2522B31F" w14:textId="77777777" w:rsidR="00205CBC" w:rsidRDefault="00000000">
            <w:r>
              <w:rPr>
                <w:color w:val="1F4E9E"/>
              </w:rPr>
              <w:t>trend × duration F</w:t>
            </w:r>
          </w:p>
        </w:tc>
        <w:tc>
          <w:tcPr>
            <w:tcW w:w="987" w:type="dxa"/>
          </w:tcPr>
          <w:p w14:paraId="3F3E7DC9" w14:textId="77777777" w:rsidR="00205CBC" w:rsidRDefault="00000000">
            <w:r>
              <w:rPr>
                <w:color w:val="1F4E9E"/>
              </w:rPr>
              <w:t>trend × duration p</w:t>
            </w:r>
          </w:p>
        </w:tc>
      </w:tr>
      <w:tr w:rsidR="00205CBC" w14:paraId="4395969A" w14:textId="77777777">
        <w:tc>
          <w:tcPr>
            <w:tcW w:w="3149" w:type="dxa"/>
          </w:tcPr>
          <w:p w14:paraId="65CB1F6C" w14:textId="77777777" w:rsidR="00205CBC" w:rsidRDefault="00000000">
            <w:r>
              <w:rPr>
                <w:color w:val="1F4E9E"/>
              </w:rPr>
              <w:t>first half (0–1 s)</w:t>
            </w:r>
          </w:p>
        </w:tc>
        <w:tc>
          <w:tcPr>
            <w:tcW w:w="987" w:type="dxa"/>
          </w:tcPr>
          <w:p w14:paraId="3C81639A" w14:textId="77777777" w:rsidR="00205CBC" w:rsidRDefault="00000000">
            <w:r>
              <w:rPr>
                <w:color w:val="1F4E9E"/>
              </w:rPr>
              <w:t>11.19</w:t>
            </w:r>
          </w:p>
        </w:tc>
        <w:tc>
          <w:tcPr>
            <w:tcW w:w="987" w:type="dxa"/>
          </w:tcPr>
          <w:p w14:paraId="4AD6DDF7" w14:textId="77777777" w:rsidR="00205CBC" w:rsidRDefault="00000000">
            <w:r>
              <w:rPr>
                <w:color w:val="1F4E9E"/>
              </w:rPr>
              <w:t>.003</w:t>
            </w:r>
          </w:p>
        </w:tc>
        <w:tc>
          <w:tcPr>
            <w:tcW w:w="987" w:type="dxa"/>
          </w:tcPr>
          <w:p w14:paraId="300E3076" w14:textId="77777777" w:rsidR="00205CBC" w:rsidRDefault="00000000">
            <w:r>
              <w:rPr>
                <w:color w:val="1F4E9E"/>
              </w:rPr>
              <w:t>5.76</w:t>
            </w:r>
          </w:p>
        </w:tc>
        <w:tc>
          <w:tcPr>
            <w:tcW w:w="987" w:type="dxa"/>
          </w:tcPr>
          <w:p w14:paraId="2B65EFA4" w14:textId="77777777" w:rsidR="00205CBC" w:rsidRDefault="00000000">
            <w:r>
              <w:rPr>
                <w:color w:val="1F4E9E"/>
              </w:rPr>
              <w:t>.018</w:t>
            </w:r>
          </w:p>
        </w:tc>
        <w:tc>
          <w:tcPr>
            <w:tcW w:w="987" w:type="dxa"/>
          </w:tcPr>
          <w:p w14:paraId="00A73914" w14:textId="77777777" w:rsidR="00205CBC" w:rsidRDefault="00000000">
            <w:r>
              <w:rPr>
                <w:color w:val="1F4E9E"/>
              </w:rPr>
              <w:t>5.67</w:t>
            </w:r>
          </w:p>
        </w:tc>
        <w:tc>
          <w:tcPr>
            <w:tcW w:w="987" w:type="dxa"/>
          </w:tcPr>
          <w:p w14:paraId="2A456738" w14:textId="77777777" w:rsidR="00205CBC" w:rsidRDefault="00000000">
            <w:r>
              <w:rPr>
                <w:color w:val="1F4E9E"/>
              </w:rPr>
              <w:t>.027</w:t>
            </w:r>
          </w:p>
        </w:tc>
      </w:tr>
      <w:tr w:rsidR="00205CBC" w14:paraId="1DB2C4E6" w14:textId="77777777">
        <w:tc>
          <w:tcPr>
            <w:tcW w:w="3149" w:type="dxa"/>
          </w:tcPr>
          <w:p w14:paraId="5CBF6D52" w14:textId="77777777" w:rsidR="00205CBC" w:rsidRDefault="00000000">
            <w:r>
              <w:rPr>
                <w:color w:val="1F4E9E"/>
              </w:rPr>
              <w:t>second half (1–2 s)</w:t>
            </w:r>
          </w:p>
        </w:tc>
        <w:tc>
          <w:tcPr>
            <w:tcW w:w="987" w:type="dxa"/>
          </w:tcPr>
          <w:p w14:paraId="36D1BD14" w14:textId="77777777" w:rsidR="00205CBC" w:rsidRDefault="00000000">
            <w:r>
              <w:rPr>
                <w:color w:val="1F4E9E"/>
              </w:rPr>
              <w:t>2.22</w:t>
            </w:r>
          </w:p>
        </w:tc>
        <w:tc>
          <w:tcPr>
            <w:tcW w:w="987" w:type="dxa"/>
          </w:tcPr>
          <w:p w14:paraId="274F7D63" w14:textId="77777777" w:rsidR="00205CBC" w:rsidRDefault="00000000">
            <w:r>
              <w:rPr>
                <w:color w:val="1F4E9E"/>
              </w:rPr>
              <w:t>.151</w:t>
            </w:r>
          </w:p>
        </w:tc>
        <w:tc>
          <w:tcPr>
            <w:tcW w:w="987" w:type="dxa"/>
          </w:tcPr>
          <w:p w14:paraId="2F89FFA1" w14:textId="77777777" w:rsidR="00205CBC" w:rsidRDefault="00000000">
            <w:r>
              <w:rPr>
                <w:color w:val="1F4E9E"/>
              </w:rPr>
              <w:t>0.37</w:t>
            </w:r>
          </w:p>
        </w:tc>
        <w:tc>
          <w:tcPr>
            <w:tcW w:w="987" w:type="dxa"/>
          </w:tcPr>
          <w:p w14:paraId="5C2093F6" w14:textId="77777777" w:rsidR="00205CBC" w:rsidRDefault="00000000">
            <w:r>
              <w:rPr>
                <w:color w:val="1F4E9E"/>
              </w:rPr>
              <w:t>.658</w:t>
            </w:r>
          </w:p>
        </w:tc>
        <w:tc>
          <w:tcPr>
            <w:tcW w:w="987" w:type="dxa"/>
          </w:tcPr>
          <w:p w14:paraId="68D9215A" w14:textId="77777777" w:rsidR="00205CBC" w:rsidRDefault="00000000">
            <w:r>
              <w:rPr>
                <w:color w:val="1F4E9E"/>
              </w:rPr>
              <w:t>5.34</w:t>
            </w:r>
          </w:p>
        </w:tc>
        <w:tc>
          <w:tcPr>
            <w:tcW w:w="987" w:type="dxa"/>
          </w:tcPr>
          <w:p w14:paraId="6CE1637E" w14:textId="77777777" w:rsidR="00205CBC" w:rsidRDefault="00000000">
            <w:r>
              <w:rPr>
                <w:color w:val="1F4E9E"/>
              </w:rPr>
              <w:t>.031</w:t>
            </w:r>
          </w:p>
        </w:tc>
      </w:tr>
    </w:tbl>
    <w:p w14:paraId="2913DD57" w14:textId="77777777" w:rsidR="00205CBC" w:rsidRDefault="00000000">
      <w:r>
        <w:rPr>
          <w:color w:val="1F4E9E"/>
        </w:rPr>
        <w:t>The coherence-dependent trend is present in the first half (linear trend × coherence significant) and extinguished in the second half (same contrast null), while the duration-dependent trend holds in both halves. This is the pattern expected if coherence-dependent trajectories are converging on a common sustained level rather than ramping at a constant, coherence-dependent rate throughout the period: the full-window test in Table S3 above, which averages across both halves, accordingly shows neither a significant linear nor quadratic coherence × time trend.</w:t>
      </w:r>
    </w:p>
    <w:p>
      <w:r>
        <w:rPr>
          <w:b/>
        </w:rPr>
        <w:t xml:space="preserve">Table S5. </w:t>
      </w:r>
      <w:r>
        <w:rPr>
          <w:b/>
        </w:rPr>
        <w:t>Delay-period partial-activation rate: an unbinned point-process analysis.</w:t>
      </w:r>
    </w:p>
    <w:p w14:paraId="73212C5D" w14:textId="77777777" w:rsidR="00205CBC" w:rsidRDefault="00000000">
      <w:r>
        <w:rPr>
          <w:color w:val="1F4E9E"/>
        </w:rPr>
        <w:t xml:space="preserve">To avoid the arbitrary time-bin factor altogether (Materials and Methods), the coherence-dependent ramp in delay-period partial-activation rate was additionally tested with no binning at all, using the exact onset time of each partial activation. Writing the log-intensity as a linear function of time, </w:t>
      </w:r>
      <m:oMath>
        <m:r>
          <m:rPr>
            <m:nor/>
          </m:rPr>
          <w:rPr>
            <w:rFonts w:ascii="Cambria Math" w:hAnsi="Cambria Math"/>
            <w:color w:val="1F4E9E"/>
          </w:rPr>
          <m:t xml:space="preserve">ln</m:t>
        </m:r>
        <m:r>
          <w:rPr>
            <w:rFonts w:ascii="Cambria Math" w:hAnsi="Cambria Math"/>
            <w:color w:val="1F4E9E"/>
          </w:rPr>
          <m:t xml:space="preserve">ν</m:t>
        </m:r>
        <m:d>
          <m:dPr>
            <m:begChr m:val="("/>
            <m:endChr m:val=")"/>
            <m:ctrlPr/>
          </m:dPr>
          <m:e>
            <m:r>
              <w:rPr>
                <w:rFonts w:ascii="Cambria Math" w:hAnsi="Cambria Math"/>
                <w:color w:val="1F4E9E"/>
              </w:rPr>
              <m:t xml:space="preserve">t</m:t>
            </m:r>
          </m:e>
        </m:d>
        <m:r>
          <m:rPr>
            <m:nor/>
          </m:rPr>
          <w:rPr>
            <w:rFonts w:ascii="Cambria Math" w:hAnsi="Cambria Math"/>
            <w:color w:val="1F4E9E"/>
          </w:rPr>
          <m:t xml:space="preserve">=</m:t>
        </m:r>
        <m:sSub>
          <m:sSubPr>
            <m:ctrlPr/>
          </m:sSubPr>
          <m:e>
            <m:r>
              <w:rPr>
                <w:rFonts w:ascii="Cambria Math" w:hAnsi="Cambria Math"/>
                <w:color w:val="1F4E9E"/>
              </w:rPr>
              <m:t xml:space="preserve">c</m:t>
            </m:r>
          </m:e>
          <m:sub>
            <m:r>
              <m:rPr>
                <m:nor/>
              </m:rPr>
              <w:rPr>
                <w:rFonts w:ascii="Cambria Math" w:hAnsi="Cambria Math"/>
                <w:color w:val="1F4E9E"/>
              </w:rPr>
              <m:t xml:space="preserve">0</m:t>
            </m:r>
          </m:sub>
        </m:sSub>
        <m:r>
          <m:rPr>
            <m:nor/>
          </m:rPr>
          <w:rPr>
            <w:rFonts w:ascii="Cambria Math" w:hAnsi="Cambria Math"/>
            <w:color w:val="1F4E9E"/>
          </w:rPr>
          <m:t xml:space="preserve">+</m:t>
        </m:r>
        <m:sSub>
          <m:sSubPr>
            <m:ctrlPr/>
          </m:sSubPr>
          <m:e>
            <m:r>
              <w:rPr>
                <w:rFonts w:ascii="Cambria Math" w:hAnsi="Cambria Math"/>
                <w:color w:val="1F4E9E"/>
              </w:rPr>
              <m:t xml:space="preserve">c</m:t>
            </m:r>
          </m:e>
          <m:sub>
            <m:r>
              <m:rPr>
                <m:nor/>
              </m:rPr>
              <w:rPr>
                <w:rFonts w:ascii="Cambria Math" w:hAnsi="Cambria Math"/>
                <w:color w:val="1F4E9E"/>
              </w:rPr>
              <m:t xml:space="preserve">1</m:t>
            </m:r>
          </m:sub>
        </m:sSub>
        <m:r>
          <w:rPr>
            <w:rFonts w:ascii="Cambria Math" w:hAnsi="Cambria Math"/>
            <w:color w:val="1F4E9E"/>
          </w:rPr>
          <m:t xml:space="preserve">t</m:t>
        </m:r>
      </m:oMath>
      <w:r>
        <w:rPr>
          <w:color w:val="1F4E9E"/>
        </w:rPr>
        <w:t xml:space="preserve">, the log-rate slope </w:t>
      </w:r>
      <m:oMath>
        <m:sSub>
          <m:sSubPr>
            <m:ctrlPr/>
          </m:sSubPr>
          <m:e>
            <m:r>
              <w:rPr>
                <w:rFonts w:ascii="Cambria Math" w:hAnsi="Cambria Math"/>
                <w:color w:val="1F4E9E"/>
              </w:rPr>
              <m:t xml:space="preserve">c</m:t>
            </m:r>
          </m:e>
          <m:sub>
            <m:r>
              <m:rPr>
                <m:nor/>
              </m:rPr>
              <w:rPr>
                <w:rFonts w:ascii="Cambria Math" w:hAnsi="Cambria Math"/>
                <w:color w:val="1F4E9E"/>
              </w:rPr>
              <m:t xml:space="preserve">1</m:t>
            </m:r>
          </m:sub>
        </m:sSub>
      </m:oMath>
      <w:r>
        <w:rPr>
          <w:color w:val="1F4E9E"/>
        </w:rPr>
        <w:t xml:space="preserve"> was estimated per participant and per coherence × duration cell from an inhomogeneous-Poisson point-process likelihood and entered into the same repeated-measures ANOVA as any other score (two-stage estimator); a one-stage log-linear model fitted across all participants with cluster-robust standard errors gave the same pattern of results (below). Both estimators treat the Poisson likelihood as a quasi-likelihood rather than a literal one, since upcrossing events cluster in time; standard errors accordingly come from between-participant variation (two-stage) or a cluster-robust correction (one-stage). This is a different estimator from the binned one the bound of the Appendix is compared against (Appendix, A.7), which must match the binning of the published analysis; the two agree on the sign and the approximate size of the slope.</w:t>
      </w:r>
    </w:p>
    <w:tbl>
      <w:tblPr>
        <w:tblW w:w="0" w:type="auto"/>
        <w:tblLook w:val="04A0" w:firstRow="1" w:lastRow="0" w:firstColumn="1" w:lastColumn="0" w:noHBand="0" w:noVBand="1"/>
      </w:tblPr>
      <w:tblGrid>
        <w:gridCol w:w="2219"/>
        <w:gridCol w:w="3797"/>
        <w:gridCol w:w="3056"/>
      </w:tblGrid>
      <w:tr w:rsidR="00205CBC" w14:paraId="7A8D88A9" w14:textId="77777777">
        <w:tc>
          <w:tcPr>
            <w:tcW w:w="2519" w:type="dxa"/>
          </w:tcPr>
          <w:p w14:paraId="738D97BD" w14:textId="77777777" w:rsidR="00205CBC" w:rsidRDefault="00205CBC"/>
        </w:tc>
        <w:tc>
          <w:tcPr>
            <w:tcW w:w="4457" w:type="dxa"/>
          </w:tcPr>
          <w:p w14:paraId="1A033489" w14:textId="77777777" w:rsidR="00205CBC" w:rsidRDefault="00000000">
            <w:r>
              <w:rPr>
                <w:color w:val="1F4E9E"/>
              </w:rPr>
              <w:t>two-stage</w:t>
            </w:r>
          </w:p>
        </w:tc>
        <w:tc>
          <w:tcPr>
            <w:tcW w:w="3669" w:type="dxa"/>
          </w:tcPr>
          <w:p w14:paraId="08031D73" w14:textId="77777777" w:rsidR="00205CBC" w:rsidRDefault="00000000">
            <w:r>
              <w:rPr>
                <w:color w:val="1F4E9E"/>
              </w:rPr>
              <w:t>one-stage, robust</w:t>
            </w:r>
          </w:p>
        </w:tc>
      </w:tr>
      <w:tr w:rsidR="00205CBC" w14:paraId="73B44A76" w14:textId="77777777">
        <w:tc>
          <w:tcPr>
            <w:tcW w:w="2519" w:type="dxa"/>
          </w:tcPr>
          <w:p w14:paraId="22C0AAF7" w14:textId="77777777" w:rsidR="00205CBC" w:rsidRDefault="00000000">
            <w:r>
              <w:rPr>
                <w:color w:val="1F4E9E"/>
              </w:rPr>
              <w:lastRenderedPageBreak/>
              <w:t>log-rate slope</w:t>
            </w:r>
          </w:p>
        </w:tc>
        <w:tc>
          <w:tcPr>
            <w:tcW w:w="4457" w:type="dxa"/>
          </w:tcPr>
          <w:p w14:paraId="546B8B0A" w14:textId="77777777" w:rsidR="00205CBC" w:rsidRDefault="00000000">
            <w:r>
              <w:rPr>
                <w:color w:val="1F4E9E"/>
              </w:rPr>
              <w:t>+0.929, F(1,21) = 102.95, p &lt; .001</w:t>
            </w:r>
          </w:p>
        </w:tc>
        <w:tc>
          <w:tcPr>
            <w:tcW w:w="3669" w:type="dxa"/>
          </w:tcPr>
          <w:p w14:paraId="3CC1D926" w14:textId="77777777" w:rsidR="00205CBC" w:rsidRDefault="00000000">
            <w:r>
              <w:rPr>
                <w:color w:val="1F4E9E"/>
              </w:rPr>
              <w:t>+0.841, z = 11.23, p &lt; .001</w:t>
            </w:r>
          </w:p>
        </w:tc>
      </w:tr>
      <w:tr w:rsidR="00205CBC" w14:paraId="5EA0932E" w14:textId="77777777">
        <w:tc>
          <w:tcPr>
            <w:tcW w:w="2519" w:type="dxa"/>
          </w:tcPr>
          <w:p w14:paraId="669991E4" w14:textId="77777777" w:rsidR="00205CBC" w:rsidRDefault="00000000">
            <w:r>
              <w:rPr>
                <w:color w:val="1F4E9E"/>
              </w:rPr>
              <w:t>slope × duration</w:t>
            </w:r>
          </w:p>
        </w:tc>
        <w:tc>
          <w:tcPr>
            <w:tcW w:w="4457" w:type="dxa"/>
          </w:tcPr>
          <w:p w14:paraId="2C7ECFCA" w14:textId="77777777" w:rsidR="00205CBC" w:rsidRDefault="00000000">
            <w:r>
              <w:rPr>
                <w:color w:val="1F4E9E"/>
              </w:rPr>
              <w:t>F(1,21) = 4.78, p = .040</w:t>
            </w:r>
          </w:p>
        </w:tc>
        <w:tc>
          <w:tcPr>
            <w:tcW w:w="3669" w:type="dxa"/>
          </w:tcPr>
          <w:p w14:paraId="17F64ACF" w14:textId="77777777" w:rsidR="00205CBC" w:rsidRDefault="00000000">
            <w:r>
              <w:rPr>
                <w:color w:val="1F4E9E"/>
              </w:rPr>
              <w:t>−0.179, z = −3.17, p = .002</w:t>
            </w:r>
          </w:p>
        </w:tc>
      </w:tr>
      <w:tr w:rsidR="00205CBC" w14:paraId="4CFA1009" w14:textId="77777777">
        <w:tc>
          <w:tcPr>
            <w:tcW w:w="2519" w:type="dxa"/>
          </w:tcPr>
          <w:p w14:paraId="513B3D74" w14:textId="77777777" w:rsidR="00205CBC" w:rsidRDefault="00000000">
            <w:r>
              <w:rPr>
                <w:color w:val="1F4E9E"/>
              </w:rPr>
              <w:t>slope × coherence</w:t>
            </w:r>
          </w:p>
        </w:tc>
        <w:tc>
          <w:tcPr>
            <w:tcW w:w="4457" w:type="dxa"/>
          </w:tcPr>
          <w:p w14:paraId="68B15AA3" w14:textId="77777777" w:rsidR="00205CBC" w:rsidRDefault="00000000">
            <w:r>
              <w:rPr>
                <w:color w:val="1F4E9E"/>
              </w:rPr>
              <w:t>F(1.38,29.04) = 4.20, p = .038</w:t>
            </w:r>
          </w:p>
        </w:tc>
        <w:tc>
          <w:tcPr>
            <w:tcW w:w="3669" w:type="dxa"/>
          </w:tcPr>
          <w:p w14:paraId="76EF14B3" w14:textId="77777777" w:rsidR="00205CBC" w:rsidRDefault="00000000">
            <w:r>
              <w:rPr>
                <w:color w:val="1F4E9E"/>
              </w:rPr>
              <w:t>−0.263, z = −5.02, p &lt; .001</w:t>
            </w:r>
          </w:p>
        </w:tc>
      </w:tr>
      <w:tr w:rsidR="00205CBC" w14:paraId="2BB58FA6" w14:textId="77777777">
        <w:tc>
          <w:tcPr>
            <w:tcW w:w="2519" w:type="dxa"/>
          </w:tcPr>
          <w:p w14:paraId="30461099" w14:textId="77777777" w:rsidR="00205CBC" w:rsidRDefault="00000000">
            <w:r>
              <w:rPr>
                <w:color w:val="1F4E9E"/>
              </w:rPr>
              <w:t>slope × duration × coherence</w:t>
            </w:r>
          </w:p>
        </w:tc>
        <w:tc>
          <w:tcPr>
            <w:tcW w:w="4457" w:type="dxa"/>
          </w:tcPr>
          <w:p w14:paraId="0AF78392" w14:textId="77777777" w:rsidR="00205CBC" w:rsidRDefault="00000000">
            <w:r>
              <w:rPr>
                <w:color w:val="1F4E9E"/>
              </w:rPr>
              <w:t>F(1.87,39.23) = 0.39, p = .663</w:t>
            </w:r>
          </w:p>
        </w:tc>
        <w:tc>
          <w:tcPr>
            <w:tcW w:w="3669" w:type="dxa"/>
          </w:tcPr>
          <w:p w14:paraId="547F1E2D" w14:textId="77777777" w:rsidR="00205CBC" w:rsidRDefault="00000000">
            <w:r>
              <w:rPr>
                <w:color w:val="1F4E9E"/>
              </w:rPr>
              <w:t>—</w:t>
            </w:r>
          </w:p>
        </w:tc>
      </w:tr>
    </w:tbl>
    <w:p w14:paraId="6F548AF9" w14:textId="77777777" w:rsidR="00205CBC" w:rsidRDefault="00000000">
      <w:r>
        <w:rPr>
          <w:color w:val="1F4E9E"/>
        </w:rPr>
        <w:t xml:space="preserve">The log-rate slope was positive and shallower both after a long stimulus and at high coherence — the pattern expected under accumulation to an internal threshold, since either factor raises the maintained level and thereby </w:t>
      </w:r>
      <w:r>
        <w:rPr>
          <w:color w:val="1F4E9E"/>
        </w:rPr>
        <w:t>reduces the distance to the gate (</w:t>
      </w:r>
      <w:r>
        <w:rPr>
          <w:color w:val="1F4E9E"/>
        </w:rPr>
        <w:t>Equation (25)</w:t>
      </w:r>
      <w:r>
        <w:rPr>
          <w:color w:val="1F4E9E"/>
        </w:rPr>
        <w:t>).</w:t>
      </w:r>
      <w:r>
        <w:rPr>
          <w:color w:val="1F4E9E"/>
        </w:rPr>
        <w:t xml:space="preserve"> The two estimators agree on sign throughout and differ in magnitude by about a tenth, consistent with the two-stage estimator weighting participants equally and the one-stage estimator weighting them by precision.</w:t>
      </w:r>
    </w:p>
    <w:sectPr w:rsidR="00205CB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682DF" w14:textId="77777777" w:rsidR="00636FD4" w:rsidRDefault="00636FD4" w:rsidP="00C05580">
      <w:pPr>
        <w:spacing w:after="0" w:line="240" w:lineRule="auto"/>
      </w:pPr>
      <w:r>
        <w:separator/>
      </w:r>
    </w:p>
  </w:endnote>
  <w:endnote w:type="continuationSeparator" w:id="0">
    <w:p w14:paraId="0DFBAD9B" w14:textId="77777777" w:rsidR="00636FD4" w:rsidRDefault="00636FD4" w:rsidP="00C05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Narrow">
    <w:altName w:val="Arial"/>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04778"/>
      <w:docPartObj>
        <w:docPartGallery w:val="Page Numbers (Bottom of Page)"/>
        <w:docPartUnique/>
      </w:docPartObj>
    </w:sdtPr>
    <w:sdtContent>
      <w:p w14:paraId="293C2343" w14:textId="77777777" w:rsidR="00FA7B12" w:rsidRDefault="00FA7B12">
        <w:pPr>
          <w:pStyle w:val="Pieddepage"/>
          <w:jc w:val="center"/>
        </w:pPr>
        <w:r>
          <w:fldChar w:fldCharType="begin"/>
        </w:r>
        <w:r>
          <w:instrText>PAGE   \* MERGEFORMAT</w:instrText>
        </w:r>
        <w:r>
          <w:fldChar w:fldCharType="separate"/>
        </w:r>
        <w:r w:rsidR="00CF307D" w:rsidRPr="00CF307D">
          <w:rPr>
            <w:noProof/>
            <w:lang w:val="fr-FR"/>
          </w:rPr>
          <w:t>22</w:t>
        </w:r>
        <w:r>
          <w:fldChar w:fldCharType="end"/>
        </w:r>
      </w:p>
    </w:sdtContent>
  </w:sdt>
  <w:p w14:paraId="032194BD" w14:textId="77777777" w:rsidR="00FA7B12" w:rsidRDefault="00FA7B1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770B6" w14:textId="77777777" w:rsidR="00636FD4" w:rsidRDefault="00636FD4" w:rsidP="00C05580">
      <w:pPr>
        <w:spacing w:after="0" w:line="240" w:lineRule="auto"/>
      </w:pPr>
      <w:r>
        <w:separator/>
      </w:r>
    </w:p>
  </w:footnote>
  <w:footnote w:type="continuationSeparator" w:id="0">
    <w:p w14:paraId="76E031D8" w14:textId="77777777" w:rsidR="00636FD4" w:rsidRDefault="00636FD4" w:rsidP="00C05580">
      <w:pPr>
        <w:spacing w:after="0" w:line="240" w:lineRule="auto"/>
      </w:pPr>
      <w:r>
        <w:continuationSeparator/>
      </w:r>
    </w:p>
  </w:footnote>
  <w:footnote w:id="1">
    <w:p>
      <w:pPr>
        <w:pStyle w:val="FootnoteText"/>
      </w:pPr>
      <w:r>
        <w:rPr>
          <w:rStyle w:val="FootnoteReference"/>
          <w:vertAlign w:val="superscript"/>
        </w:rPr>
        <w:footnoteRef/>
      </w:r>
      <w:r>
        <w:t xml:space="preserve"> </w:t>
      </w:r>
      <w:r>
        <w:rPr>
          <w:color w:val="1F4E9E"/>
        </w:rPr>
        <w:t xml:space="preserve">As a robustness check, we repeated the parameter-space evaluation above with leakage added to both accumulators — dx(t) = [skc − γx(t)]dt + σₓdWₓ(t) and dq(t) = [μRS − γq(t)]dt + σᵧdWᵧ(t), with matched leakage rates γ = 0.25, 0.50, or 1.00 s⁻¹ — using the same sampled parameter vectors, admissibility criteria, and prediction-evaluation procedure as above. Both RT predictions remained supported at comparable rates to the leak-free case at every tested leakage level (Results, Behavior).</w:t>
      </w:r>
    </w:p>
  </w:footnote>
  <w:footnote w:id="2">
    <w:p>
      <w:pPr>
        <w:pStyle w:val="FootnoteText"/>
      </w:pPr>
      <w:r>
        <w:rPr>
          <w:rStyle w:val="FootnoteReference"/>
          <w:vertAlign w:val="superscript"/>
        </w:rPr>
        <w:footnoteRef/>
      </w:r>
      <w:r>
        <w:t xml:space="preserve"> </w:t>
      </w:r>
      <w:r>
        <w:rPr>
          <w:color w:val="1F4E9E"/>
        </w:rPr>
        <w:t xml:space="preserve">Rather than as orthogonal polynomial contrasts (linear, quadratic, …) in a single pooled model, which would require sphericity — badly violated in this dataset: several Greenhouse–Geisser ε values already reported for the omnibus time-bin effects fall below 0.2 (Tables 2, S2–S4).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891"/>
    <w:multiLevelType w:val="hybridMultilevel"/>
    <w:tmpl w:val="57E68FD2"/>
    <w:lvl w:ilvl="0" w:tplc="9CA04D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D53A2"/>
    <w:multiLevelType w:val="hybridMultilevel"/>
    <w:tmpl w:val="8C10C98E"/>
    <w:lvl w:ilvl="0" w:tplc="E3C234CE">
      <w:start w:val="1"/>
      <w:numFmt w:val="bullet"/>
      <w:lvlText w:val=""/>
      <w:lvlJc w:val="left"/>
      <w:pPr>
        <w:ind w:left="1080" w:hanging="360"/>
      </w:pPr>
      <w:rPr>
        <w:rFonts w:ascii="Symbol" w:hAnsi="Symbol"/>
      </w:rPr>
    </w:lvl>
    <w:lvl w:ilvl="1" w:tplc="3AD45F4A">
      <w:start w:val="1"/>
      <w:numFmt w:val="bullet"/>
      <w:lvlText w:val=""/>
      <w:lvlJc w:val="left"/>
      <w:pPr>
        <w:ind w:left="1080" w:hanging="360"/>
      </w:pPr>
      <w:rPr>
        <w:rFonts w:ascii="Symbol" w:hAnsi="Symbol"/>
      </w:rPr>
    </w:lvl>
    <w:lvl w:ilvl="2" w:tplc="0734D6EE">
      <w:start w:val="1"/>
      <w:numFmt w:val="bullet"/>
      <w:lvlText w:val=""/>
      <w:lvlJc w:val="left"/>
      <w:pPr>
        <w:ind w:left="1080" w:hanging="360"/>
      </w:pPr>
      <w:rPr>
        <w:rFonts w:ascii="Symbol" w:hAnsi="Symbol"/>
      </w:rPr>
    </w:lvl>
    <w:lvl w:ilvl="3" w:tplc="058662B6">
      <w:start w:val="1"/>
      <w:numFmt w:val="bullet"/>
      <w:lvlText w:val=""/>
      <w:lvlJc w:val="left"/>
      <w:pPr>
        <w:ind w:left="1080" w:hanging="360"/>
      </w:pPr>
      <w:rPr>
        <w:rFonts w:ascii="Symbol" w:hAnsi="Symbol"/>
      </w:rPr>
    </w:lvl>
    <w:lvl w:ilvl="4" w:tplc="462EE696">
      <w:start w:val="1"/>
      <w:numFmt w:val="bullet"/>
      <w:lvlText w:val=""/>
      <w:lvlJc w:val="left"/>
      <w:pPr>
        <w:ind w:left="1080" w:hanging="360"/>
      </w:pPr>
      <w:rPr>
        <w:rFonts w:ascii="Symbol" w:hAnsi="Symbol"/>
      </w:rPr>
    </w:lvl>
    <w:lvl w:ilvl="5" w:tplc="A4D8A0B0">
      <w:start w:val="1"/>
      <w:numFmt w:val="bullet"/>
      <w:lvlText w:val=""/>
      <w:lvlJc w:val="left"/>
      <w:pPr>
        <w:ind w:left="1080" w:hanging="360"/>
      </w:pPr>
      <w:rPr>
        <w:rFonts w:ascii="Symbol" w:hAnsi="Symbol"/>
      </w:rPr>
    </w:lvl>
    <w:lvl w:ilvl="6" w:tplc="2F94ACA0">
      <w:start w:val="1"/>
      <w:numFmt w:val="bullet"/>
      <w:lvlText w:val=""/>
      <w:lvlJc w:val="left"/>
      <w:pPr>
        <w:ind w:left="1080" w:hanging="360"/>
      </w:pPr>
      <w:rPr>
        <w:rFonts w:ascii="Symbol" w:hAnsi="Symbol"/>
      </w:rPr>
    </w:lvl>
    <w:lvl w:ilvl="7" w:tplc="E368B99C">
      <w:start w:val="1"/>
      <w:numFmt w:val="bullet"/>
      <w:lvlText w:val=""/>
      <w:lvlJc w:val="left"/>
      <w:pPr>
        <w:ind w:left="1080" w:hanging="360"/>
      </w:pPr>
      <w:rPr>
        <w:rFonts w:ascii="Symbol" w:hAnsi="Symbol"/>
      </w:rPr>
    </w:lvl>
    <w:lvl w:ilvl="8" w:tplc="477233B0">
      <w:start w:val="1"/>
      <w:numFmt w:val="bullet"/>
      <w:lvlText w:val=""/>
      <w:lvlJc w:val="left"/>
      <w:pPr>
        <w:ind w:left="1080" w:hanging="360"/>
      </w:pPr>
      <w:rPr>
        <w:rFonts w:ascii="Symbol" w:hAnsi="Symbol"/>
      </w:rPr>
    </w:lvl>
  </w:abstractNum>
  <w:abstractNum w:abstractNumId="2" w15:restartNumberingAfterBreak="0">
    <w:nsid w:val="37D119B2"/>
    <w:multiLevelType w:val="hybridMultilevel"/>
    <w:tmpl w:val="F6720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355195"/>
    <w:multiLevelType w:val="hybridMultilevel"/>
    <w:tmpl w:val="F866E5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73612832"/>
    <w:multiLevelType w:val="hybridMultilevel"/>
    <w:tmpl w:val="4224E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CA0D41"/>
    <w:multiLevelType w:val="hybridMultilevel"/>
    <w:tmpl w:val="6952D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3968640">
    <w:abstractNumId w:val="5"/>
  </w:num>
  <w:num w:numId="2" w16cid:durableId="595866472">
    <w:abstractNumId w:val="3"/>
  </w:num>
  <w:num w:numId="3" w16cid:durableId="1250041188">
    <w:abstractNumId w:val="4"/>
  </w:num>
  <w:num w:numId="4" w16cid:durableId="743650823">
    <w:abstractNumId w:val="0"/>
  </w:num>
  <w:num w:numId="5" w16cid:durableId="1097210592">
    <w:abstractNumId w:val="1"/>
  </w:num>
  <w:num w:numId="6" w16cid:durableId="1531991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267"/>
    <w:rsid w:val="0000160E"/>
    <w:rsid w:val="00001A52"/>
    <w:rsid w:val="00001D52"/>
    <w:rsid w:val="00002032"/>
    <w:rsid w:val="000024B8"/>
    <w:rsid w:val="00002660"/>
    <w:rsid w:val="000029D3"/>
    <w:rsid w:val="00002BD6"/>
    <w:rsid w:val="00002E5F"/>
    <w:rsid w:val="0000347C"/>
    <w:rsid w:val="00003720"/>
    <w:rsid w:val="00003AAD"/>
    <w:rsid w:val="00004850"/>
    <w:rsid w:val="00004908"/>
    <w:rsid w:val="00005980"/>
    <w:rsid w:val="0000674D"/>
    <w:rsid w:val="000071BF"/>
    <w:rsid w:val="00007D75"/>
    <w:rsid w:val="00007E4B"/>
    <w:rsid w:val="00010120"/>
    <w:rsid w:val="000102C6"/>
    <w:rsid w:val="000109DB"/>
    <w:rsid w:val="00010D0F"/>
    <w:rsid w:val="00010F96"/>
    <w:rsid w:val="00010FF4"/>
    <w:rsid w:val="00012671"/>
    <w:rsid w:val="0001307B"/>
    <w:rsid w:val="00013117"/>
    <w:rsid w:val="00013AD9"/>
    <w:rsid w:val="00015DDB"/>
    <w:rsid w:val="00016044"/>
    <w:rsid w:val="0001795B"/>
    <w:rsid w:val="00017F4A"/>
    <w:rsid w:val="000211F4"/>
    <w:rsid w:val="00021C12"/>
    <w:rsid w:val="000228AF"/>
    <w:rsid w:val="00022AED"/>
    <w:rsid w:val="00022E11"/>
    <w:rsid w:val="00022FB1"/>
    <w:rsid w:val="00024E65"/>
    <w:rsid w:val="000273DD"/>
    <w:rsid w:val="00031B32"/>
    <w:rsid w:val="00032E57"/>
    <w:rsid w:val="00033095"/>
    <w:rsid w:val="000335B2"/>
    <w:rsid w:val="000338FF"/>
    <w:rsid w:val="00033A94"/>
    <w:rsid w:val="00033AC6"/>
    <w:rsid w:val="00034AE8"/>
    <w:rsid w:val="00034CFA"/>
    <w:rsid w:val="000354ED"/>
    <w:rsid w:val="00035718"/>
    <w:rsid w:val="00037A4D"/>
    <w:rsid w:val="00037B14"/>
    <w:rsid w:val="00040384"/>
    <w:rsid w:val="00040630"/>
    <w:rsid w:val="00041049"/>
    <w:rsid w:val="00041677"/>
    <w:rsid w:val="00041B5B"/>
    <w:rsid w:val="000420E2"/>
    <w:rsid w:val="0004225A"/>
    <w:rsid w:val="00042ABB"/>
    <w:rsid w:val="00045096"/>
    <w:rsid w:val="00047CA8"/>
    <w:rsid w:val="00051317"/>
    <w:rsid w:val="00051399"/>
    <w:rsid w:val="00051CD2"/>
    <w:rsid w:val="00052527"/>
    <w:rsid w:val="000528D7"/>
    <w:rsid w:val="00052A0D"/>
    <w:rsid w:val="00052AD4"/>
    <w:rsid w:val="00053394"/>
    <w:rsid w:val="00053475"/>
    <w:rsid w:val="000537F7"/>
    <w:rsid w:val="0005383B"/>
    <w:rsid w:val="00055B58"/>
    <w:rsid w:val="00055FD8"/>
    <w:rsid w:val="00056B96"/>
    <w:rsid w:val="00056EB7"/>
    <w:rsid w:val="00060029"/>
    <w:rsid w:val="000603A2"/>
    <w:rsid w:val="00060629"/>
    <w:rsid w:val="000621FA"/>
    <w:rsid w:val="00062A83"/>
    <w:rsid w:val="00063F7D"/>
    <w:rsid w:val="00064053"/>
    <w:rsid w:val="000641F5"/>
    <w:rsid w:val="000643DE"/>
    <w:rsid w:val="00064827"/>
    <w:rsid w:val="000648E8"/>
    <w:rsid w:val="00064AE8"/>
    <w:rsid w:val="00064E47"/>
    <w:rsid w:val="00065805"/>
    <w:rsid w:val="00066327"/>
    <w:rsid w:val="00066955"/>
    <w:rsid w:val="00066D9A"/>
    <w:rsid w:val="00066F59"/>
    <w:rsid w:val="00070826"/>
    <w:rsid w:val="0007096A"/>
    <w:rsid w:val="000711AF"/>
    <w:rsid w:val="00071410"/>
    <w:rsid w:val="000714F2"/>
    <w:rsid w:val="00071CFA"/>
    <w:rsid w:val="00072B1A"/>
    <w:rsid w:val="00072B1B"/>
    <w:rsid w:val="00073A59"/>
    <w:rsid w:val="00073A8F"/>
    <w:rsid w:val="0007577D"/>
    <w:rsid w:val="00075C0D"/>
    <w:rsid w:val="00077724"/>
    <w:rsid w:val="00077E07"/>
    <w:rsid w:val="000803C9"/>
    <w:rsid w:val="000807CA"/>
    <w:rsid w:val="00080973"/>
    <w:rsid w:val="00080F5C"/>
    <w:rsid w:val="00082523"/>
    <w:rsid w:val="00082586"/>
    <w:rsid w:val="00083B21"/>
    <w:rsid w:val="00083D79"/>
    <w:rsid w:val="00084733"/>
    <w:rsid w:val="00085280"/>
    <w:rsid w:val="000856AF"/>
    <w:rsid w:val="00085ED3"/>
    <w:rsid w:val="00085EFD"/>
    <w:rsid w:val="00086027"/>
    <w:rsid w:val="000874F5"/>
    <w:rsid w:val="0008791F"/>
    <w:rsid w:val="00087CBE"/>
    <w:rsid w:val="00091017"/>
    <w:rsid w:val="000920E5"/>
    <w:rsid w:val="00093370"/>
    <w:rsid w:val="00093972"/>
    <w:rsid w:val="00094F2D"/>
    <w:rsid w:val="000952A9"/>
    <w:rsid w:val="000956B6"/>
    <w:rsid w:val="0009578F"/>
    <w:rsid w:val="00096171"/>
    <w:rsid w:val="0009640A"/>
    <w:rsid w:val="00096966"/>
    <w:rsid w:val="00097014"/>
    <w:rsid w:val="00097D65"/>
    <w:rsid w:val="00097D82"/>
    <w:rsid w:val="000A0028"/>
    <w:rsid w:val="000A256E"/>
    <w:rsid w:val="000A284A"/>
    <w:rsid w:val="000A420D"/>
    <w:rsid w:val="000A5307"/>
    <w:rsid w:val="000A5887"/>
    <w:rsid w:val="000A5AEF"/>
    <w:rsid w:val="000A6BFF"/>
    <w:rsid w:val="000A75AC"/>
    <w:rsid w:val="000A7D7D"/>
    <w:rsid w:val="000A7FAD"/>
    <w:rsid w:val="000B1679"/>
    <w:rsid w:val="000B18DE"/>
    <w:rsid w:val="000B2125"/>
    <w:rsid w:val="000B3B31"/>
    <w:rsid w:val="000B50BA"/>
    <w:rsid w:val="000B5FE9"/>
    <w:rsid w:val="000B6BB7"/>
    <w:rsid w:val="000B7099"/>
    <w:rsid w:val="000B7234"/>
    <w:rsid w:val="000B74A1"/>
    <w:rsid w:val="000C0A3A"/>
    <w:rsid w:val="000C1183"/>
    <w:rsid w:val="000C177D"/>
    <w:rsid w:val="000C261B"/>
    <w:rsid w:val="000C2ED7"/>
    <w:rsid w:val="000C552F"/>
    <w:rsid w:val="000C610E"/>
    <w:rsid w:val="000C6DD9"/>
    <w:rsid w:val="000C6E60"/>
    <w:rsid w:val="000C72E5"/>
    <w:rsid w:val="000C7B6C"/>
    <w:rsid w:val="000D160F"/>
    <w:rsid w:val="000D1F6F"/>
    <w:rsid w:val="000D27EA"/>
    <w:rsid w:val="000D2F81"/>
    <w:rsid w:val="000D3146"/>
    <w:rsid w:val="000D3F04"/>
    <w:rsid w:val="000D400F"/>
    <w:rsid w:val="000D5ADB"/>
    <w:rsid w:val="000D5CAB"/>
    <w:rsid w:val="000D5EF3"/>
    <w:rsid w:val="000D616A"/>
    <w:rsid w:val="000D770A"/>
    <w:rsid w:val="000D77FF"/>
    <w:rsid w:val="000D7A53"/>
    <w:rsid w:val="000D7AE8"/>
    <w:rsid w:val="000D7C3F"/>
    <w:rsid w:val="000E08B9"/>
    <w:rsid w:val="000E1081"/>
    <w:rsid w:val="000E1710"/>
    <w:rsid w:val="000E1E4B"/>
    <w:rsid w:val="000E2D46"/>
    <w:rsid w:val="000E494A"/>
    <w:rsid w:val="000E4E9C"/>
    <w:rsid w:val="000E51A2"/>
    <w:rsid w:val="000E544A"/>
    <w:rsid w:val="000E559B"/>
    <w:rsid w:val="000E5F17"/>
    <w:rsid w:val="000F189A"/>
    <w:rsid w:val="000F1CAB"/>
    <w:rsid w:val="000F3EBB"/>
    <w:rsid w:val="000F5FED"/>
    <w:rsid w:val="000F6860"/>
    <w:rsid w:val="000F77BF"/>
    <w:rsid w:val="00101709"/>
    <w:rsid w:val="0010212E"/>
    <w:rsid w:val="001025A1"/>
    <w:rsid w:val="0010278E"/>
    <w:rsid w:val="00102A18"/>
    <w:rsid w:val="00102AFE"/>
    <w:rsid w:val="00103207"/>
    <w:rsid w:val="00103CCB"/>
    <w:rsid w:val="001047DC"/>
    <w:rsid w:val="00105212"/>
    <w:rsid w:val="00105DB3"/>
    <w:rsid w:val="001060D4"/>
    <w:rsid w:val="0011202B"/>
    <w:rsid w:val="00112494"/>
    <w:rsid w:val="00114101"/>
    <w:rsid w:val="001142BA"/>
    <w:rsid w:val="0011538C"/>
    <w:rsid w:val="00115A62"/>
    <w:rsid w:val="00115B0A"/>
    <w:rsid w:val="00115BD0"/>
    <w:rsid w:val="0011649E"/>
    <w:rsid w:val="0011735C"/>
    <w:rsid w:val="0011750B"/>
    <w:rsid w:val="001206D6"/>
    <w:rsid w:val="0012144D"/>
    <w:rsid w:val="001217D5"/>
    <w:rsid w:val="0012182B"/>
    <w:rsid w:val="00121918"/>
    <w:rsid w:val="00121D75"/>
    <w:rsid w:val="00122D44"/>
    <w:rsid w:val="00123FC7"/>
    <w:rsid w:val="00124C4B"/>
    <w:rsid w:val="00125A35"/>
    <w:rsid w:val="0012651F"/>
    <w:rsid w:val="00126577"/>
    <w:rsid w:val="00126A6D"/>
    <w:rsid w:val="0013101A"/>
    <w:rsid w:val="0013106D"/>
    <w:rsid w:val="00131334"/>
    <w:rsid w:val="001320BB"/>
    <w:rsid w:val="00132A83"/>
    <w:rsid w:val="00133F08"/>
    <w:rsid w:val="0013442C"/>
    <w:rsid w:val="00134548"/>
    <w:rsid w:val="0013517E"/>
    <w:rsid w:val="001353BC"/>
    <w:rsid w:val="00136D45"/>
    <w:rsid w:val="00136DDA"/>
    <w:rsid w:val="00137242"/>
    <w:rsid w:val="001377C2"/>
    <w:rsid w:val="0014091C"/>
    <w:rsid w:val="0014107E"/>
    <w:rsid w:val="001418F3"/>
    <w:rsid w:val="00141ABE"/>
    <w:rsid w:val="001426AD"/>
    <w:rsid w:val="00144645"/>
    <w:rsid w:val="00145788"/>
    <w:rsid w:val="00145B6D"/>
    <w:rsid w:val="00147587"/>
    <w:rsid w:val="00150A6A"/>
    <w:rsid w:val="0015283E"/>
    <w:rsid w:val="00152CF6"/>
    <w:rsid w:val="00153D8A"/>
    <w:rsid w:val="0015429A"/>
    <w:rsid w:val="00154968"/>
    <w:rsid w:val="00154A0E"/>
    <w:rsid w:val="00156D4E"/>
    <w:rsid w:val="00157A36"/>
    <w:rsid w:val="00157C58"/>
    <w:rsid w:val="001601B3"/>
    <w:rsid w:val="00160356"/>
    <w:rsid w:val="00161431"/>
    <w:rsid w:val="00161734"/>
    <w:rsid w:val="00161A4D"/>
    <w:rsid w:val="00162147"/>
    <w:rsid w:val="00162468"/>
    <w:rsid w:val="001629A1"/>
    <w:rsid w:val="00162F3A"/>
    <w:rsid w:val="0016354D"/>
    <w:rsid w:val="00163B66"/>
    <w:rsid w:val="0016445C"/>
    <w:rsid w:val="001651CC"/>
    <w:rsid w:val="00166586"/>
    <w:rsid w:val="00167338"/>
    <w:rsid w:val="00167B08"/>
    <w:rsid w:val="00167C39"/>
    <w:rsid w:val="00171A12"/>
    <w:rsid w:val="00171AED"/>
    <w:rsid w:val="00171F8D"/>
    <w:rsid w:val="001721C3"/>
    <w:rsid w:val="00172BDC"/>
    <w:rsid w:val="00172DD3"/>
    <w:rsid w:val="001733C0"/>
    <w:rsid w:val="001738DE"/>
    <w:rsid w:val="00173F8D"/>
    <w:rsid w:val="001748EA"/>
    <w:rsid w:val="00174B6A"/>
    <w:rsid w:val="00177050"/>
    <w:rsid w:val="00177638"/>
    <w:rsid w:val="001805C9"/>
    <w:rsid w:val="001812A5"/>
    <w:rsid w:val="0018257D"/>
    <w:rsid w:val="001827B1"/>
    <w:rsid w:val="001837A4"/>
    <w:rsid w:val="00183E07"/>
    <w:rsid w:val="001844C5"/>
    <w:rsid w:val="00184ABA"/>
    <w:rsid w:val="001858DC"/>
    <w:rsid w:val="001873CD"/>
    <w:rsid w:val="0018779D"/>
    <w:rsid w:val="001919DA"/>
    <w:rsid w:val="00191EB7"/>
    <w:rsid w:val="00192815"/>
    <w:rsid w:val="00193EB6"/>
    <w:rsid w:val="00194EF8"/>
    <w:rsid w:val="0019672C"/>
    <w:rsid w:val="00196C9F"/>
    <w:rsid w:val="00196D7C"/>
    <w:rsid w:val="001A0034"/>
    <w:rsid w:val="001A0D9F"/>
    <w:rsid w:val="001A1DF0"/>
    <w:rsid w:val="001A25F1"/>
    <w:rsid w:val="001A269A"/>
    <w:rsid w:val="001A32FB"/>
    <w:rsid w:val="001A4D52"/>
    <w:rsid w:val="001A4E8E"/>
    <w:rsid w:val="001A4F50"/>
    <w:rsid w:val="001A52E9"/>
    <w:rsid w:val="001A5A17"/>
    <w:rsid w:val="001A6FD5"/>
    <w:rsid w:val="001A6FFF"/>
    <w:rsid w:val="001A7372"/>
    <w:rsid w:val="001B07FF"/>
    <w:rsid w:val="001B38CF"/>
    <w:rsid w:val="001B4AFB"/>
    <w:rsid w:val="001B6BED"/>
    <w:rsid w:val="001C0108"/>
    <w:rsid w:val="001C0130"/>
    <w:rsid w:val="001C0E59"/>
    <w:rsid w:val="001C150E"/>
    <w:rsid w:val="001C21C8"/>
    <w:rsid w:val="001C279D"/>
    <w:rsid w:val="001C3388"/>
    <w:rsid w:val="001C3887"/>
    <w:rsid w:val="001C3C3A"/>
    <w:rsid w:val="001C3D6F"/>
    <w:rsid w:val="001C46D2"/>
    <w:rsid w:val="001C50B4"/>
    <w:rsid w:val="001C70AC"/>
    <w:rsid w:val="001C7BC0"/>
    <w:rsid w:val="001C7F43"/>
    <w:rsid w:val="001D038B"/>
    <w:rsid w:val="001D1676"/>
    <w:rsid w:val="001D195F"/>
    <w:rsid w:val="001D1E00"/>
    <w:rsid w:val="001D2279"/>
    <w:rsid w:val="001D2373"/>
    <w:rsid w:val="001D2881"/>
    <w:rsid w:val="001D3C61"/>
    <w:rsid w:val="001D3D7F"/>
    <w:rsid w:val="001D3E97"/>
    <w:rsid w:val="001D423E"/>
    <w:rsid w:val="001D54DF"/>
    <w:rsid w:val="001D5D27"/>
    <w:rsid w:val="001D64DD"/>
    <w:rsid w:val="001D6F55"/>
    <w:rsid w:val="001D7034"/>
    <w:rsid w:val="001D778B"/>
    <w:rsid w:val="001D7FB1"/>
    <w:rsid w:val="001E0357"/>
    <w:rsid w:val="001E0CC2"/>
    <w:rsid w:val="001E0F88"/>
    <w:rsid w:val="001E1D3C"/>
    <w:rsid w:val="001E2A70"/>
    <w:rsid w:val="001E2BE4"/>
    <w:rsid w:val="001E3B7E"/>
    <w:rsid w:val="001E3C30"/>
    <w:rsid w:val="001E3E25"/>
    <w:rsid w:val="001E53FE"/>
    <w:rsid w:val="001E6C83"/>
    <w:rsid w:val="001F0500"/>
    <w:rsid w:val="001F0BD0"/>
    <w:rsid w:val="001F19A0"/>
    <w:rsid w:val="001F1A65"/>
    <w:rsid w:val="001F1FC3"/>
    <w:rsid w:val="001F4452"/>
    <w:rsid w:val="001F4BA9"/>
    <w:rsid w:val="001F4C6D"/>
    <w:rsid w:val="001F4DE7"/>
    <w:rsid w:val="001F57C1"/>
    <w:rsid w:val="001F6208"/>
    <w:rsid w:val="001F63C0"/>
    <w:rsid w:val="001F6C70"/>
    <w:rsid w:val="001F6EB1"/>
    <w:rsid w:val="001F7E3C"/>
    <w:rsid w:val="00200195"/>
    <w:rsid w:val="002018A2"/>
    <w:rsid w:val="0020277F"/>
    <w:rsid w:val="00203A49"/>
    <w:rsid w:val="002042CF"/>
    <w:rsid w:val="002045F7"/>
    <w:rsid w:val="00205CBC"/>
    <w:rsid w:val="002063EB"/>
    <w:rsid w:val="0020677B"/>
    <w:rsid w:val="00210C67"/>
    <w:rsid w:val="002137F4"/>
    <w:rsid w:val="00213BC2"/>
    <w:rsid w:val="0021438A"/>
    <w:rsid w:val="00214D34"/>
    <w:rsid w:val="00216003"/>
    <w:rsid w:val="00217D64"/>
    <w:rsid w:val="00220682"/>
    <w:rsid w:val="002217E5"/>
    <w:rsid w:val="00222BFB"/>
    <w:rsid w:val="00222F44"/>
    <w:rsid w:val="0022325E"/>
    <w:rsid w:val="00223666"/>
    <w:rsid w:val="00225CCA"/>
    <w:rsid w:val="002260D1"/>
    <w:rsid w:val="00226E36"/>
    <w:rsid w:val="00227103"/>
    <w:rsid w:val="00227978"/>
    <w:rsid w:val="00227BE7"/>
    <w:rsid w:val="00227D4E"/>
    <w:rsid w:val="00227E9C"/>
    <w:rsid w:val="002303D9"/>
    <w:rsid w:val="00230694"/>
    <w:rsid w:val="002313B6"/>
    <w:rsid w:val="00232926"/>
    <w:rsid w:val="002330BD"/>
    <w:rsid w:val="00234DAC"/>
    <w:rsid w:val="0023540D"/>
    <w:rsid w:val="002354BF"/>
    <w:rsid w:val="00235912"/>
    <w:rsid w:val="00237342"/>
    <w:rsid w:val="00237A46"/>
    <w:rsid w:val="00240039"/>
    <w:rsid w:val="002400E1"/>
    <w:rsid w:val="002408C9"/>
    <w:rsid w:val="00240935"/>
    <w:rsid w:val="00241E3E"/>
    <w:rsid w:val="0024253C"/>
    <w:rsid w:val="0024270A"/>
    <w:rsid w:val="0024288C"/>
    <w:rsid w:val="00242FBB"/>
    <w:rsid w:val="0024318A"/>
    <w:rsid w:val="0024328A"/>
    <w:rsid w:val="00245002"/>
    <w:rsid w:val="00245EB3"/>
    <w:rsid w:val="002463B5"/>
    <w:rsid w:val="00250158"/>
    <w:rsid w:val="002508F0"/>
    <w:rsid w:val="002508F9"/>
    <w:rsid w:val="002511B9"/>
    <w:rsid w:val="00251368"/>
    <w:rsid w:val="0025170A"/>
    <w:rsid w:val="00251FB1"/>
    <w:rsid w:val="002523C8"/>
    <w:rsid w:val="00252442"/>
    <w:rsid w:val="00252EEC"/>
    <w:rsid w:val="0025318F"/>
    <w:rsid w:val="00253272"/>
    <w:rsid w:val="00254423"/>
    <w:rsid w:val="002550FE"/>
    <w:rsid w:val="002558E8"/>
    <w:rsid w:val="00255AD8"/>
    <w:rsid w:val="00255BF9"/>
    <w:rsid w:val="002566CD"/>
    <w:rsid w:val="00256CC8"/>
    <w:rsid w:val="00256DA9"/>
    <w:rsid w:val="00257592"/>
    <w:rsid w:val="00260ED4"/>
    <w:rsid w:val="0026127D"/>
    <w:rsid w:val="00261451"/>
    <w:rsid w:val="00261B79"/>
    <w:rsid w:val="0026289C"/>
    <w:rsid w:val="00262E1C"/>
    <w:rsid w:val="00263D8A"/>
    <w:rsid w:val="0026418A"/>
    <w:rsid w:val="002647CB"/>
    <w:rsid w:val="00264F1D"/>
    <w:rsid w:val="00264F7E"/>
    <w:rsid w:val="00265007"/>
    <w:rsid w:val="0026638E"/>
    <w:rsid w:val="002673E0"/>
    <w:rsid w:val="00267B81"/>
    <w:rsid w:val="00267E03"/>
    <w:rsid w:val="00267E12"/>
    <w:rsid w:val="0027084A"/>
    <w:rsid w:val="002713E2"/>
    <w:rsid w:val="0027157A"/>
    <w:rsid w:val="002715F4"/>
    <w:rsid w:val="00271AD1"/>
    <w:rsid w:val="00273C6E"/>
    <w:rsid w:val="00273CFA"/>
    <w:rsid w:val="00274879"/>
    <w:rsid w:val="00275C50"/>
    <w:rsid w:val="00280F29"/>
    <w:rsid w:val="00281D75"/>
    <w:rsid w:val="00281D90"/>
    <w:rsid w:val="002827F9"/>
    <w:rsid w:val="002830F4"/>
    <w:rsid w:val="00283426"/>
    <w:rsid w:val="00283CC1"/>
    <w:rsid w:val="00283D26"/>
    <w:rsid w:val="00284529"/>
    <w:rsid w:val="002848D0"/>
    <w:rsid w:val="0028568C"/>
    <w:rsid w:val="00286027"/>
    <w:rsid w:val="00286AC7"/>
    <w:rsid w:val="00286F6F"/>
    <w:rsid w:val="00286FE5"/>
    <w:rsid w:val="0029030C"/>
    <w:rsid w:val="00290799"/>
    <w:rsid w:val="0029104A"/>
    <w:rsid w:val="002924B2"/>
    <w:rsid w:val="00292826"/>
    <w:rsid w:val="002951A3"/>
    <w:rsid w:val="0029534C"/>
    <w:rsid w:val="0029536D"/>
    <w:rsid w:val="002960E0"/>
    <w:rsid w:val="00296605"/>
    <w:rsid w:val="002971E0"/>
    <w:rsid w:val="00297FAB"/>
    <w:rsid w:val="002A05E9"/>
    <w:rsid w:val="002A1293"/>
    <w:rsid w:val="002A17D8"/>
    <w:rsid w:val="002A181B"/>
    <w:rsid w:val="002A27D6"/>
    <w:rsid w:val="002A2C95"/>
    <w:rsid w:val="002A378E"/>
    <w:rsid w:val="002A4157"/>
    <w:rsid w:val="002A4832"/>
    <w:rsid w:val="002A70D9"/>
    <w:rsid w:val="002A741D"/>
    <w:rsid w:val="002A77C3"/>
    <w:rsid w:val="002A7EF2"/>
    <w:rsid w:val="002B1A70"/>
    <w:rsid w:val="002B2D22"/>
    <w:rsid w:val="002B41CB"/>
    <w:rsid w:val="002B42A7"/>
    <w:rsid w:val="002B4F7C"/>
    <w:rsid w:val="002B506A"/>
    <w:rsid w:val="002B5CCD"/>
    <w:rsid w:val="002B5DB2"/>
    <w:rsid w:val="002B60E0"/>
    <w:rsid w:val="002B69CE"/>
    <w:rsid w:val="002B6CDD"/>
    <w:rsid w:val="002B7CE6"/>
    <w:rsid w:val="002B7DEF"/>
    <w:rsid w:val="002C0D3C"/>
    <w:rsid w:val="002C20E7"/>
    <w:rsid w:val="002C3014"/>
    <w:rsid w:val="002C3937"/>
    <w:rsid w:val="002C3EC9"/>
    <w:rsid w:val="002C3FA5"/>
    <w:rsid w:val="002C4273"/>
    <w:rsid w:val="002C48EF"/>
    <w:rsid w:val="002C4BFD"/>
    <w:rsid w:val="002C61C6"/>
    <w:rsid w:val="002C6494"/>
    <w:rsid w:val="002C649C"/>
    <w:rsid w:val="002D06AB"/>
    <w:rsid w:val="002D2F96"/>
    <w:rsid w:val="002D560A"/>
    <w:rsid w:val="002D6596"/>
    <w:rsid w:val="002D785D"/>
    <w:rsid w:val="002D7ACD"/>
    <w:rsid w:val="002E0319"/>
    <w:rsid w:val="002E06B1"/>
    <w:rsid w:val="002E076D"/>
    <w:rsid w:val="002E08A4"/>
    <w:rsid w:val="002E0FB1"/>
    <w:rsid w:val="002E1630"/>
    <w:rsid w:val="002E2781"/>
    <w:rsid w:val="002E2AC7"/>
    <w:rsid w:val="002E37A1"/>
    <w:rsid w:val="002E6538"/>
    <w:rsid w:val="002E677E"/>
    <w:rsid w:val="002E7F35"/>
    <w:rsid w:val="002F0445"/>
    <w:rsid w:val="002F2FFE"/>
    <w:rsid w:val="002F3965"/>
    <w:rsid w:val="002F3A6D"/>
    <w:rsid w:val="002F3CAE"/>
    <w:rsid w:val="002F3CE4"/>
    <w:rsid w:val="002F4AD1"/>
    <w:rsid w:val="002F502D"/>
    <w:rsid w:val="002F6632"/>
    <w:rsid w:val="002F7B51"/>
    <w:rsid w:val="002F7FF7"/>
    <w:rsid w:val="00300687"/>
    <w:rsid w:val="003009E9"/>
    <w:rsid w:val="003015DC"/>
    <w:rsid w:val="00302805"/>
    <w:rsid w:val="00303CAC"/>
    <w:rsid w:val="00304B16"/>
    <w:rsid w:val="00307A1B"/>
    <w:rsid w:val="00307BBB"/>
    <w:rsid w:val="00310014"/>
    <w:rsid w:val="003105B3"/>
    <w:rsid w:val="00311F4F"/>
    <w:rsid w:val="00312845"/>
    <w:rsid w:val="00313D8D"/>
    <w:rsid w:val="0031521B"/>
    <w:rsid w:val="0031657A"/>
    <w:rsid w:val="00316644"/>
    <w:rsid w:val="003176A3"/>
    <w:rsid w:val="00317AFA"/>
    <w:rsid w:val="00317C44"/>
    <w:rsid w:val="00320291"/>
    <w:rsid w:val="00320476"/>
    <w:rsid w:val="00320C6D"/>
    <w:rsid w:val="00321798"/>
    <w:rsid w:val="00322766"/>
    <w:rsid w:val="00322F47"/>
    <w:rsid w:val="003232F3"/>
    <w:rsid w:val="003238E2"/>
    <w:rsid w:val="003243D8"/>
    <w:rsid w:val="00324970"/>
    <w:rsid w:val="00326159"/>
    <w:rsid w:val="00326832"/>
    <w:rsid w:val="00326928"/>
    <w:rsid w:val="00326BC8"/>
    <w:rsid w:val="00327298"/>
    <w:rsid w:val="00330ADF"/>
    <w:rsid w:val="00330E5F"/>
    <w:rsid w:val="0033282D"/>
    <w:rsid w:val="003338EC"/>
    <w:rsid w:val="00333C22"/>
    <w:rsid w:val="003347B9"/>
    <w:rsid w:val="00334E9B"/>
    <w:rsid w:val="00335014"/>
    <w:rsid w:val="00335261"/>
    <w:rsid w:val="00335792"/>
    <w:rsid w:val="003358DF"/>
    <w:rsid w:val="003358EE"/>
    <w:rsid w:val="003363BD"/>
    <w:rsid w:val="003366C2"/>
    <w:rsid w:val="00336C4C"/>
    <w:rsid w:val="003370B7"/>
    <w:rsid w:val="00337CC2"/>
    <w:rsid w:val="003409E3"/>
    <w:rsid w:val="00340F83"/>
    <w:rsid w:val="00341AB7"/>
    <w:rsid w:val="00341B94"/>
    <w:rsid w:val="00341C5C"/>
    <w:rsid w:val="00341CCA"/>
    <w:rsid w:val="00341D7E"/>
    <w:rsid w:val="00342142"/>
    <w:rsid w:val="0034271D"/>
    <w:rsid w:val="0034413C"/>
    <w:rsid w:val="0034547E"/>
    <w:rsid w:val="00345631"/>
    <w:rsid w:val="00345E57"/>
    <w:rsid w:val="00346B43"/>
    <w:rsid w:val="0034746A"/>
    <w:rsid w:val="003511F1"/>
    <w:rsid w:val="003514CB"/>
    <w:rsid w:val="00351591"/>
    <w:rsid w:val="0035333D"/>
    <w:rsid w:val="0035687C"/>
    <w:rsid w:val="00356B23"/>
    <w:rsid w:val="00356EB3"/>
    <w:rsid w:val="00357123"/>
    <w:rsid w:val="00360A3D"/>
    <w:rsid w:val="00362BC3"/>
    <w:rsid w:val="003630C2"/>
    <w:rsid w:val="003638F0"/>
    <w:rsid w:val="00364EF7"/>
    <w:rsid w:val="00365311"/>
    <w:rsid w:val="003653D4"/>
    <w:rsid w:val="00365AC4"/>
    <w:rsid w:val="0036796B"/>
    <w:rsid w:val="00367D88"/>
    <w:rsid w:val="00370037"/>
    <w:rsid w:val="003700FE"/>
    <w:rsid w:val="003705EB"/>
    <w:rsid w:val="00370CD6"/>
    <w:rsid w:val="0037224C"/>
    <w:rsid w:val="00372679"/>
    <w:rsid w:val="003727A7"/>
    <w:rsid w:val="00372988"/>
    <w:rsid w:val="00373F54"/>
    <w:rsid w:val="00374AF7"/>
    <w:rsid w:val="00375153"/>
    <w:rsid w:val="00375A3E"/>
    <w:rsid w:val="00376E2F"/>
    <w:rsid w:val="00377270"/>
    <w:rsid w:val="0037750A"/>
    <w:rsid w:val="003779E0"/>
    <w:rsid w:val="00377E42"/>
    <w:rsid w:val="003802A6"/>
    <w:rsid w:val="00381190"/>
    <w:rsid w:val="0038124C"/>
    <w:rsid w:val="003826D1"/>
    <w:rsid w:val="00382ACE"/>
    <w:rsid w:val="0038335B"/>
    <w:rsid w:val="00384B50"/>
    <w:rsid w:val="00385701"/>
    <w:rsid w:val="00385787"/>
    <w:rsid w:val="00385CAC"/>
    <w:rsid w:val="00385D63"/>
    <w:rsid w:val="00386CBC"/>
    <w:rsid w:val="00386CD9"/>
    <w:rsid w:val="0039099D"/>
    <w:rsid w:val="00391ED4"/>
    <w:rsid w:val="00391F16"/>
    <w:rsid w:val="00391F33"/>
    <w:rsid w:val="003927BC"/>
    <w:rsid w:val="00393D91"/>
    <w:rsid w:val="00395FBF"/>
    <w:rsid w:val="0039798F"/>
    <w:rsid w:val="00397CB3"/>
    <w:rsid w:val="00397EF0"/>
    <w:rsid w:val="003A018F"/>
    <w:rsid w:val="003A0E94"/>
    <w:rsid w:val="003A18E8"/>
    <w:rsid w:val="003A1D1B"/>
    <w:rsid w:val="003A1E3A"/>
    <w:rsid w:val="003A1FAD"/>
    <w:rsid w:val="003A24A8"/>
    <w:rsid w:val="003A2FC9"/>
    <w:rsid w:val="003A3952"/>
    <w:rsid w:val="003A4DF5"/>
    <w:rsid w:val="003A50EA"/>
    <w:rsid w:val="003A738F"/>
    <w:rsid w:val="003A74B2"/>
    <w:rsid w:val="003A74F1"/>
    <w:rsid w:val="003A798C"/>
    <w:rsid w:val="003B1803"/>
    <w:rsid w:val="003B1BC8"/>
    <w:rsid w:val="003B1F82"/>
    <w:rsid w:val="003B1FE8"/>
    <w:rsid w:val="003B2262"/>
    <w:rsid w:val="003B3620"/>
    <w:rsid w:val="003B40F4"/>
    <w:rsid w:val="003B4868"/>
    <w:rsid w:val="003B49C1"/>
    <w:rsid w:val="003B4D97"/>
    <w:rsid w:val="003B5513"/>
    <w:rsid w:val="003B5574"/>
    <w:rsid w:val="003B5C51"/>
    <w:rsid w:val="003B63BA"/>
    <w:rsid w:val="003B65FF"/>
    <w:rsid w:val="003B6734"/>
    <w:rsid w:val="003B79F2"/>
    <w:rsid w:val="003B7A5B"/>
    <w:rsid w:val="003B7DC4"/>
    <w:rsid w:val="003B7FDD"/>
    <w:rsid w:val="003C055C"/>
    <w:rsid w:val="003C0D0B"/>
    <w:rsid w:val="003C1024"/>
    <w:rsid w:val="003C14E2"/>
    <w:rsid w:val="003C41E9"/>
    <w:rsid w:val="003C4418"/>
    <w:rsid w:val="003C4436"/>
    <w:rsid w:val="003C4601"/>
    <w:rsid w:val="003C4B23"/>
    <w:rsid w:val="003C6696"/>
    <w:rsid w:val="003D11F7"/>
    <w:rsid w:val="003D1842"/>
    <w:rsid w:val="003D2052"/>
    <w:rsid w:val="003D20E8"/>
    <w:rsid w:val="003D23E7"/>
    <w:rsid w:val="003D3C12"/>
    <w:rsid w:val="003D3D7F"/>
    <w:rsid w:val="003D3FE6"/>
    <w:rsid w:val="003D42C6"/>
    <w:rsid w:val="003D4331"/>
    <w:rsid w:val="003D4EF0"/>
    <w:rsid w:val="003D55E0"/>
    <w:rsid w:val="003D61C2"/>
    <w:rsid w:val="003D6BCD"/>
    <w:rsid w:val="003D77BD"/>
    <w:rsid w:val="003D7E63"/>
    <w:rsid w:val="003E0BBE"/>
    <w:rsid w:val="003E152D"/>
    <w:rsid w:val="003E22FF"/>
    <w:rsid w:val="003E27F2"/>
    <w:rsid w:val="003E2AC3"/>
    <w:rsid w:val="003E2D41"/>
    <w:rsid w:val="003E3C71"/>
    <w:rsid w:val="003E6341"/>
    <w:rsid w:val="003E7277"/>
    <w:rsid w:val="003E72A5"/>
    <w:rsid w:val="003E7658"/>
    <w:rsid w:val="003E7E62"/>
    <w:rsid w:val="003F0D51"/>
    <w:rsid w:val="003F1183"/>
    <w:rsid w:val="003F12FB"/>
    <w:rsid w:val="003F1C67"/>
    <w:rsid w:val="003F1D0F"/>
    <w:rsid w:val="003F380C"/>
    <w:rsid w:val="003F39C0"/>
    <w:rsid w:val="003F3AA7"/>
    <w:rsid w:val="003F403E"/>
    <w:rsid w:val="003F4A96"/>
    <w:rsid w:val="003F4C02"/>
    <w:rsid w:val="003F4CD7"/>
    <w:rsid w:val="003F5E86"/>
    <w:rsid w:val="003F6179"/>
    <w:rsid w:val="003F62A8"/>
    <w:rsid w:val="003F7A0A"/>
    <w:rsid w:val="003F7BAF"/>
    <w:rsid w:val="0040133E"/>
    <w:rsid w:val="004022F4"/>
    <w:rsid w:val="00402FE5"/>
    <w:rsid w:val="004041BE"/>
    <w:rsid w:val="00404A7A"/>
    <w:rsid w:val="00404F3F"/>
    <w:rsid w:val="0040529A"/>
    <w:rsid w:val="0040552C"/>
    <w:rsid w:val="0040684E"/>
    <w:rsid w:val="00407761"/>
    <w:rsid w:val="004077D3"/>
    <w:rsid w:val="00410B7D"/>
    <w:rsid w:val="00410E25"/>
    <w:rsid w:val="00415DF1"/>
    <w:rsid w:val="00416CA7"/>
    <w:rsid w:val="00416F78"/>
    <w:rsid w:val="0042094F"/>
    <w:rsid w:val="00421258"/>
    <w:rsid w:val="0042150C"/>
    <w:rsid w:val="00421BB4"/>
    <w:rsid w:val="004233CD"/>
    <w:rsid w:val="0042352A"/>
    <w:rsid w:val="00423F6F"/>
    <w:rsid w:val="004246F6"/>
    <w:rsid w:val="00427403"/>
    <w:rsid w:val="00427AFA"/>
    <w:rsid w:val="00427E8B"/>
    <w:rsid w:val="004323F6"/>
    <w:rsid w:val="00433190"/>
    <w:rsid w:val="0043375B"/>
    <w:rsid w:val="004337E0"/>
    <w:rsid w:val="004339A8"/>
    <w:rsid w:val="00433CF1"/>
    <w:rsid w:val="00433D8B"/>
    <w:rsid w:val="00436157"/>
    <w:rsid w:val="004362BB"/>
    <w:rsid w:val="004368DA"/>
    <w:rsid w:val="004404B1"/>
    <w:rsid w:val="004411EA"/>
    <w:rsid w:val="004413B2"/>
    <w:rsid w:val="00441592"/>
    <w:rsid w:val="00443603"/>
    <w:rsid w:val="00443885"/>
    <w:rsid w:val="004438BB"/>
    <w:rsid w:val="00443B6B"/>
    <w:rsid w:val="00444103"/>
    <w:rsid w:val="00444FA5"/>
    <w:rsid w:val="00445887"/>
    <w:rsid w:val="00445A88"/>
    <w:rsid w:val="004472C7"/>
    <w:rsid w:val="00450723"/>
    <w:rsid w:val="00450743"/>
    <w:rsid w:val="0045124A"/>
    <w:rsid w:val="00451F40"/>
    <w:rsid w:val="0045202E"/>
    <w:rsid w:val="00452B4A"/>
    <w:rsid w:val="00452F45"/>
    <w:rsid w:val="004535CD"/>
    <w:rsid w:val="00454590"/>
    <w:rsid w:val="00454AED"/>
    <w:rsid w:val="00454CFA"/>
    <w:rsid w:val="0045532D"/>
    <w:rsid w:val="00455EFD"/>
    <w:rsid w:val="00455F80"/>
    <w:rsid w:val="0045775A"/>
    <w:rsid w:val="00460396"/>
    <w:rsid w:val="004608AC"/>
    <w:rsid w:val="004609EE"/>
    <w:rsid w:val="004612A9"/>
    <w:rsid w:val="00461796"/>
    <w:rsid w:val="00461EBB"/>
    <w:rsid w:val="00462171"/>
    <w:rsid w:val="0046256F"/>
    <w:rsid w:val="00462697"/>
    <w:rsid w:val="004626E1"/>
    <w:rsid w:val="004627D6"/>
    <w:rsid w:val="00462FCC"/>
    <w:rsid w:val="00463DA3"/>
    <w:rsid w:val="0046510A"/>
    <w:rsid w:val="0046552F"/>
    <w:rsid w:val="0046641A"/>
    <w:rsid w:val="004670DC"/>
    <w:rsid w:val="00467119"/>
    <w:rsid w:val="00467EE2"/>
    <w:rsid w:val="0047021E"/>
    <w:rsid w:val="00470449"/>
    <w:rsid w:val="00470BE3"/>
    <w:rsid w:val="00471B42"/>
    <w:rsid w:val="0047205D"/>
    <w:rsid w:val="00473B93"/>
    <w:rsid w:val="00473CA0"/>
    <w:rsid w:val="004743A2"/>
    <w:rsid w:val="00474B13"/>
    <w:rsid w:val="00474C10"/>
    <w:rsid w:val="00475775"/>
    <w:rsid w:val="004764F0"/>
    <w:rsid w:val="00476ECF"/>
    <w:rsid w:val="00477BB3"/>
    <w:rsid w:val="004825BD"/>
    <w:rsid w:val="00482946"/>
    <w:rsid w:val="00482B27"/>
    <w:rsid w:val="0048375D"/>
    <w:rsid w:val="0048404D"/>
    <w:rsid w:val="00484290"/>
    <w:rsid w:val="00484EEC"/>
    <w:rsid w:val="004863FA"/>
    <w:rsid w:val="00487A69"/>
    <w:rsid w:val="00487FE7"/>
    <w:rsid w:val="0049167A"/>
    <w:rsid w:val="00491E06"/>
    <w:rsid w:val="00492C38"/>
    <w:rsid w:val="0049361F"/>
    <w:rsid w:val="00494106"/>
    <w:rsid w:val="004949ED"/>
    <w:rsid w:val="00497628"/>
    <w:rsid w:val="00497E07"/>
    <w:rsid w:val="00497F3C"/>
    <w:rsid w:val="004A0D70"/>
    <w:rsid w:val="004A2412"/>
    <w:rsid w:val="004A2D7B"/>
    <w:rsid w:val="004A2DB4"/>
    <w:rsid w:val="004A2EDF"/>
    <w:rsid w:val="004A41F2"/>
    <w:rsid w:val="004A47B8"/>
    <w:rsid w:val="004A4B27"/>
    <w:rsid w:val="004A54EE"/>
    <w:rsid w:val="004A6B26"/>
    <w:rsid w:val="004A6C29"/>
    <w:rsid w:val="004A707A"/>
    <w:rsid w:val="004A7794"/>
    <w:rsid w:val="004B08B3"/>
    <w:rsid w:val="004B0AEA"/>
    <w:rsid w:val="004B0FEC"/>
    <w:rsid w:val="004B30B9"/>
    <w:rsid w:val="004B3327"/>
    <w:rsid w:val="004B3806"/>
    <w:rsid w:val="004B3E0E"/>
    <w:rsid w:val="004B4674"/>
    <w:rsid w:val="004B4C19"/>
    <w:rsid w:val="004B4D72"/>
    <w:rsid w:val="004B5340"/>
    <w:rsid w:val="004B55B5"/>
    <w:rsid w:val="004B59E8"/>
    <w:rsid w:val="004B61CA"/>
    <w:rsid w:val="004B6249"/>
    <w:rsid w:val="004B7574"/>
    <w:rsid w:val="004B7CAA"/>
    <w:rsid w:val="004C0239"/>
    <w:rsid w:val="004C0FAF"/>
    <w:rsid w:val="004C1778"/>
    <w:rsid w:val="004C177B"/>
    <w:rsid w:val="004C1E63"/>
    <w:rsid w:val="004C3795"/>
    <w:rsid w:val="004C4103"/>
    <w:rsid w:val="004C536B"/>
    <w:rsid w:val="004C58C0"/>
    <w:rsid w:val="004C5C08"/>
    <w:rsid w:val="004C6210"/>
    <w:rsid w:val="004C6A33"/>
    <w:rsid w:val="004C7434"/>
    <w:rsid w:val="004C7964"/>
    <w:rsid w:val="004C7B85"/>
    <w:rsid w:val="004D0384"/>
    <w:rsid w:val="004D13CE"/>
    <w:rsid w:val="004D146B"/>
    <w:rsid w:val="004D249A"/>
    <w:rsid w:val="004D25CC"/>
    <w:rsid w:val="004D2D64"/>
    <w:rsid w:val="004D5527"/>
    <w:rsid w:val="004D5A1D"/>
    <w:rsid w:val="004D5DCD"/>
    <w:rsid w:val="004D6E82"/>
    <w:rsid w:val="004D6EC9"/>
    <w:rsid w:val="004E1E78"/>
    <w:rsid w:val="004E20FA"/>
    <w:rsid w:val="004E24C4"/>
    <w:rsid w:val="004E256C"/>
    <w:rsid w:val="004E2F66"/>
    <w:rsid w:val="004E3005"/>
    <w:rsid w:val="004E3675"/>
    <w:rsid w:val="004E38ED"/>
    <w:rsid w:val="004E3CBC"/>
    <w:rsid w:val="004E3E27"/>
    <w:rsid w:val="004E4124"/>
    <w:rsid w:val="004E5366"/>
    <w:rsid w:val="004E59C8"/>
    <w:rsid w:val="004E6625"/>
    <w:rsid w:val="004E682C"/>
    <w:rsid w:val="004E6BC6"/>
    <w:rsid w:val="004E7322"/>
    <w:rsid w:val="004F0F17"/>
    <w:rsid w:val="004F105C"/>
    <w:rsid w:val="004F12F1"/>
    <w:rsid w:val="004F1FA1"/>
    <w:rsid w:val="004F235C"/>
    <w:rsid w:val="004F2DE1"/>
    <w:rsid w:val="004F3999"/>
    <w:rsid w:val="004F3C90"/>
    <w:rsid w:val="004F442F"/>
    <w:rsid w:val="004F4519"/>
    <w:rsid w:val="004F4AA4"/>
    <w:rsid w:val="004F5AB4"/>
    <w:rsid w:val="004F6099"/>
    <w:rsid w:val="004F71A9"/>
    <w:rsid w:val="004F7316"/>
    <w:rsid w:val="004F7779"/>
    <w:rsid w:val="004F78E2"/>
    <w:rsid w:val="004F7B81"/>
    <w:rsid w:val="0050213D"/>
    <w:rsid w:val="005027E2"/>
    <w:rsid w:val="00502861"/>
    <w:rsid w:val="00502F12"/>
    <w:rsid w:val="005031EB"/>
    <w:rsid w:val="005041A8"/>
    <w:rsid w:val="00504A32"/>
    <w:rsid w:val="00504CA8"/>
    <w:rsid w:val="00506A6D"/>
    <w:rsid w:val="00506AD4"/>
    <w:rsid w:val="00506F07"/>
    <w:rsid w:val="0051056C"/>
    <w:rsid w:val="00511878"/>
    <w:rsid w:val="005139E8"/>
    <w:rsid w:val="005147F6"/>
    <w:rsid w:val="00515128"/>
    <w:rsid w:val="0051687F"/>
    <w:rsid w:val="00516E16"/>
    <w:rsid w:val="00517B42"/>
    <w:rsid w:val="005206B3"/>
    <w:rsid w:val="00520F1C"/>
    <w:rsid w:val="00521F1D"/>
    <w:rsid w:val="00522B6C"/>
    <w:rsid w:val="00522CCE"/>
    <w:rsid w:val="00523499"/>
    <w:rsid w:val="00523A0C"/>
    <w:rsid w:val="00523FFE"/>
    <w:rsid w:val="00526271"/>
    <w:rsid w:val="00526525"/>
    <w:rsid w:val="005266D8"/>
    <w:rsid w:val="00526D5D"/>
    <w:rsid w:val="00530C95"/>
    <w:rsid w:val="00532452"/>
    <w:rsid w:val="00533944"/>
    <w:rsid w:val="00533FCB"/>
    <w:rsid w:val="00534CF3"/>
    <w:rsid w:val="005353D4"/>
    <w:rsid w:val="00535F93"/>
    <w:rsid w:val="0053674F"/>
    <w:rsid w:val="005372E0"/>
    <w:rsid w:val="00537CE2"/>
    <w:rsid w:val="005416DC"/>
    <w:rsid w:val="00541D22"/>
    <w:rsid w:val="00542533"/>
    <w:rsid w:val="00543DA0"/>
    <w:rsid w:val="00544015"/>
    <w:rsid w:val="00544996"/>
    <w:rsid w:val="00544CAA"/>
    <w:rsid w:val="00545BD3"/>
    <w:rsid w:val="00546969"/>
    <w:rsid w:val="00546FAA"/>
    <w:rsid w:val="0054748E"/>
    <w:rsid w:val="0054749B"/>
    <w:rsid w:val="00550D3F"/>
    <w:rsid w:val="00551916"/>
    <w:rsid w:val="00551E33"/>
    <w:rsid w:val="00551FF9"/>
    <w:rsid w:val="00553374"/>
    <w:rsid w:val="00553E47"/>
    <w:rsid w:val="00554B3C"/>
    <w:rsid w:val="00554DE2"/>
    <w:rsid w:val="00555178"/>
    <w:rsid w:val="00555241"/>
    <w:rsid w:val="00555FB6"/>
    <w:rsid w:val="0055625B"/>
    <w:rsid w:val="00556281"/>
    <w:rsid w:val="00556484"/>
    <w:rsid w:val="00556583"/>
    <w:rsid w:val="0056021F"/>
    <w:rsid w:val="005604BE"/>
    <w:rsid w:val="00560826"/>
    <w:rsid w:val="00560DDE"/>
    <w:rsid w:val="00560F0C"/>
    <w:rsid w:val="005612A6"/>
    <w:rsid w:val="005628A7"/>
    <w:rsid w:val="005629B4"/>
    <w:rsid w:val="00562DDC"/>
    <w:rsid w:val="00563E90"/>
    <w:rsid w:val="00563FF3"/>
    <w:rsid w:val="005641BB"/>
    <w:rsid w:val="00564811"/>
    <w:rsid w:val="00565060"/>
    <w:rsid w:val="00565406"/>
    <w:rsid w:val="0056568D"/>
    <w:rsid w:val="00565E2C"/>
    <w:rsid w:val="00566019"/>
    <w:rsid w:val="00566318"/>
    <w:rsid w:val="00567135"/>
    <w:rsid w:val="0056740C"/>
    <w:rsid w:val="00567FDF"/>
    <w:rsid w:val="00570399"/>
    <w:rsid w:val="005703D7"/>
    <w:rsid w:val="00570983"/>
    <w:rsid w:val="00573484"/>
    <w:rsid w:val="00573CA2"/>
    <w:rsid w:val="005745D5"/>
    <w:rsid w:val="005749BD"/>
    <w:rsid w:val="00574DE5"/>
    <w:rsid w:val="00575086"/>
    <w:rsid w:val="00575593"/>
    <w:rsid w:val="00576312"/>
    <w:rsid w:val="00576BB3"/>
    <w:rsid w:val="00577222"/>
    <w:rsid w:val="005772FB"/>
    <w:rsid w:val="00581C13"/>
    <w:rsid w:val="00582126"/>
    <w:rsid w:val="005828FB"/>
    <w:rsid w:val="00584708"/>
    <w:rsid w:val="00584FFF"/>
    <w:rsid w:val="005865DD"/>
    <w:rsid w:val="00587BFC"/>
    <w:rsid w:val="00590379"/>
    <w:rsid w:val="005909C3"/>
    <w:rsid w:val="00591B46"/>
    <w:rsid w:val="00591F27"/>
    <w:rsid w:val="00591FFA"/>
    <w:rsid w:val="0059284F"/>
    <w:rsid w:val="00593062"/>
    <w:rsid w:val="00593272"/>
    <w:rsid w:val="00594BD1"/>
    <w:rsid w:val="005953DE"/>
    <w:rsid w:val="00595400"/>
    <w:rsid w:val="00595646"/>
    <w:rsid w:val="00595A46"/>
    <w:rsid w:val="00596063"/>
    <w:rsid w:val="00596E8E"/>
    <w:rsid w:val="005A0E7C"/>
    <w:rsid w:val="005A1314"/>
    <w:rsid w:val="005A1453"/>
    <w:rsid w:val="005A2955"/>
    <w:rsid w:val="005A375A"/>
    <w:rsid w:val="005A3A14"/>
    <w:rsid w:val="005A4ADC"/>
    <w:rsid w:val="005A5B19"/>
    <w:rsid w:val="005A5D8A"/>
    <w:rsid w:val="005A7DA5"/>
    <w:rsid w:val="005B051D"/>
    <w:rsid w:val="005B0941"/>
    <w:rsid w:val="005B0AC8"/>
    <w:rsid w:val="005B12D8"/>
    <w:rsid w:val="005B14E5"/>
    <w:rsid w:val="005B22F4"/>
    <w:rsid w:val="005B2350"/>
    <w:rsid w:val="005B28F6"/>
    <w:rsid w:val="005B432A"/>
    <w:rsid w:val="005B4BE7"/>
    <w:rsid w:val="005B6365"/>
    <w:rsid w:val="005B6F3B"/>
    <w:rsid w:val="005C0DAE"/>
    <w:rsid w:val="005C108C"/>
    <w:rsid w:val="005C29AF"/>
    <w:rsid w:val="005C2F34"/>
    <w:rsid w:val="005C366C"/>
    <w:rsid w:val="005C41B5"/>
    <w:rsid w:val="005C49BC"/>
    <w:rsid w:val="005C4EAA"/>
    <w:rsid w:val="005C5181"/>
    <w:rsid w:val="005C532D"/>
    <w:rsid w:val="005C5694"/>
    <w:rsid w:val="005C5D3E"/>
    <w:rsid w:val="005C639F"/>
    <w:rsid w:val="005C66D5"/>
    <w:rsid w:val="005C68A2"/>
    <w:rsid w:val="005C7389"/>
    <w:rsid w:val="005D05B8"/>
    <w:rsid w:val="005D1D22"/>
    <w:rsid w:val="005D215E"/>
    <w:rsid w:val="005D2735"/>
    <w:rsid w:val="005D2F15"/>
    <w:rsid w:val="005D5157"/>
    <w:rsid w:val="005D5234"/>
    <w:rsid w:val="005D540C"/>
    <w:rsid w:val="005D54F9"/>
    <w:rsid w:val="005D6183"/>
    <w:rsid w:val="005D62AB"/>
    <w:rsid w:val="005D67E2"/>
    <w:rsid w:val="005D7B48"/>
    <w:rsid w:val="005D7C6A"/>
    <w:rsid w:val="005E165A"/>
    <w:rsid w:val="005E1CB9"/>
    <w:rsid w:val="005E30B0"/>
    <w:rsid w:val="005E35D7"/>
    <w:rsid w:val="005E3B90"/>
    <w:rsid w:val="005E4B16"/>
    <w:rsid w:val="005E5E9F"/>
    <w:rsid w:val="005E7CAE"/>
    <w:rsid w:val="005F0196"/>
    <w:rsid w:val="005F0631"/>
    <w:rsid w:val="005F072A"/>
    <w:rsid w:val="005F0C09"/>
    <w:rsid w:val="005F1AD9"/>
    <w:rsid w:val="005F2170"/>
    <w:rsid w:val="005F2BE9"/>
    <w:rsid w:val="005F3DBE"/>
    <w:rsid w:val="005F45DD"/>
    <w:rsid w:val="005F4E01"/>
    <w:rsid w:val="005F4E2C"/>
    <w:rsid w:val="005F4EA9"/>
    <w:rsid w:val="005F4F16"/>
    <w:rsid w:val="005F5044"/>
    <w:rsid w:val="005F60F5"/>
    <w:rsid w:val="005F78CE"/>
    <w:rsid w:val="005F793F"/>
    <w:rsid w:val="005F7A06"/>
    <w:rsid w:val="006001F1"/>
    <w:rsid w:val="00600AC4"/>
    <w:rsid w:val="00602A81"/>
    <w:rsid w:val="00605926"/>
    <w:rsid w:val="006059BC"/>
    <w:rsid w:val="006067D0"/>
    <w:rsid w:val="00606A1B"/>
    <w:rsid w:val="00606CB9"/>
    <w:rsid w:val="00606EB3"/>
    <w:rsid w:val="00610357"/>
    <w:rsid w:val="00610F4C"/>
    <w:rsid w:val="00610FC9"/>
    <w:rsid w:val="00612946"/>
    <w:rsid w:val="00613990"/>
    <w:rsid w:val="00613C05"/>
    <w:rsid w:val="006142F1"/>
    <w:rsid w:val="00614DEB"/>
    <w:rsid w:val="00615367"/>
    <w:rsid w:val="006159D5"/>
    <w:rsid w:val="00615E42"/>
    <w:rsid w:val="006176C6"/>
    <w:rsid w:val="00617945"/>
    <w:rsid w:val="00620CB6"/>
    <w:rsid w:val="0062164B"/>
    <w:rsid w:val="00622D0B"/>
    <w:rsid w:val="00622F93"/>
    <w:rsid w:val="00623D7C"/>
    <w:rsid w:val="006249FA"/>
    <w:rsid w:val="00625755"/>
    <w:rsid w:val="006258AA"/>
    <w:rsid w:val="00625A5B"/>
    <w:rsid w:val="00625EB4"/>
    <w:rsid w:val="00630915"/>
    <w:rsid w:val="00631A7C"/>
    <w:rsid w:val="00632507"/>
    <w:rsid w:val="00632C3C"/>
    <w:rsid w:val="00633B0A"/>
    <w:rsid w:val="00634105"/>
    <w:rsid w:val="0063434F"/>
    <w:rsid w:val="006350C7"/>
    <w:rsid w:val="00635B82"/>
    <w:rsid w:val="00636473"/>
    <w:rsid w:val="00636DD4"/>
    <w:rsid w:val="00636FD4"/>
    <w:rsid w:val="006374E1"/>
    <w:rsid w:val="006401AC"/>
    <w:rsid w:val="006406F6"/>
    <w:rsid w:val="00640C0B"/>
    <w:rsid w:val="0064156B"/>
    <w:rsid w:val="0064204D"/>
    <w:rsid w:val="00642E75"/>
    <w:rsid w:val="00643E25"/>
    <w:rsid w:val="00644023"/>
    <w:rsid w:val="00646E28"/>
    <w:rsid w:val="006478CD"/>
    <w:rsid w:val="00647E17"/>
    <w:rsid w:val="0065008C"/>
    <w:rsid w:val="0065078C"/>
    <w:rsid w:val="006512DD"/>
    <w:rsid w:val="00651837"/>
    <w:rsid w:val="00651BB0"/>
    <w:rsid w:val="0065239D"/>
    <w:rsid w:val="00655229"/>
    <w:rsid w:val="0065545F"/>
    <w:rsid w:val="006555E9"/>
    <w:rsid w:val="00656555"/>
    <w:rsid w:val="0065690B"/>
    <w:rsid w:val="00656CB3"/>
    <w:rsid w:val="00656F68"/>
    <w:rsid w:val="00657D00"/>
    <w:rsid w:val="006610DE"/>
    <w:rsid w:val="00662A1C"/>
    <w:rsid w:val="006637B7"/>
    <w:rsid w:val="006642F1"/>
    <w:rsid w:val="00664F1F"/>
    <w:rsid w:val="0066575E"/>
    <w:rsid w:val="00665BA9"/>
    <w:rsid w:val="00665D44"/>
    <w:rsid w:val="0066630C"/>
    <w:rsid w:val="006666CF"/>
    <w:rsid w:val="0066686F"/>
    <w:rsid w:val="0067044B"/>
    <w:rsid w:val="006715DC"/>
    <w:rsid w:val="006717DB"/>
    <w:rsid w:val="00671B79"/>
    <w:rsid w:val="00672B98"/>
    <w:rsid w:val="00673218"/>
    <w:rsid w:val="00673369"/>
    <w:rsid w:val="00673E00"/>
    <w:rsid w:val="0067441C"/>
    <w:rsid w:val="006747BC"/>
    <w:rsid w:val="006759EB"/>
    <w:rsid w:val="00675F9B"/>
    <w:rsid w:val="00676AC7"/>
    <w:rsid w:val="00677051"/>
    <w:rsid w:val="00677751"/>
    <w:rsid w:val="00677922"/>
    <w:rsid w:val="00677F0A"/>
    <w:rsid w:val="00680486"/>
    <w:rsid w:val="00680C37"/>
    <w:rsid w:val="00681611"/>
    <w:rsid w:val="00683845"/>
    <w:rsid w:val="00684A6D"/>
    <w:rsid w:val="006856AB"/>
    <w:rsid w:val="0068601A"/>
    <w:rsid w:val="006861FF"/>
    <w:rsid w:val="006866B3"/>
    <w:rsid w:val="00687938"/>
    <w:rsid w:val="00690BE2"/>
    <w:rsid w:val="006914D9"/>
    <w:rsid w:val="006915B3"/>
    <w:rsid w:val="00692974"/>
    <w:rsid w:val="00693A80"/>
    <w:rsid w:val="00693D27"/>
    <w:rsid w:val="006943FF"/>
    <w:rsid w:val="00695C44"/>
    <w:rsid w:val="00695FCC"/>
    <w:rsid w:val="00697463"/>
    <w:rsid w:val="0069753B"/>
    <w:rsid w:val="006A0308"/>
    <w:rsid w:val="006A063C"/>
    <w:rsid w:val="006A0820"/>
    <w:rsid w:val="006A18A9"/>
    <w:rsid w:val="006A2D07"/>
    <w:rsid w:val="006A3099"/>
    <w:rsid w:val="006A3727"/>
    <w:rsid w:val="006A51AB"/>
    <w:rsid w:val="006A532A"/>
    <w:rsid w:val="006A60FF"/>
    <w:rsid w:val="006B1C05"/>
    <w:rsid w:val="006B21A1"/>
    <w:rsid w:val="006B22E0"/>
    <w:rsid w:val="006B2B73"/>
    <w:rsid w:val="006B31CE"/>
    <w:rsid w:val="006B3A19"/>
    <w:rsid w:val="006B3BE7"/>
    <w:rsid w:val="006B4D6E"/>
    <w:rsid w:val="006B503C"/>
    <w:rsid w:val="006B5499"/>
    <w:rsid w:val="006B56B6"/>
    <w:rsid w:val="006B588A"/>
    <w:rsid w:val="006B6A61"/>
    <w:rsid w:val="006B7654"/>
    <w:rsid w:val="006B7DD8"/>
    <w:rsid w:val="006C01EF"/>
    <w:rsid w:val="006C0CF0"/>
    <w:rsid w:val="006C1FCA"/>
    <w:rsid w:val="006C2A71"/>
    <w:rsid w:val="006C2D7D"/>
    <w:rsid w:val="006C3876"/>
    <w:rsid w:val="006C3961"/>
    <w:rsid w:val="006C502E"/>
    <w:rsid w:val="006C7119"/>
    <w:rsid w:val="006C78B5"/>
    <w:rsid w:val="006D0599"/>
    <w:rsid w:val="006D0BB8"/>
    <w:rsid w:val="006D19E4"/>
    <w:rsid w:val="006D1B52"/>
    <w:rsid w:val="006D1D39"/>
    <w:rsid w:val="006D2186"/>
    <w:rsid w:val="006D261C"/>
    <w:rsid w:val="006D2DC2"/>
    <w:rsid w:val="006D3851"/>
    <w:rsid w:val="006D3939"/>
    <w:rsid w:val="006D3B34"/>
    <w:rsid w:val="006D463E"/>
    <w:rsid w:val="006D5ED5"/>
    <w:rsid w:val="006D639F"/>
    <w:rsid w:val="006D6B22"/>
    <w:rsid w:val="006D6F2D"/>
    <w:rsid w:val="006D707E"/>
    <w:rsid w:val="006D79B8"/>
    <w:rsid w:val="006E1C46"/>
    <w:rsid w:val="006E2D59"/>
    <w:rsid w:val="006E34FC"/>
    <w:rsid w:val="006E4858"/>
    <w:rsid w:val="006E68C2"/>
    <w:rsid w:val="006E6BEA"/>
    <w:rsid w:val="006E7285"/>
    <w:rsid w:val="006E76A6"/>
    <w:rsid w:val="006F041C"/>
    <w:rsid w:val="006F1801"/>
    <w:rsid w:val="006F2AAD"/>
    <w:rsid w:val="006F2D1A"/>
    <w:rsid w:val="006F31A9"/>
    <w:rsid w:val="006F4A55"/>
    <w:rsid w:val="006F4AB6"/>
    <w:rsid w:val="006F5F96"/>
    <w:rsid w:val="006F6EBF"/>
    <w:rsid w:val="006F7558"/>
    <w:rsid w:val="0070009D"/>
    <w:rsid w:val="0070087E"/>
    <w:rsid w:val="007014C0"/>
    <w:rsid w:val="00702EC0"/>
    <w:rsid w:val="00702F54"/>
    <w:rsid w:val="00703E07"/>
    <w:rsid w:val="00705B1E"/>
    <w:rsid w:val="007067D3"/>
    <w:rsid w:val="00706F11"/>
    <w:rsid w:val="00710772"/>
    <w:rsid w:val="00712267"/>
    <w:rsid w:val="007123A4"/>
    <w:rsid w:val="00712550"/>
    <w:rsid w:val="00713746"/>
    <w:rsid w:val="00713924"/>
    <w:rsid w:val="00713FC7"/>
    <w:rsid w:val="0071407B"/>
    <w:rsid w:val="007147B5"/>
    <w:rsid w:val="00714D43"/>
    <w:rsid w:val="0071503C"/>
    <w:rsid w:val="0071623D"/>
    <w:rsid w:val="00720377"/>
    <w:rsid w:val="0072080D"/>
    <w:rsid w:val="007209FB"/>
    <w:rsid w:val="00720A26"/>
    <w:rsid w:val="0072138F"/>
    <w:rsid w:val="00721CBB"/>
    <w:rsid w:val="007224E7"/>
    <w:rsid w:val="0072389B"/>
    <w:rsid w:val="00723E12"/>
    <w:rsid w:val="0072479B"/>
    <w:rsid w:val="00726032"/>
    <w:rsid w:val="007260FC"/>
    <w:rsid w:val="00727132"/>
    <w:rsid w:val="00730093"/>
    <w:rsid w:val="00730157"/>
    <w:rsid w:val="00730159"/>
    <w:rsid w:val="007308E7"/>
    <w:rsid w:val="007326DF"/>
    <w:rsid w:val="00732C32"/>
    <w:rsid w:val="00732C69"/>
    <w:rsid w:val="00732E2A"/>
    <w:rsid w:val="00734032"/>
    <w:rsid w:val="00734915"/>
    <w:rsid w:val="00736758"/>
    <w:rsid w:val="0073683A"/>
    <w:rsid w:val="00737C72"/>
    <w:rsid w:val="00737E00"/>
    <w:rsid w:val="00740D79"/>
    <w:rsid w:val="00741623"/>
    <w:rsid w:val="007417A8"/>
    <w:rsid w:val="007417E6"/>
    <w:rsid w:val="0074212C"/>
    <w:rsid w:val="00742EF7"/>
    <w:rsid w:val="00743B53"/>
    <w:rsid w:val="00744CCE"/>
    <w:rsid w:val="00745551"/>
    <w:rsid w:val="007457F7"/>
    <w:rsid w:val="00745820"/>
    <w:rsid w:val="00746765"/>
    <w:rsid w:val="00746C5D"/>
    <w:rsid w:val="0074753A"/>
    <w:rsid w:val="007475EB"/>
    <w:rsid w:val="00747A34"/>
    <w:rsid w:val="00750D23"/>
    <w:rsid w:val="00750D27"/>
    <w:rsid w:val="00750D48"/>
    <w:rsid w:val="0075236F"/>
    <w:rsid w:val="00753586"/>
    <w:rsid w:val="007545C2"/>
    <w:rsid w:val="00754B66"/>
    <w:rsid w:val="00754F2B"/>
    <w:rsid w:val="007550C8"/>
    <w:rsid w:val="00755294"/>
    <w:rsid w:val="00756076"/>
    <w:rsid w:val="00756125"/>
    <w:rsid w:val="00757301"/>
    <w:rsid w:val="00757933"/>
    <w:rsid w:val="0076000E"/>
    <w:rsid w:val="0076012D"/>
    <w:rsid w:val="007605E5"/>
    <w:rsid w:val="00762096"/>
    <w:rsid w:val="00762B14"/>
    <w:rsid w:val="00762D1D"/>
    <w:rsid w:val="007631AE"/>
    <w:rsid w:val="00763AC8"/>
    <w:rsid w:val="00763E4F"/>
    <w:rsid w:val="00763F6B"/>
    <w:rsid w:val="00764849"/>
    <w:rsid w:val="00765DC5"/>
    <w:rsid w:val="007662DA"/>
    <w:rsid w:val="00766B75"/>
    <w:rsid w:val="00767918"/>
    <w:rsid w:val="007709A4"/>
    <w:rsid w:val="0077139B"/>
    <w:rsid w:val="00771C33"/>
    <w:rsid w:val="00772479"/>
    <w:rsid w:val="0077258D"/>
    <w:rsid w:val="007726C6"/>
    <w:rsid w:val="00773751"/>
    <w:rsid w:val="00773E5A"/>
    <w:rsid w:val="007755D4"/>
    <w:rsid w:val="0077571A"/>
    <w:rsid w:val="00775E71"/>
    <w:rsid w:val="00775E9F"/>
    <w:rsid w:val="00776A4A"/>
    <w:rsid w:val="00777797"/>
    <w:rsid w:val="00781029"/>
    <w:rsid w:val="007814BE"/>
    <w:rsid w:val="00782826"/>
    <w:rsid w:val="0078432D"/>
    <w:rsid w:val="00784645"/>
    <w:rsid w:val="0078531D"/>
    <w:rsid w:val="00785836"/>
    <w:rsid w:val="00785B7B"/>
    <w:rsid w:val="0078680C"/>
    <w:rsid w:val="007869C6"/>
    <w:rsid w:val="00786C18"/>
    <w:rsid w:val="00787FDE"/>
    <w:rsid w:val="0079002A"/>
    <w:rsid w:val="00790030"/>
    <w:rsid w:val="007900E4"/>
    <w:rsid w:val="0079055E"/>
    <w:rsid w:val="0079169A"/>
    <w:rsid w:val="00791A93"/>
    <w:rsid w:val="00791E10"/>
    <w:rsid w:val="007926AD"/>
    <w:rsid w:val="00792C7F"/>
    <w:rsid w:val="00792D4B"/>
    <w:rsid w:val="007941C3"/>
    <w:rsid w:val="0079438B"/>
    <w:rsid w:val="00794771"/>
    <w:rsid w:val="0079634B"/>
    <w:rsid w:val="007966B5"/>
    <w:rsid w:val="00796E9B"/>
    <w:rsid w:val="00797263"/>
    <w:rsid w:val="007972EC"/>
    <w:rsid w:val="00797510"/>
    <w:rsid w:val="007977E2"/>
    <w:rsid w:val="0079796E"/>
    <w:rsid w:val="007A0D7A"/>
    <w:rsid w:val="007A0E15"/>
    <w:rsid w:val="007A0E6A"/>
    <w:rsid w:val="007A12D5"/>
    <w:rsid w:val="007A1601"/>
    <w:rsid w:val="007A2899"/>
    <w:rsid w:val="007A37F4"/>
    <w:rsid w:val="007A5A58"/>
    <w:rsid w:val="007A5EDA"/>
    <w:rsid w:val="007A650E"/>
    <w:rsid w:val="007B0908"/>
    <w:rsid w:val="007B1B5F"/>
    <w:rsid w:val="007B2337"/>
    <w:rsid w:val="007B3BA3"/>
    <w:rsid w:val="007B3E38"/>
    <w:rsid w:val="007B4953"/>
    <w:rsid w:val="007B4C88"/>
    <w:rsid w:val="007B52B6"/>
    <w:rsid w:val="007B5BBE"/>
    <w:rsid w:val="007B6955"/>
    <w:rsid w:val="007B72BB"/>
    <w:rsid w:val="007B78AB"/>
    <w:rsid w:val="007C0307"/>
    <w:rsid w:val="007C0BFF"/>
    <w:rsid w:val="007C0E4F"/>
    <w:rsid w:val="007C0F11"/>
    <w:rsid w:val="007C17C4"/>
    <w:rsid w:val="007C1845"/>
    <w:rsid w:val="007C1920"/>
    <w:rsid w:val="007C31FB"/>
    <w:rsid w:val="007C3645"/>
    <w:rsid w:val="007C424F"/>
    <w:rsid w:val="007C62CC"/>
    <w:rsid w:val="007C6792"/>
    <w:rsid w:val="007C7AE3"/>
    <w:rsid w:val="007D0193"/>
    <w:rsid w:val="007D0DBC"/>
    <w:rsid w:val="007D17BC"/>
    <w:rsid w:val="007D236D"/>
    <w:rsid w:val="007D2511"/>
    <w:rsid w:val="007D27BE"/>
    <w:rsid w:val="007D3722"/>
    <w:rsid w:val="007D3AB1"/>
    <w:rsid w:val="007D430A"/>
    <w:rsid w:val="007D4372"/>
    <w:rsid w:val="007D4B3C"/>
    <w:rsid w:val="007D4C93"/>
    <w:rsid w:val="007D5D21"/>
    <w:rsid w:val="007D61DE"/>
    <w:rsid w:val="007D6361"/>
    <w:rsid w:val="007D79DF"/>
    <w:rsid w:val="007E043D"/>
    <w:rsid w:val="007E0BAB"/>
    <w:rsid w:val="007E173F"/>
    <w:rsid w:val="007E17F8"/>
    <w:rsid w:val="007E1B95"/>
    <w:rsid w:val="007E22F4"/>
    <w:rsid w:val="007E26FC"/>
    <w:rsid w:val="007E27B7"/>
    <w:rsid w:val="007E2E4B"/>
    <w:rsid w:val="007E429A"/>
    <w:rsid w:val="007E491C"/>
    <w:rsid w:val="007E4E5A"/>
    <w:rsid w:val="007E52A1"/>
    <w:rsid w:val="007E5BED"/>
    <w:rsid w:val="007E5DAC"/>
    <w:rsid w:val="007E5F75"/>
    <w:rsid w:val="007E6E46"/>
    <w:rsid w:val="007E771B"/>
    <w:rsid w:val="007F0058"/>
    <w:rsid w:val="007F0138"/>
    <w:rsid w:val="007F045B"/>
    <w:rsid w:val="007F04BA"/>
    <w:rsid w:val="007F18AD"/>
    <w:rsid w:val="007F232D"/>
    <w:rsid w:val="007F3291"/>
    <w:rsid w:val="007F35A9"/>
    <w:rsid w:val="007F4458"/>
    <w:rsid w:val="007F5C9C"/>
    <w:rsid w:val="007F6606"/>
    <w:rsid w:val="007F72A5"/>
    <w:rsid w:val="008029D3"/>
    <w:rsid w:val="00804C22"/>
    <w:rsid w:val="00805FF6"/>
    <w:rsid w:val="00806C3B"/>
    <w:rsid w:val="00806DB8"/>
    <w:rsid w:val="00806DEC"/>
    <w:rsid w:val="0080778C"/>
    <w:rsid w:val="00807828"/>
    <w:rsid w:val="00810469"/>
    <w:rsid w:val="00810EA1"/>
    <w:rsid w:val="00811533"/>
    <w:rsid w:val="008145B2"/>
    <w:rsid w:val="00815346"/>
    <w:rsid w:val="00815735"/>
    <w:rsid w:val="00815B36"/>
    <w:rsid w:val="00816058"/>
    <w:rsid w:val="00816A0F"/>
    <w:rsid w:val="00817432"/>
    <w:rsid w:val="0081767E"/>
    <w:rsid w:val="008178AC"/>
    <w:rsid w:val="00817AC0"/>
    <w:rsid w:val="00820987"/>
    <w:rsid w:val="00820CA1"/>
    <w:rsid w:val="00823AEC"/>
    <w:rsid w:val="00824E12"/>
    <w:rsid w:val="00825E74"/>
    <w:rsid w:val="00825EE3"/>
    <w:rsid w:val="00826269"/>
    <w:rsid w:val="00827DA4"/>
    <w:rsid w:val="00827E0F"/>
    <w:rsid w:val="00830D99"/>
    <w:rsid w:val="00830FCE"/>
    <w:rsid w:val="008347AA"/>
    <w:rsid w:val="0083493C"/>
    <w:rsid w:val="00834AD4"/>
    <w:rsid w:val="00835218"/>
    <w:rsid w:val="008353F9"/>
    <w:rsid w:val="00835574"/>
    <w:rsid w:val="008365DD"/>
    <w:rsid w:val="00840044"/>
    <w:rsid w:val="00840586"/>
    <w:rsid w:val="008409F1"/>
    <w:rsid w:val="00840C01"/>
    <w:rsid w:val="008419C5"/>
    <w:rsid w:val="008420E1"/>
    <w:rsid w:val="00842BE5"/>
    <w:rsid w:val="0084475B"/>
    <w:rsid w:val="00845BAB"/>
    <w:rsid w:val="008465F2"/>
    <w:rsid w:val="00846737"/>
    <w:rsid w:val="00846782"/>
    <w:rsid w:val="008468AE"/>
    <w:rsid w:val="008517AA"/>
    <w:rsid w:val="00852011"/>
    <w:rsid w:val="00852803"/>
    <w:rsid w:val="00852AF8"/>
    <w:rsid w:val="008533F4"/>
    <w:rsid w:val="0085372A"/>
    <w:rsid w:val="00854371"/>
    <w:rsid w:val="00854609"/>
    <w:rsid w:val="0085482D"/>
    <w:rsid w:val="00855518"/>
    <w:rsid w:val="00855941"/>
    <w:rsid w:val="00856463"/>
    <w:rsid w:val="008564AE"/>
    <w:rsid w:val="00856A24"/>
    <w:rsid w:val="00856C0F"/>
    <w:rsid w:val="00856F44"/>
    <w:rsid w:val="00860D70"/>
    <w:rsid w:val="00862F3A"/>
    <w:rsid w:val="00863F18"/>
    <w:rsid w:val="00863F24"/>
    <w:rsid w:val="00864CF9"/>
    <w:rsid w:val="00865D4A"/>
    <w:rsid w:val="008661A8"/>
    <w:rsid w:val="0086632D"/>
    <w:rsid w:val="008663A3"/>
    <w:rsid w:val="00866DE5"/>
    <w:rsid w:val="00866E24"/>
    <w:rsid w:val="00867286"/>
    <w:rsid w:val="0086752B"/>
    <w:rsid w:val="008701EF"/>
    <w:rsid w:val="00872122"/>
    <w:rsid w:val="00873820"/>
    <w:rsid w:val="00873826"/>
    <w:rsid w:val="00873874"/>
    <w:rsid w:val="00873B27"/>
    <w:rsid w:val="00873CB2"/>
    <w:rsid w:val="008747C1"/>
    <w:rsid w:val="008756B7"/>
    <w:rsid w:val="00876FC4"/>
    <w:rsid w:val="00877734"/>
    <w:rsid w:val="008778DF"/>
    <w:rsid w:val="008779D2"/>
    <w:rsid w:val="008802CE"/>
    <w:rsid w:val="00881DB8"/>
    <w:rsid w:val="0088330B"/>
    <w:rsid w:val="00883C9F"/>
    <w:rsid w:val="00884402"/>
    <w:rsid w:val="00884704"/>
    <w:rsid w:val="00884854"/>
    <w:rsid w:val="00885179"/>
    <w:rsid w:val="00886654"/>
    <w:rsid w:val="008866E3"/>
    <w:rsid w:val="008867F7"/>
    <w:rsid w:val="00886B6B"/>
    <w:rsid w:val="00887186"/>
    <w:rsid w:val="00890114"/>
    <w:rsid w:val="00890525"/>
    <w:rsid w:val="0089064B"/>
    <w:rsid w:val="0089074A"/>
    <w:rsid w:val="00890C34"/>
    <w:rsid w:val="008915C4"/>
    <w:rsid w:val="00892FDF"/>
    <w:rsid w:val="00893351"/>
    <w:rsid w:val="00893809"/>
    <w:rsid w:val="00893856"/>
    <w:rsid w:val="00893C72"/>
    <w:rsid w:val="00893CE5"/>
    <w:rsid w:val="00893DDE"/>
    <w:rsid w:val="00894B7B"/>
    <w:rsid w:val="00896EB2"/>
    <w:rsid w:val="008A1A94"/>
    <w:rsid w:val="008A2C8F"/>
    <w:rsid w:val="008A3869"/>
    <w:rsid w:val="008A3B59"/>
    <w:rsid w:val="008A4359"/>
    <w:rsid w:val="008A4668"/>
    <w:rsid w:val="008A4AFF"/>
    <w:rsid w:val="008A52AC"/>
    <w:rsid w:val="008A537D"/>
    <w:rsid w:val="008A596F"/>
    <w:rsid w:val="008A782E"/>
    <w:rsid w:val="008B002A"/>
    <w:rsid w:val="008B0F54"/>
    <w:rsid w:val="008B1401"/>
    <w:rsid w:val="008B160F"/>
    <w:rsid w:val="008B2CC5"/>
    <w:rsid w:val="008B407B"/>
    <w:rsid w:val="008B4236"/>
    <w:rsid w:val="008B4B60"/>
    <w:rsid w:val="008B4D62"/>
    <w:rsid w:val="008B60BB"/>
    <w:rsid w:val="008B61D5"/>
    <w:rsid w:val="008B6B52"/>
    <w:rsid w:val="008B6D91"/>
    <w:rsid w:val="008B7371"/>
    <w:rsid w:val="008B79FE"/>
    <w:rsid w:val="008C07D0"/>
    <w:rsid w:val="008C0E59"/>
    <w:rsid w:val="008C0FDE"/>
    <w:rsid w:val="008C2946"/>
    <w:rsid w:val="008C2D8F"/>
    <w:rsid w:val="008C2F99"/>
    <w:rsid w:val="008C41A0"/>
    <w:rsid w:val="008C4732"/>
    <w:rsid w:val="008C5C2F"/>
    <w:rsid w:val="008C744C"/>
    <w:rsid w:val="008D15B0"/>
    <w:rsid w:val="008D1672"/>
    <w:rsid w:val="008D1F0F"/>
    <w:rsid w:val="008D2309"/>
    <w:rsid w:val="008D3E7A"/>
    <w:rsid w:val="008D434B"/>
    <w:rsid w:val="008D4A11"/>
    <w:rsid w:val="008D4F04"/>
    <w:rsid w:val="008D5B0A"/>
    <w:rsid w:val="008D76C1"/>
    <w:rsid w:val="008E0398"/>
    <w:rsid w:val="008E1DD8"/>
    <w:rsid w:val="008E42A0"/>
    <w:rsid w:val="008E4788"/>
    <w:rsid w:val="008E48D5"/>
    <w:rsid w:val="008E4D8F"/>
    <w:rsid w:val="008E5E36"/>
    <w:rsid w:val="008F02A7"/>
    <w:rsid w:val="008F1A62"/>
    <w:rsid w:val="008F2BD1"/>
    <w:rsid w:val="008F51C4"/>
    <w:rsid w:val="008F5442"/>
    <w:rsid w:val="008F5F70"/>
    <w:rsid w:val="008F6D8E"/>
    <w:rsid w:val="008F6F0E"/>
    <w:rsid w:val="008F7F50"/>
    <w:rsid w:val="00900A21"/>
    <w:rsid w:val="00902774"/>
    <w:rsid w:val="00902B87"/>
    <w:rsid w:val="00902EC4"/>
    <w:rsid w:val="0090351C"/>
    <w:rsid w:val="00903636"/>
    <w:rsid w:val="00904DDC"/>
    <w:rsid w:val="00904E6F"/>
    <w:rsid w:val="00905AFC"/>
    <w:rsid w:val="00907F07"/>
    <w:rsid w:val="00910F5A"/>
    <w:rsid w:val="00911213"/>
    <w:rsid w:val="00911A18"/>
    <w:rsid w:val="00912613"/>
    <w:rsid w:val="00912F91"/>
    <w:rsid w:val="0091450D"/>
    <w:rsid w:val="00914848"/>
    <w:rsid w:val="009158A2"/>
    <w:rsid w:val="0091653F"/>
    <w:rsid w:val="00916F53"/>
    <w:rsid w:val="009173BD"/>
    <w:rsid w:val="0091757F"/>
    <w:rsid w:val="0092004C"/>
    <w:rsid w:val="0092013B"/>
    <w:rsid w:val="00920230"/>
    <w:rsid w:val="0092050B"/>
    <w:rsid w:val="00921359"/>
    <w:rsid w:val="00922471"/>
    <w:rsid w:val="00922C3B"/>
    <w:rsid w:val="00923BD1"/>
    <w:rsid w:val="0092446F"/>
    <w:rsid w:val="00925226"/>
    <w:rsid w:val="00926704"/>
    <w:rsid w:val="009268F7"/>
    <w:rsid w:val="00926A62"/>
    <w:rsid w:val="00926B40"/>
    <w:rsid w:val="00926B8D"/>
    <w:rsid w:val="00926BEA"/>
    <w:rsid w:val="009275C2"/>
    <w:rsid w:val="00932469"/>
    <w:rsid w:val="0093359D"/>
    <w:rsid w:val="00933682"/>
    <w:rsid w:val="00933C20"/>
    <w:rsid w:val="00934348"/>
    <w:rsid w:val="00935DA9"/>
    <w:rsid w:val="00935FB2"/>
    <w:rsid w:val="009360B9"/>
    <w:rsid w:val="0093716A"/>
    <w:rsid w:val="00940333"/>
    <w:rsid w:val="009409D3"/>
    <w:rsid w:val="00941175"/>
    <w:rsid w:val="00941818"/>
    <w:rsid w:val="009422C6"/>
    <w:rsid w:val="00942470"/>
    <w:rsid w:val="009451C1"/>
    <w:rsid w:val="00945A41"/>
    <w:rsid w:val="00947AD5"/>
    <w:rsid w:val="00947CFC"/>
    <w:rsid w:val="0095010D"/>
    <w:rsid w:val="00951562"/>
    <w:rsid w:val="009519BE"/>
    <w:rsid w:val="0095290C"/>
    <w:rsid w:val="00952B90"/>
    <w:rsid w:val="0095337F"/>
    <w:rsid w:val="00954C0F"/>
    <w:rsid w:val="00955A93"/>
    <w:rsid w:val="00955B97"/>
    <w:rsid w:val="00961347"/>
    <w:rsid w:val="00962996"/>
    <w:rsid w:val="009635CB"/>
    <w:rsid w:val="0096632E"/>
    <w:rsid w:val="00967279"/>
    <w:rsid w:val="00967FD5"/>
    <w:rsid w:val="009701CC"/>
    <w:rsid w:val="00970683"/>
    <w:rsid w:val="00970F5F"/>
    <w:rsid w:val="00971214"/>
    <w:rsid w:val="009712E7"/>
    <w:rsid w:val="00971DE9"/>
    <w:rsid w:val="009721EA"/>
    <w:rsid w:val="0097312D"/>
    <w:rsid w:val="009732A6"/>
    <w:rsid w:val="0097351A"/>
    <w:rsid w:val="009737C7"/>
    <w:rsid w:val="00973A6A"/>
    <w:rsid w:val="00974375"/>
    <w:rsid w:val="00974533"/>
    <w:rsid w:val="0097462E"/>
    <w:rsid w:val="009750DC"/>
    <w:rsid w:val="00975348"/>
    <w:rsid w:val="00975AFE"/>
    <w:rsid w:val="00975D43"/>
    <w:rsid w:val="00976012"/>
    <w:rsid w:val="00976140"/>
    <w:rsid w:val="009769C6"/>
    <w:rsid w:val="009771DF"/>
    <w:rsid w:val="009779CA"/>
    <w:rsid w:val="00980EE3"/>
    <w:rsid w:val="00981B18"/>
    <w:rsid w:val="0098271B"/>
    <w:rsid w:val="0098360A"/>
    <w:rsid w:val="00983855"/>
    <w:rsid w:val="0098511B"/>
    <w:rsid w:val="009867E6"/>
    <w:rsid w:val="00986C29"/>
    <w:rsid w:val="00986EF9"/>
    <w:rsid w:val="00987F45"/>
    <w:rsid w:val="0099074B"/>
    <w:rsid w:val="009926E7"/>
    <w:rsid w:val="00992746"/>
    <w:rsid w:val="00992BF3"/>
    <w:rsid w:val="0099463B"/>
    <w:rsid w:val="00995C3E"/>
    <w:rsid w:val="00996723"/>
    <w:rsid w:val="00996849"/>
    <w:rsid w:val="0099728C"/>
    <w:rsid w:val="009978F1"/>
    <w:rsid w:val="00997EF0"/>
    <w:rsid w:val="00997F2B"/>
    <w:rsid w:val="009A011F"/>
    <w:rsid w:val="009A014D"/>
    <w:rsid w:val="009A0454"/>
    <w:rsid w:val="009A0D00"/>
    <w:rsid w:val="009A21BD"/>
    <w:rsid w:val="009A2446"/>
    <w:rsid w:val="009A2BA9"/>
    <w:rsid w:val="009A3A76"/>
    <w:rsid w:val="009A4BFB"/>
    <w:rsid w:val="009A5D76"/>
    <w:rsid w:val="009A61C3"/>
    <w:rsid w:val="009A66AA"/>
    <w:rsid w:val="009A6BC1"/>
    <w:rsid w:val="009A78E1"/>
    <w:rsid w:val="009B0097"/>
    <w:rsid w:val="009B0C3A"/>
    <w:rsid w:val="009B1FFC"/>
    <w:rsid w:val="009B207A"/>
    <w:rsid w:val="009B2521"/>
    <w:rsid w:val="009B3A7C"/>
    <w:rsid w:val="009B49DA"/>
    <w:rsid w:val="009B5116"/>
    <w:rsid w:val="009B59CF"/>
    <w:rsid w:val="009B6402"/>
    <w:rsid w:val="009B677E"/>
    <w:rsid w:val="009B6B43"/>
    <w:rsid w:val="009B703E"/>
    <w:rsid w:val="009B7814"/>
    <w:rsid w:val="009B7D49"/>
    <w:rsid w:val="009C01D2"/>
    <w:rsid w:val="009C131D"/>
    <w:rsid w:val="009C1EF3"/>
    <w:rsid w:val="009C1FB9"/>
    <w:rsid w:val="009C202E"/>
    <w:rsid w:val="009C2758"/>
    <w:rsid w:val="009C3C7D"/>
    <w:rsid w:val="009C3D1C"/>
    <w:rsid w:val="009C448D"/>
    <w:rsid w:val="009C590D"/>
    <w:rsid w:val="009C5B72"/>
    <w:rsid w:val="009C7927"/>
    <w:rsid w:val="009D0E2A"/>
    <w:rsid w:val="009D11F7"/>
    <w:rsid w:val="009D24C4"/>
    <w:rsid w:val="009D2616"/>
    <w:rsid w:val="009D2EB4"/>
    <w:rsid w:val="009D3629"/>
    <w:rsid w:val="009D7B45"/>
    <w:rsid w:val="009E065E"/>
    <w:rsid w:val="009E098F"/>
    <w:rsid w:val="009E0E51"/>
    <w:rsid w:val="009E2F82"/>
    <w:rsid w:val="009E39B8"/>
    <w:rsid w:val="009E59A3"/>
    <w:rsid w:val="009E62ED"/>
    <w:rsid w:val="009E646A"/>
    <w:rsid w:val="009F022B"/>
    <w:rsid w:val="009F0C4E"/>
    <w:rsid w:val="009F0F01"/>
    <w:rsid w:val="009F225E"/>
    <w:rsid w:val="009F31D3"/>
    <w:rsid w:val="009F4059"/>
    <w:rsid w:val="009F42B0"/>
    <w:rsid w:val="009F4349"/>
    <w:rsid w:val="009F453A"/>
    <w:rsid w:val="009F4F47"/>
    <w:rsid w:val="009F52A0"/>
    <w:rsid w:val="009F58B2"/>
    <w:rsid w:val="009F5A79"/>
    <w:rsid w:val="009F7A26"/>
    <w:rsid w:val="00A00426"/>
    <w:rsid w:val="00A00642"/>
    <w:rsid w:val="00A006E2"/>
    <w:rsid w:val="00A01156"/>
    <w:rsid w:val="00A0125B"/>
    <w:rsid w:val="00A013E0"/>
    <w:rsid w:val="00A024AB"/>
    <w:rsid w:val="00A03D3E"/>
    <w:rsid w:val="00A03EB4"/>
    <w:rsid w:val="00A057B4"/>
    <w:rsid w:val="00A06CDF"/>
    <w:rsid w:val="00A07CF1"/>
    <w:rsid w:val="00A10206"/>
    <w:rsid w:val="00A10942"/>
    <w:rsid w:val="00A109EC"/>
    <w:rsid w:val="00A10ED9"/>
    <w:rsid w:val="00A11EA5"/>
    <w:rsid w:val="00A16460"/>
    <w:rsid w:val="00A16972"/>
    <w:rsid w:val="00A16C16"/>
    <w:rsid w:val="00A17036"/>
    <w:rsid w:val="00A1748B"/>
    <w:rsid w:val="00A1748F"/>
    <w:rsid w:val="00A17F53"/>
    <w:rsid w:val="00A20876"/>
    <w:rsid w:val="00A20E6E"/>
    <w:rsid w:val="00A216AD"/>
    <w:rsid w:val="00A21825"/>
    <w:rsid w:val="00A22496"/>
    <w:rsid w:val="00A2251A"/>
    <w:rsid w:val="00A22BE9"/>
    <w:rsid w:val="00A23191"/>
    <w:rsid w:val="00A2438A"/>
    <w:rsid w:val="00A24814"/>
    <w:rsid w:val="00A25217"/>
    <w:rsid w:val="00A25873"/>
    <w:rsid w:val="00A26CE3"/>
    <w:rsid w:val="00A26D06"/>
    <w:rsid w:val="00A26E94"/>
    <w:rsid w:val="00A2785C"/>
    <w:rsid w:val="00A30742"/>
    <w:rsid w:val="00A30E3E"/>
    <w:rsid w:val="00A31119"/>
    <w:rsid w:val="00A31DE2"/>
    <w:rsid w:val="00A32631"/>
    <w:rsid w:val="00A3288F"/>
    <w:rsid w:val="00A32FA0"/>
    <w:rsid w:val="00A33EE0"/>
    <w:rsid w:val="00A345CF"/>
    <w:rsid w:val="00A351C4"/>
    <w:rsid w:val="00A353DB"/>
    <w:rsid w:val="00A35844"/>
    <w:rsid w:val="00A3721E"/>
    <w:rsid w:val="00A374D5"/>
    <w:rsid w:val="00A4050D"/>
    <w:rsid w:val="00A41379"/>
    <w:rsid w:val="00A426F5"/>
    <w:rsid w:val="00A43049"/>
    <w:rsid w:val="00A4574C"/>
    <w:rsid w:val="00A45D37"/>
    <w:rsid w:val="00A45EFD"/>
    <w:rsid w:val="00A4720B"/>
    <w:rsid w:val="00A503C1"/>
    <w:rsid w:val="00A5048E"/>
    <w:rsid w:val="00A50B0F"/>
    <w:rsid w:val="00A51032"/>
    <w:rsid w:val="00A5142C"/>
    <w:rsid w:val="00A52D89"/>
    <w:rsid w:val="00A5328A"/>
    <w:rsid w:val="00A53B2C"/>
    <w:rsid w:val="00A53BC8"/>
    <w:rsid w:val="00A53F1A"/>
    <w:rsid w:val="00A54490"/>
    <w:rsid w:val="00A54D73"/>
    <w:rsid w:val="00A55419"/>
    <w:rsid w:val="00A55916"/>
    <w:rsid w:val="00A5591D"/>
    <w:rsid w:val="00A5623A"/>
    <w:rsid w:val="00A56A39"/>
    <w:rsid w:val="00A6078B"/>
    <w:rsid w:val="00A60B8C"/>
    <w:rsid w:val="00A618BD"/>
    <w:rsid w:val="00A61C0A"/>
    <w:rsid w:val="00A61C33"/>
    <w:rsid w:val="00A6285D"/>
    <w:rsid w:val="00A63222"/>
    <w:rsid w:val="00A64BBE"/>
    <w:rsid w:val="00A650F9"/>
    <w:rsid w:val="00A65CC8"/>
    <w:rsid w:val="00A66210"/>
    <w:rsid w:val="00A6697B"/>
    <w:rsid w:val="00A67965"/>
    <w:rsid w:val="00A67B18"/>
    <w:rsid w:val="00A701E7"/>
    <w:rsid w:val="00A72D2C"/>
    <w:rsid w:val="00A73344"/>
    <w:rsid w:val="00A73770"/>
    <w:rsid w:val="00A73B53"/>
    <w:rsid w:val="00A73F47"/>
    <w:rsid w:val="00A73F8F"/>
    <w:rsid w:val="00A751D7"/>
    <w:rsid w:val="00A75513"/>
    <w:rsid w:val="00A77294"/>
    <w:rsid w:val="00A77325"/>
    <w:rsid w:val="00A779C4"/>
    <w:rsid w:val="00A77D2B"/>
    <w:rsid w:val="00A80B52"/>
    <w:rsid w:val="00A810BD"/>
    <w:rsid w:val="00A8199F"/>
    <w:rsid w:val="00A81D69"/>
    <w:rsid w:val="00A83883"/>
    <w:rsid w:val="00A84ADE"/>
    <w:rsid w:val="00A84F17"/>
    <w:rsid w:val="00A851E4"/>
    <w:rsid w:val="00A85853"/>
    <w:rsid w:val="00A85AD5"/>
    <w:rsid w:val="00A8674E"/>
    <w:rsid w:val="00A9039A"/>
    <w:rsid w:val="00A90552"/>
    <w:rsid w:val="00A9255A"/>
    <w:rsid w:val="00A92D47"/>
    <w:rsid w:val="00A93077"/>
    <w:rsid w:val="00A9419A"/>
    <w:rsid w:val="00A95E4A"/>
    <w:rsid w:val="00A95FBD"/>
    <w:rsid w:val="00A961CF"/>
    <w:rsid w:val="00A96222"/>
    <w:rsid w:val="00A97244"/>
    <w:rsid w:val="00A97917"/>
    <w:rsid w:val="00A97EFE"/>
    <w:rsid w:val="00AA2B02"/>
    <w:rsid w:val="00AA30A2"/>
    <w:rsid w:val="00AA3C5E"/>
    <w:rsid w:val="00AA49B8"/>
    <w:rsid w:val="00AA60AD"/>
    <w:rsid w:val="00AA72F4"/>
    <w:rsid w:val="00AA7882"/>
    <w:rsid w:val="00AB09BF"/>
    <w:rsid w:val="00AB2169"/>
    <w:rsid w:val="00AB262F"/>
    <w:rsid w:val="00AB32E9"/>
    <w:rsid w:val="00AB3CAD"/>
    <w:rsid w:val="00AB4374"/>
    <w:rsid w:val="00AB48E2"/>
    <w:rsid w:val="00AB4996"/>
    <w:rsid w:val="00AB51E2"/>
    <w:rsid w:val="00AB52E2"/>
    <w:rsid w:val="00AB52E8"/>
    <w:rsid w:val="00AB5D18"/>
    <w:rsid w:val="00AB61D3"/>
    <w:rsid w:val="00AB63C1"/>
    <w:rsid w:val="00AB7865"/>
    <w:rsid w:val="00AC0201"/>
    <w:rsid w:val="00AC04DC"/>
    <w:rsid w:val="00AC2436"/>
    <w:rsid w:val="00AC2971"/>
    <w:rsid w:val="00AC2B7A"/>
    <w:rsid w:val="00AC303C"/>
    <w:rsid w:val="00AC398A"/>
    <w:rsid w:val="00AC3BC3"/>
    <w:rsid w:val="00AC3EF8"/>
    <w:rsid w:val="00AC4C2B"/>
    <w:rsid w:val="00AC56C8"/>
    <w:rsid w:val="00AC635E"/>
    <w:rsid w:val="00AC7F77"/>
    <w:rsid w:val="00AD1421"/>
    <w:rsid w:val="00AD1731"/>
    <w:rsid w:val="00AD1ADD"/>
    <w:rsid w:val="00AD2064"/>
    <w:rsid w:val="00AD29D7"/>
    <w:rsid w:val="00AD2DAB"/>
    <w:rsid w:val="00AD32DA"/>
    <w:rsid w:val="00AD39A4"/>
    <w:rsid w:val="00AD3A89"/>
    <w:rsid w:val="00AD4CB7"/>
    <w:rsid w:val="00AD6139"/>
    <w:rsid w:val="00AD6359"/>
    <w:rsid w:val="00AE0B2B"/>
    <w:rsid w:val="00AE1116"/>
    <w:rsid w:val="00AE2213"/>
    <w:rsid w:val="00AE3467"/>
    <w:rsid w:val="00AE52D6"/>
    <w:rsid w:val="00AE5CC9"/>
    <w:rsid w:val="00AE6E19"/>
    <w:rsid w:val="00AE7664"/>
    <w:rsid w:val="00AE7942"/>
    <w:rsid w:val="00AE7CFA"/>
    <w:rsid w:val="00AF0398"/>
    <w:rsid w:val="00AF146F"/>
    <w:rsid w:val="00AF1D35"/>
    <w:rsid w:val="00AF2B14"/>
    <w:rsid w:val="00AF4098"/>
    <w:rsid w:val="00AF4672"/>
    <w:rsid w:val="00AF5893"/>
    <w:rsid w:val="00AF5EAE"/>
    <w:rsid w:val="00AF62AC"/>
    <w:rsid w:val="00AF6D51"/>
    <w:rsid w:val="00AF7868"/>
    <w:rsid w:val="00AF7F8F"/>
    <w:rsid w:val="00B00A91"/>
    <w:rsid w:val="00B00E87"/>
    <w:rsid w:val="00B00F4C"/>
    <w:rsid w:val="00B01216"/>
    <w:rsid w:val="00B019CB"/>
    <w:rsid w:val="00B021F9"/>
    <w:rsid w:val="00B0240A"/>
    <w:rsid w:val="00B0267E"/>
    <w:rsid w:val="00B02BD4"/>
    <w:rsid w:val="00B036EC"/>
    <w:rsid w:val="00B03DDD"/>
    <w:rsid w:val="00B04196"/>
    <w:rsid w:val="00B04374"/>
    <w:rsid w:val="00B05F3A"/>
    <w:rsid w:val="00B060B2"/>
    <w:rsid w:val="00B06420"/>
    <w:rsid w:val="00B06A04"/>
    <w:rsid w:val="00B077D6"/>
    <w:rsid w:val="00B078A1"/>
    <w:rsid w:val="00B109A6"/>
    <w:rsid w:val="00B10AB8"/>
    <w:rsid w:val="00B131B3"/>
    <w:rsid w:val="00B1556B"/>
    <w:rsid w:val="00B1587C"/>
    <w:rsid w:val="00B16DC7"/>
    <w:rsid w:val="00B17632"/>
    <w:rsid w:val="00B177C8"/>
    <w:rsid w:val="00B17E95"/>
    <w:rsid w:val="00B2125C"/>
    <w:rsid w:val="00B21A4D"/>
    <w:rsid w:val="00B21DD0"/>
    <w:rsid w:val="00B226C5"/>
    <w:rsid w:val="00B23021"/>
    <w:rsid w:val="00B238F0"/>
    <w:rsid w:val="00B23CA5"/>
    <w:rsid w:val="00B23FCE"/>
    <w:rsid w:val="00B2427B"/>
    <w:rsid w:val="00B256CB"/>
    <w:rsid w:val="00B2574B"/>
    <w:rsid w:val="00B26690"/>
    <w:rsid w:val="00B26A35"/>
    <w:rsid w:val="00B2702C"/>
    <w:rsid w:val="00B3091A"/>
    <w:rsid w:val="00B30A87"/>
    <w:rsid w:val="00B30C50"/>
    <w:rsid w:val="00B316F0"/>
    <w:rsid w:val="00B318FD"/>
    <w:rsid w:val="00B31965"/>
    <w:rsid w:val="00B33054"/>
    <w:rsid w:val="00B3310A"/>
    <w:rsid w:val="00B33827"/>
    <w:rsid w:val="00B33CED"/>
    <w:rsid w:val="00B346E2"/>
    <w:rsid w:val="00B351B5"/>
    <w:rsid w:val="00B3523B"/>
    <w:rsid w:val="00B35677"/>
    <w:rsid w:val="00B35D4E"/>
    <w:rsid w:val="00B36F81"/>
    <w:rsid w:val="00B37093"/>
    <w:rsid w:val="00B37F34"/>
    <w:rsid w:val="00B37FFC"/>
    <w:rsid w:val="00B4139B"/>
    <w:rsid w:val="00B4188D"/>
    <w:rsid w:val="00B42CC6"/>
    <w:rsid w:val="00B436AF"/>
    <w:rsid w:val="00B4371B"/>
    <w:rsid w:val="00B437EC"/>
    <w:rsid w:val="00B44298"/>
    <w:rsid w:val="00B44939"/>
    <w:rsid w:val="00B44EB5"/>
    <w:rsid w:val="00B4516B"/>
    <w:rsid w:val="00B47994"/>
    <w:rsid w:val="00B5039B"/>
    <w:rsid w:val="00B508E7"/>
    <w:rsid w:val="00B50AAD"/>
    <w:rsid w:val="00B50DA2"/>
    <w:rsid w:val="00B510B3"/>
    <w:rsid w:val="00B51284"/>
    <w:rsid w:val="00B5131E"/>
    <w:rsid w:val="00B513BB"/>
    <w:rsid w:val="00B51E9D"/>
    <w:rsid w:val="00B51EDF"/>
    <w:rsid w:val="00B52E90"/>
    <w:rsid w:val="00B5316A"/>
    <w:rsid w:val="00B53E0E"/>
    <w:rsid w:val="00B5498A"/>
    <w:rsid w:val="00B54A30"/>
    <w:rsid w:val="00B54B72"/>
    <w:rsid w:val="00B54E2A"/>
    <w:rsid w:val="00B55528"/>
    <w:rsid w:val="00B56376"/>
    <w:rsid w:val="00B57271"/>
    <w:rsid w:val="00B57C31"/>
    <w:rsid w:val="00B608BA"/>
    <w:rsid w:val="00B6135B"/>
    <w:rsid w:val="00B614C0"/>
    <w:rsid w:val="00B61CAD"/>
    <w:rsid w:val="00B62E2B"/>
    <w:rsid w:val="00B650A9"/>
    <w:rsid w:val="00B66D4B"/>
    <w:rsid w:val="00B674F4"/>
    <w:rsid w:val="00B679A4"/>
    <w:rsid w:val="00B706CA"/>
    <w:rsid w:val="00B70DDA"/>
    <w:rsid w:val="00B71A1F"/>
    <w:rsid w:val="00B72DBE"/>
    <w:rsid w:val="00B75B1F"/>
    <w:rsid w:val="00B77294"/>
    <w:rsid w:val="00B77A90"/>
    <w:rsid w:val="00B81EB5"/>
    <w:rsid w:val="00B82454"/>
    <w:rsid w:val="00B82EDC"/>
    <w:rsid w:val="00B82F9B"/>
    <w:rsid w:val="00B83116"/>
    <w:rsid w:val="00B8443B"/>
    <w:rsid w:val="00B8545B"/>
    <w:rsid w:val="00B86884"/>
    <w:rsid w:val="00B86A9E"/>
    <w:rsid w:val="00B87285"/>
    <w:rsid w:val="00B9067B"/>
    <w:rsid w:val="00B9093E"/>
    <w:rsid w:val="00B923DB"/>
    <w:rsid w:val="00B926D3"/>
    <w:rsid w:val="00B945C8"/>
    <w:rsid w:val="00B94A50"/>
    <w:rsid w:val="00B94CB8"/>
    <w:rsid w:val="00B94E2A"/>
    <w:rsid w:val="00B95066"/>
    <w:rsid w:val="00B952D3"/>
    <w:rsid w:val="00B956B2"/>
    <w:rsid w:val="00B956E7"/>
    <w:rsid w:val="00B95873"/>
    <w:rsid w:val="00B95A24"/>
    <w:rsid w:val="00B9624C"/>
    <w:rsid w:val="00B96E5E"/>
    <w:rsid w:val="00B97581"/>
    <w:rsid w:val="00BA0142"/>
    <w:rsid w:val="00BA0429"/>
    <w:rsid w:val="00BA07E2"/>
    <w:rsid w:val="00BA15E5"/>
    <w:rsid w:val="00BA1659"/>
    <w:rsid w:val="00BA24CE"/>
    <w:rsid w:val="00BA32EB"/>
    <w:rsid w:val="00BA42D5"/>
    <w:rsid w:val="00BA42F0"/>
    <w:rsid w:val="00BA4515"/>
    <w:rsid w:val="00BA4E47"/>
    <w:rsid w:val="00BA4ED6"/>
    <w:rsid w:val="00BA5CF6"/>
    <w:rsid w:val="00BA5EAB"/>
    <w:rsid w:val="00BA7134"/>
    <w:rsid w:val="00BA7232"/>
    <w:rsid w:val="00BA733F"/>
    <w:rsid w:val="00BA78F6"/>
    <w:rsid w:val="00BB0146"/>
    <w:rsid w:val="00BB0197"/>
    <w:rsid w:val="00BB0E20"/>
    <w:rsid w:val="00BB14CC"/>
    <w:rsid w:val="00BB15FD"/>
    <w:rsid w:val="00BB21BB"/>
    <w:rsid w:val="00BB2F56"/>
    <w:rsid w:val="00BB2FC7"/>
    <w:rsid w:val="00BB304A"/>
    <w:rsid w:val="00BB4858"/>
    <w:rsid w:val="00BB4D56"/>
    <w:rsid w:val="00BB6612"/>
    <w:rsid w:val="00BB6728"/>
    <w:rsid w:val="00BB6B97"/>
    <w:rsid w:val="00BB6CBA"/>
    <w:rsid w:val="00BC1E24"/>
    <w:rsid w:val="00BC4226"/>
    <w:rsid w:val="00BC47F2"/>
    <w:rsid w:val="00BC4A97"/>
    <w:rsid w:val="00BC54BF"/>
    <w:rsid w:val="00BC6C0B"/>
    <w:rsid w:val="00BC7293"/>
    <w:rsid w:val="00BC7554"/>
    <w:rsid w:val="00BC7E87"/>
    <w:rsid w:val="00BD029E"/>
    <w:rsid w:val="00BD1152"/>
    <w:rsid w:val="00BD15ED"/>
    <w:rsid w:val="00BD2128"/>
    <w:rsid w:val="00BD2C43"/>
    <w:rsid w:val="00BD31E0"/>
    <w:rsid w:val="00BD3C8D"/>
    <w:rsid w:val="00BD3E82"/>
    <w:rsid w:val="00BD43B7"/>
    <w:rsid w:val="00BD48B4"/>
    <w:rsid w:val="00BD5BFB"/>
    <w:rsid w:val="00BD61C7"/>
    <w:rsid w:val="00BD6478"/>
    <w:rsid w:val="00BD6EA3"/>
    <w:rsid w:val="00BE0614"/>
    <w:rsid w:val="00BE07A5"/>
    <w:rsid w:val="00BE0C4B"/>
    <w:rsid w:val="00BE14D5"/>
    <w:rsid w:val="00BE1826"/>
    <w:rsid w:val="00BE1D66"/>
    <w:rsid w:val="00BE24B8"/>
    <w:rsid w:val="00BE250D"/>
    <w:rsid w:val="00BE3300"/>
    <w:rsid w:val="00BE4F2D"/>
    <w:rsid w:val="00BE54EC"/>
    <w:rsid w:val="00BE55E5"/>
    <w:rsid w:val="00BE5843"/>
    <w:rsid w:val="00BE5B97"/>
    <w:rsid w:val="00BE73EC"/>
    <w:rsid w:val="00BF2669"/>
    <w:rsid w:val="00BF3075"/>
    <w:rsid w:val="00BF32BF"/>
    <w:rsid w:val="00BF4ADD"/>
    <w:rsid w:val="00BF5617"/>
    <w:rsid w:val="00BF5786"/>
    <w:rsid w:val="00BF5824"/>
    <w:rsid w:val="00BF592A"/>
    <w:rsid w:val="00BF6F57"/>
    <w:rsid w:val="00BF77D3"/>
    <w:rsid w:val="00C0119C"/>
    <w:rsid w:val="00C0342D"/>
    <w:rsid w:val="00C04CD6"/>
    <w:rsid w:val="00C05580"/>
    <w:rsid w:val="00C06279"/>
    <w:rsid w:val="00C06473"/>
    <w:rsid w:val="00C0782F"/>
    <w:rsid w:val="00C07A3A"/>
    <w:rsid w:val="00C07E79"/>
    <w:rsid w:val="00C105D6"/>
    <w:rsid w:val="00C11B37"/>
    <w:rsid w:val="00C11F18"/>
    <w:rsid w:val="00C122CB"/>
    <w:rsid w:val="00C12EAF"/>
    <w:rsid w:val="00C15B0E"/>
    <w:rsid w:val="00C16873"/>
    <w:rsid w:val="00C170E2"/>
    <w:rsid w:val="00C17F61"/>
    <w:rsid w:val="00C20C54"/>
    <w:rsid w:val="00C212D8"/>
    <w:rsid w:val="00C21414"/>
    <w:rsid w:val="00C22CED"/>
    <w:rsid w:val="00C237D8"/>
    <w:rsid w:val="00C23E84"/>
    <w:rsid w:val="00C24F8E"/>
    <w:rsid w:val="00C25A5D"/>
    <w:rsid w:val="00C26B06"/>
    <w:rsid w:val="00C26EC0"/>
    <w:rsid w:val="00C2722F"/>
    <w:rsid w:val="00C27658"/>
    <w:rsid w:val="00C30316"/>
    <w:rsid w:val="00C3043A"/>
    <w:rsid w:val="00C305C1"/>
    <w:rsid w:val="00C314D0"/>
    <w:rsid w:val="00C3323E"/>
    <w:rsid w:val="00C3330B"/>
    <w:rsid w:val="00C342B2"/>
    <w:rsid w:val="00C352A8"/>
    <w:rsid w:val="00C352DC"/>
    <w:rsid w:val="00C356CC"/>
    <w:rsid w:val="00C36184"/>
    <w:rsid w:val="00C37134"/>
    <w:rsid w:val="00C37821"/>
    <w:rsid w:val="00C37DF6"/>
    <w:rsid w:val="00C413D6"/>
    <w:rsid w:val="00C417C4"/>
    <w:rsid w:val="00C42023"/>
    <w:rsid w:val="00C4261A"/>
    <w:rsid w:val="00C427BF"/>
    <w:rsid w:val="00C42D61"/>
    <w:rsid w:val="00C43049"/>
    <w:rsid w:val="00C43087"/>
    <w:rsid w:val="00C441CA"/>
    <w:rsid w:val="00C44B7A"/>
    <w:rsid w:val="00C45EF4"/>
    <w:rsid w:val="00C46010"/>
    <w:rsid w:val="00C464C0"/>
    <w:rsid w:val="00C46A2B"/>
    <w:rsid w:val="00C4775D"/>
    <w:rsid w:val="00C47D95"/>
    <w:rsid w:val="00C5097E"/>
    <w:rsid w:val="00C51A5E"/>
    <w:rsid w:val="00C52821"/>
    <w:rsid w:val="00C530D4"/>
    <w:rsid w:val="00C541BF"/>
    <w:rsid w:val="00C5445C"/>
    <w:rsid w:val="00C54477"/>
    <w:rsid w:val="00C54DBB"/>
    <w:rsid w:val="00C554A5"/>
    <w:rsid w:val="00C55B73"/>
    <w:rsid w:val="00C5668B"/>
    <w:rsid w:val="00C5691B"/>
    <w:rsid w:val="00C56C7E"/>
    <w:rsid w:val="00C573C2"/>
    <w:rsid w:val="00C57ACD"/>
    <w:rsid w:val="00C60EF7"/>
    <w:rsid w:val="00C610D1"/>
    <w:rsid w:val="00C619E9"/>
    <w:rsid w:val="00C61B05"/>
    <w:rsid w:val="00C61B1F"/>
    <w:rsid w:val="00C6363A"/>
    <w:rsid w:val="00C6438D"/>
    <w:rsid w:val="00C6557C"/>
    <w:rsid w:val="00C657FE"/>
    <w:rsid w:val="00C658BE"/>
    <w:rsid w:val="00C66485"/>
    <w:rsid w:val="00C66526"/>
    <w:rsid w:val="00C6790D"/>
    <w:rsid w:val="00C70393"/>
    <w:rsid w:val="00C71F7C"/>
    <w:rsid w:val="00C72DCC"/>
    <w:rsid w:val="00C7329B"/>
    <w:rsid w:val="00C732E4"/>
    <w:rsid w:val="00C73FFF"/>
    <w:rsid w:val="00C75EB9"/>
    <w:rsid w:val="00C763D5"/>
    <w:rsid w:val="00C7690A"/>
    <w:rsid w:val="00C76A19"/>
    <w:rsid w:val="00C76AA1"/>
    <w:rsid w:val="00C7749E"/>
    <w:rsid w:val="00C77A4F"/>
    <w:rsid w:val="00C77C7C"/>
    <w:rsid w:val="00C803D3"/>
    <w:rsid w:val="00C806C8"/>
    <w:rsid w:val="00C80E5E"/>
    <w:rsid w:val="00C81709"/>
    <w:rsid w:val="00C81BF6"/>
    <w:rsid w:val="00C83110"/>
    <w:rsid w:val="00C8494D"/>
    <w:rsid w:val="00C85925"/>
    <w:rsid w:val="00C860DC"/>
    <w:rsid w:val="00C873DD"/>
    <w:rsid w:val="00C87A7B"/>
    <w:rsid w:val="00C903D7"/>
    <w:rsid w:val="00C9135E"/>
    <w:rsid w:val="00C9183D"/>
    <w:rsid w:val="00C91F3A"/>
    <w:rsid w:val="00C9210B"/>
    <w:rsid w:val="00C922B6"/>
    <w:rsid w:val="00C92CF1"/>
    <w:rsid w:val="00C92F1C"/>
    <w:rsid w:val="00C93C6E"/>
    <w:rsid w:val="00C93DCC"/>
    <w:rsid w:val="00C94439"/>
    <w:rsid w:val="00C946CA"/>
    <w:rsid w:val="00C94DCF"/>
    <w:rsid w:val="00C95B8F"/>
    <w:rsid w:val="00C96260"/>
    <w:rsid w:val="00C963B3"/>
    <w:rsid w:val="00C96BBB"/>
    <w:rsid w:val="00C96E02"/>
    <w:rsid w:val="00C97016"/>
    <w:rsid w:val="00C97174"/>
    <w:rsid w:val="00C974DB"/>
    <w:rsid w:val="00C977DF"/>
    <w:rsid w:val="00C97964"/>
    <w:rsid w:val="00C97D74"/>
    <w:rsid w:val="00C97EA7"/>
    <w:rsid w:val="00CA0607"/>
    <w:rsid w:val="00CA077E"/>
    <w:rsid w:val="00CA0836"/>
    <w:rsid w:val="00CA108D"/>
    <w:rsid w:val="00CA221D"/>
    <w:rsid w:val="00CA5101"/>
    <w:rsid w:val="00CA568F"/>
    <w:rsid w:val="00CA5964"/>
    <w:rsid w:val="00CA6C46"/>
    <w:rsid w:val="00CA71D2"/>
    <w:rsid w:val="00CA71FD"/>
    <w:rsid w:val="00CB07F0"/>
    <w:rsid w:val="00CB1191"/>
    <w:rsid w:val="00CB170B"/>
    <w:rsid w:val="00CB198D"/>
    <w:rsid w:val="00CB25FD"/>
    <w:rsid w:val="00CB4E98"/>
    <w:rsid w:val="00CB5737"/>
    <w:rsid w:val="00CB645F"/>
    <w:rsid w:val="00CB6E67"/>
    <w:rsid w:val="00CB7704"/>
    <w:rsid w:val="00CC01DB"/>
    <w:rsid w:val="00CC0511"/>
    <w:rsid w:val="00CC0A2D"/>
    <w:rsid w:val="00CC161A"/>
    <w:rsid w:val="00CC2192"/>
    <w:rsid w:val="00CC242A"/>
    <w:rsid w:val="00CC2FB9"/>
    <w:rsid w:val="00CC31C6"/>
    <w:rsid w:val="00CC40E9"/>
    <w:rsid w:val="00CC4470"/>
    <w:rsid w:val="00CC4E99"/>
    <w:rsid w:val="00CC5E03"/>
    <w:rsid w:val="00CC668B"/>
    <w:rsid w:val="00CC6F10"/>
    <w:rsid w:val="00CD06F2"/>
    <w:rsid w:val="00CD0E08"/>
    <w:rsid w:val="00CD1DA3"/>
    <w:rsid w:val="00CD2211"/>
    <w:rsid w:val="00CD3103"/>
    <w:rsid w:val="00CD3164"/>
    <w:rsid w:val="00CD33ED"/>
    <w:rsid w:val="00CD3E5D"/>
    <w:rsid w:val="00CD492D"/>
    <w:rsid w:val="00CD4E51"/>
    <w:rsid w:val="00CD618E"/>
    <w:rsid w:val="00CD6B18"/>
    <w:rsid w:val="00CD6D2C"/>
    <w:rsid w:val="00CD71EC"/>
    <w:rsid w:val="00CD7B04"/>
    <w:rsid w:val="00CD7B25"/>
    <w:rsid w:val="00CD7BD3"/>
    <w:rsid w:val="00CE05A9"/>
    <w:rsid w:val="00CE0D58"/>
    <w:rsid w:val="00CE0FC8"/>
    <w:rsid w:val="00CE10EC"/>
    <w:rsid w:val="00CE1551"/>
    <w:rsid w:val="00CE15DF"/>
    <w:rsid w:val="00CE261F"/>
    <w:rsid w:val="00CE2A1C"/>
    <w:rsid w:val="00CE2C47"/>
    <w:rsid w:val="00CE307C"/>
    <w:rsid w:val="00CE4699"/>
    <w:rsid w:val="00CE5E8F"/>
    <w:rsid w:val="00CE5FEB"/>
    <w:rsid w:val="00CE6EE7"/>
    <w:rsid w:val="00CE7C36"/>
    <w:rsid w:val="00CF0146"/>
    <w:rsid w:val="00CF1006"/>
    <w:rsid w:val="00CF1D54"/>
    <w:rsid w:val="00CF20D1"/>
    <w:rsid w:val="00CF2F71"/>
    <w:rsid w:val="00CF307D"/>
    <w:rsid w:val="00CF38CE"/>
    <w:rsid w:val="00CF6997"/>
    <w:rsid w:val="00CF6B74"/>
    <w:rsid w:val="00CF7743"/>
    <w:rsid w:val="00CF77BF"/>
    <w:rsid w:val="00CF7AC6"/>
    <w:rsid w:val="00D0224C"/>
    <w:rsid w:val="00D03945"/>
    <w:rsid w:val="00D04A7D"/>
    <w:rsid w:val="00D06921"/>
    <w:rsid w:val="00D06B49"/>
    <w:rsid w:val="00D06F90"/>
    <w:rsid w:val="00D07877"/>
    <w:rsid w:val="00D07FCD"/>
    <w:rsid w:val="00D10576"/>
    <w:rsid w:val="00D1085D"/>
    <w:rsid w:val="00D10B51"/>
    <w:rsid w:val="00D10DAE"/>
    <w:rsid w:val="00D10DCA"/>
    <w:rsid w:val="00D1153B"/>
    <w:rsid w:val="00D11663"/>
    <w:rsid w:val="00D11F58"/>
    <w:rsid w:val="00D12417"/>
    <w:rsid w:val="00D13641"/>
    <w:rsid w:val="00D15FC4"/>
    <w:rsid w:val="00D16C25"/>
    <w:rsid w:val="00D171AA"/>
    <w:rsid w:val="00D17223"/>
    <w:rsid w:val="00D177F3"/>
    <w:rsid w:val="00D17D98"/>
    <w:rsid w:val="00D22924"/>
    <w:rsid w:val="00D2376B"/>
    <w:rsid w:val="00D23780"/>
    <w:rsid w:val="00D23B8D"/>
    <w:rsid w:val="00D24681"/>
    <w:rsid w:val="00D25295"/>
    <w:rsid w:val="00D257A5"/>
    <w:rsid w:val="00D27495"/>
    <w:rsid w:val="00D31DCA"/>
    <w:rsid w:val="00D3354D"/>
    <w:rsid w:val="00D3380F"/>
    <w:rsid w:val="00D33F26"/>
    <w:rsid w:val="00D3407D"/>
    <w:rsid w:val="00D348B6"/>
    <w:rsid w:val="00D34E37"/>
    <w:rsid w:val="00D357C3"/>
    <w:rsid w:val="00D35E7E"/>
    <w:rsid w:val="00D36165"/>
    <w:rsid w:val="00D3622B"/>
    <w:rsid w:val="00D36712"/>
    <w:rsid w:val="00D36EB3"/>
    <w:rsid w:val="00D4047E"/>
    <w:rsid w:val="00D40508"/>
    <w:rsid w:val="00D40B1A"/>
    <w:rsid w:val="00D42B52"/>
    <w:rsid w:val="00D43234"/>
    <w:rsid w:val="00D432A0"/>
    <w:rsid w:val="00D43C4E"/>
    <w:rsid w:val="00D45944"/>
    <w:rsid w:val="00D46EB1"/>
    <w:rsid w:val="00D47380"/>
    <w:rsid w:val="00D47E50"/>
    <w:rsid w:val="00D5217F"/>
    <w:rsid w:val="00D55A0F"/>
    <w:rsid w:val="00D5625D"/>
    <w:rsid w:val="00D56AB8"/>
    <w:rsid w:val="00D56E48"/>
    <w:rsid w:val="00D570C9"/>
    <w:rsid w:val="00D572B0"/>
    <w:rsid w:val="00D57776"/>
    <w:rsid w:val="00D57849"/>
    <w:rsid w:val="00D578B3"/>
    <w:rsid w:val="00D57984"/>
    <w:rsid w:val="00D57D5F"/>
    <w:rsid w:val="00D60BEC"/>
    <w:rsid w:val="00D6155F"/>
    <w:rsid w:val="00D61E0E"/>
    <w:rsid w:val="00D6295C"/>
    <w:rsid w:val="00D64765"/>
    <w:rsid w:val="00D65A04"/>
    <w:rsid w:val="00D65B63"/>
    <w:rsid w:val="00D65FEA"/>
    <w:rsid w:val="00D66121"/>
    <w:rsid w:val="00D661EB"/>
    <w:rsid w:val="00D66B3F"/>
    <w:rsid w:val="00D66DB2"/>
    <w:rsid w:val="00D675D3"/>
    <w:rsid w:val="00D67999"/>
    <w:rsid w:val="00D7053E"/>
    <w:rsid w:val="00D70887"/>
    <w:rsid w:val="00D710CE"/>
    <w:rsid w:val="00D71969"/>
    <w:rsid w:val="00D72420"/>
    <w:rsid w:val="00D72838"/>
    <w:rsid w:val="00D73F46"/>
    <w:rsid w:val="00D74D8C"/>
    <w:rsid w:val="00D751D7"/>
    <w:rsid w:val="00D77B06"/>
    <w:rsid w:val="00D77EF5"/>
    <w:rsid w:val="00D8186A"/>
    <w:rsid w:val="00D82F03"/>
    <w:rsid w:val="00D835C9"/>
    <w:rsid w:val="00D83EC3"/>
    <w:rsid w:val="00D860EE"/>
    <w:rsid w:val="00D9081C"/>
    <w:rsid w:val="00D90CF3"/>
    <w:rsid w:val="00D91171"/>
    <w:rsid w:val="00D9228C"/>
    <w:rsid w:val="00D92426"/>
    <w:rsid w:val="00D9242A"/>
    <w:rsid w:val="00D92E54"/>
    <w:rsid w:val="00D93410"/>
    <w:rsid w:val="00D93D6E"/>
    <w:rsid w:val="00D94849"/>
    <w:rsid w:val="00D97CB7"/>
    <w:rsid w:val="00DA1E25"/>
    <w:rsid w:val="00DA299B"/>
    <w:rsid w:val="00DA35DB"/>
    <w:rsid w:val="00DA3AF0"/>
    <w:rsid w:val="00DA4319"/>
    <w:rsid w:val="00DA4A39"/>
    <w:rsid w:val="00DA4BD2"/>
    <w:rsid w:val="00DA5983"/>
    <w:rsid w:val="00DA61BF"/>
    <w:rsid w:val="00DA632F"/>
    <w:rsid w:val="00DA683A"/>
    <w:rsid w:val="00DA7ABE"/>
    <w:rsid w:val="00DB2344"/>
    <w:rsid w:val="00DB2733"/>
    <w:rsid w:val="00DB2E5B"/>
    <w:rsid w:val="00DB2EE4"/>
    <w:rsid w:val="00DB3922"/>
    <w:rsid w:val="00DB3B7F"/>
    <w:rsid w:val="00DB3DC2"/>
    <w:rsid w:val="00DB4236"/>
    <w:rsid w:val="00DB5099"/>
    <w:rsid w:val="00DB54ED"/>
    <w:rsid w:val="00DB6B8E"/>
    <w:rsid w:val="00DB71C0"/>
    <w:rsid w:val="00DB77BC"/>
    <w:rsid w:val="00DB7988"/>
    <w:rsid w:val="00DC0A92"/>
    <w:rsid w:val="00DC1980"/>
    <w:rsid w:val="00DC1BB1"/>
    <w:rsid w:val="00DC293A"/>
    <w:rsid w:val="00DC3151"/>
    <w:rsid w:val="00DC3482"/>
    <w:rsid w:val="00DC3CA3"/>
    <w:rsid w:val="00DC4A28"/>
    <w:rsid w:val="00DC5089"/>
    <w:rsid w:val="00DC5C92"/>
    <w:rsid w:val="00DC68B5"/>
    <w:rsid w:val="00DD226D"/>
    <w:rsid w:val="00DD23E0"/>
    <w:rsid w:val="00DD276C"/>
    <w:rsid w:val="00DD2CFA"/>
    <w:rsid w:val="00DD431E"/>
    <w:rsid w:val="00DD4691"/>
    <w:rsid w:val="00DD4D2B"/>
    <w:rsid w:val="00DD5D3D"/>
    <w:rsid w:val="00DD66B7"/>
    <w:rsid w:val="00DD66E9"/>
    <w:rsid w:val="00DD6951"/>
    <w:rsid w:val="00DD789D"/>
    <w:rsid w:val="00DE055C"/>
    <w:rsid w:val="00DE0903"/>
    <w:rsid w:val="00DE0FBD"/>
    <w:rsid w:val="00DE25D0"/>
    <w:rsid w:val="00DE3106"/>
    <w:rsid w:val="00DE4DD9"/>
    <w:rsid w:val="00DE51F0"/>
    <w:rsid w:val="00DE56CE"/>
    <w:rsid w:val="00DE5C87"/>
    <w:rsid w:val="00DE714A"/>
    <w:rsid w:val="00DE755A"/>
    <w:rsid w:val="00DE7865"/>
    <w:rsid w:val="00DF0765"/>
    <w:rsid w:val="00DF08D5"/>
    <w:rsid w:val="00DF0F8F"/>
    <w:rsid w:val="00DF1449"/>
    <w:rsid w:val="00DF36DA"/>
    <w:rsid w:val="00DF4551"/>
    <w:rsid w:val="00DF455E"/>
    <w:rsid w:val="00DF4E4D"/>
    <w:rsid w:val="00DF515D"/>
    <w:rsid w:val="00DF70C9"/>
    <w:rsid w:val="00DF717F"/>
    <w:rsid w:val="00E00AEB"/>
    <w:rsid w:val="00E017BF"/>
    <w:rsid w:val="00E064A7"/>
    <w:rsid w:val="00E06AFB"/>
    <w:rsid w:val="00E06E72"/>
    <w:rsid w:val="00E072A4"/>
    <w:rsid w:val="00E07DCA"/>
    <w:rsid w:val="00E10961"/>
    <w:rsid w:val="00E1265A"/>
    <w:rsid w:val="00E137BF"/>
    <w:rsid w:val="00E137D8"/>
    <w:rsid w:val="00E141AD"/>
    <w:rsid w:val="00E1457C"/>
    <w:rsid w:val="00E150D0"/>
    <w:rsid w:val="00E155BB"/>
    <w:rsid w:val="00E15674"/>
    <w:rsid w:val="00E15A9D"/>
    <w:rsid w:val="00E1601D"/>
    <w:rsid w:val="00E17315"/>
    <w:rsid w:val="00E1772C"/>
    <w:rsid w:val="00E200A4"/>
    <w:rsid w:val="00E214A1"/>
    <w:rsid w:val="00E21B7C"/>
    <w:rsid w:val="00E21FBF"/>
    <w:rsid w:val="00E22C10"/>
    <w:rsid w:val="00E23931"/>
    <w:rsid w:val="00E239CD"/>
    <w:rsid w:val="00E23D02"/>
    <w:rsid w:val="00E23F5D"/>
    <w:rsid w:val="00E242F3"/>
    <w:rsid w:val="00E24347"/>
    <w:rsid w:val="00E274A6"/>
    <w:rsid w:val="00E3151F"/>
    <w:rsid w:val="00E3156B"/>
    <w:rsid w:val="00E3178C"/>
    <w:rsid w:val="00E319D5"/>
    <w:rsid w:val="00E31CA1"/>
    <w:rsid w:val="00E33CEC"/>
    <w:rsid w:val="00E348B7"/>
    <w:rsid w:val="00E34E27"/>
    <w:rsid w:val="00E36AA9"/>
    <w:rsid w:val="00E3792F"/>
    <w:rsid w:val="00E4006A"/>
    <w:rsid w:val="00E409E6"/>
    <w:rsid w:val="00E41863"/>
    <w:rsid w:val="00E419CE"/>
    <w:rsid w:val="00E42527"/>
    <w:rsid w:val="00E4427A"/>
    <w:rsid w:val="00E44D36"/>
    <w:rsid w:val="00E45941"/>
    <w:rsid w:val="00E46766"/>
    <w:rsid w:val="00E47065"/>
    <w:rsid w:val="00E47408"/>
    <w:rsid w:val="00E47E25"/>
    <w:rsid w:val="00E50740"/>
    <w:rsid w:val="00E518A8"/>
    <w:rsid w:val="00E51C22"/>
    <w:rsid w:val="00E52370"/>
    <w:rsid w:val="00E52BC0"/>
    <w:rsid w:val="00E52EE8"/>
    <w:rsid w:val="00E545C7"/>
    <w:rsid w:val="00E547F0"/>
    <w:rsid w:val="00E553C5"/>
    <w:rsid w:val="00E565FA"/>
    <w:rsid w:val="00E56DB5"/>
    <w:rsid w:val="00E57650"/>
    <w:rsid w:val="00E57D59"/>
    <w:rsid w:val="00E60113"/>
    <w:rsid w:val="00E6094D"/>
    <w:rsid w:val="00E610E7"/>
    <w:rsid w:val="00E6179A"/>
    <w:rsid w:val="00E627B6"/>
    <w:rsid w:val="00E644FF"/>
    <w:rsid w:val="00E651B4"/>
    <w:rsid w:val="00E6633C"/>
    <w:rsid w:val="00E664B3"/>
    <w:rsid w:val="00E6674C"/>
    <w:rsid w:val="00E67463"/>
    <w:rsid w:val="00E67DAC"/>
    <w:rsid w:val="00E70E1D"/>
    <w:rsid w:val="00E71874"/>
    <w:rsid w:val="00E7246A"/>
    <w:rsid w:val="00E7255C"/>
    <w:rsid w:val="00E72586"/>
    <w:rsid w:val="00E73B94"/>
    <w:rsid w:val="00E74F3C"/>
    <w:rsid w:val="00E7596E"/>
    <w:rsid w:val="00E75DF1"/>
    <w:rsid w:val="00E75ED6"/>
    <w:rsid w:val="00E76A43"/>
    <w:rsid w:val="00E76AB1"/>
    <w:rsid w:val="00E76D5C"/>
    <w:rsid w:val="00E76DB8"/>
    <w:rsid w:val="00E7726B"/>
    <w:rsid w:val="00E8064B"/>
    <w:rsid w:val="00E823F5"/>
    <w:rsid w:val="00E82EA7"/>
    <w:rsid w:val="00E8387E"/>
    <w:rsid w:val="00E84007"/>
    <w:rsid w:val="00E84E20"/>
    <w:rsid w:val="00E8641E"/>
    <w:rsid w:val="00E86864"/>
    <w:rsid w:val="00E86BD0"/>
    <w:rsid w:val="00E87296"/>
    <w:rsid w:val="00E9255C"/>
    <w:rsid w:val="00E92C63"/>
    <w:rsid w:val="00E92DB7"/>
    <w:rsid w:val="00E92EC1"/>
    <w:rsid w:val="00E9387E"/>
    <w:rsid w:val="00E93915"/>
    <w:rsid w:val="00E93B17"/>
    <w:rsid w:val="00E94AAD"/>
    <w:rsid w:val="00E959EC"/>
    <w:rsid w:val="00E95F8F"/>
    <w:rsid w:val="00E9616A"/>
    <w:rsid w:val="00E963F8"/>
    <w:rsid w:val="00E96B7F"/>
    <w:rsid w:val="00E96FCE"/>
    <w:rsid w:val="00E9704A"/>
    <w:rsid w:val="00E97292"/>
    <w:rsid w:val="00E9778F"/>
    <w:rsid w:val="00EA0E62"/>
    <w:rsid w:val="00EA32E3"/>
    <w:rsid w:val="00EA3546"/>
    <w:rsid w:val="00EA36AC"/>
    <w:rsid w:val="00EA47E3"/>
    <w:rsid w:val="00EA4A51"/>
    <w:rsid w:val="00EA5AE4"/>
    <w:rsid w:val="00EA5B84"/>
    <w:rsid w:val="00EA6B1E"/>
    <w:rsid w:val="00EA6CE8"/>
    <w:rsid w:val="00EA75CA"/>
    <w:rsid w:val="00EA77DF"/>
    <w:rsid w:val="00EA7AF4"/>
    <w:rsid w:val="00EA7F2F"/>
    <w:rsid w:val="00EB090A"/>
    <w:rsid w:val="00EB2AFF"/>
    <w:rsid w:val="00EB3216"/>
    <w:rsid w:val="00EB33DD"/>
    <w:rsid w:val="00EB40C8"/>
    <w:rsid w:val="00EB4B8E"/>
    <w:rsid w:val="00EB4CC8"/>
    <w:rsid w:val="00EB5313"/>
    <w:rsid w:val="00EB5C78"/>
    <w:rsid w:val="00EB7254"/>
    <w:rsid w:val="00EB7391"/>
    <w:rsid w:val="00EB7AA8"/>
    <w:rsid w:val="00EC05AC"/>
    <w:rsid w:val="00EC1288"/>
    <w:rsid w:val="00EC2723"/>
    <w:rsid w:val="00EC2B92"/>
    <w:rsid w:val="00EC6426"/>
    <w:rsid w:val="00EC679C"/>
    <w:rsid w:val="00EC6BF3"/>
    <w:rsid w:val="00EC6C14"/>
    <w:rsid w:val="00ED0967"/>
    <w:rsid w:val="00ED1237"/>
    <w:rsid w:val="00ED274C"/>
    <w:rsid w:val="00ED2B47"/>
    <w:rsid w:val="00ED2F3A"/>
    <w:rsid w:val="00ED44C0"/>
    <w:rsid w:val="00ED4F44"/>
    <w:rsid w:val="00ED62E2"/>
    <w:rsid w:val="00ED686D"/>
    <w:rsid w:val="00ED68F4"/>
    <w:rsid w:val="00ED6FC8"/>
    <w:rsid w:val="00ED700A"/>
    <w:rsid w:val="00ED7B10"/>
    <w:rsid w:val="00EE1A35"/>
    <w:rsid w:val="00EE23CE"/>
    <w:rsid w:val="00EE24F5"/>
    <w:rsid w:val="00EE2BD9"/>
    <w:rsid w:val="00EE3559"/>
    <w:rsid w:val="00EE40AA"/>
    <w:rsid w:val="00EE467E"/>
    <w:rsid w:val="00EE57EC"/>
    <w:rsid w:val="00EE5E72"/>
    <w:rsid w:val="00EE76F7"/>
    <w:rsid w:val="00EE7C0F"/>
    <w:rsid w:val="00EF01DC"/>
    <w:rsid w:val="00EF0399"/>
    <w:rsid w:val="00EF2883"/>
    <w:rsid w:val="00EF2CA6"/>
    <w:rsid w:val="00EF5B4E"/>
    <w:rsid w:val="00EF7630"/>
    <w:rsid w:val="00EF7900"/>
    <w:rsid w:val="00EF7AA8"/>
    <w:rsid w:val="00F000B8"/>
    <w:rsid w:val="00F002B6"/>
    <w:rsid w:val="00F007C1"/>
    <w:rsid w:val="00F0088D"/>
    <w:rsid w:val="00F021A1"/>
    <w:rsid w:val="00F026B5"/>
    <w:rsid w:val="00F027B2"/>
    <w:rsid w:val="00F02D9E"/>
    <w:rsid w:val="00F0392D"/>
    <w:rsid w:val="00F03AEC"/>
    <w:rsid w:val="00F04B26"/>
    <w:rsid w:val="00F0515C"/>
    <w:rsid w:val="00F05388"/>
    <w:rsid w:val="00F0578C"/>
    <w:rsid w:val="00F060B4"/>
    <w:rsid w:val="00F0636D"/>
    <w:rsid w:val="00F07580"/>
    <w:rsid w:val="00F075B9"/>
    <w:rsid w:val="00F07F12"/>
    <w:rsid w:val="00F102B8"/>
    <w:rsid w:val="00F1061E"/>
    <w:rsid w:val="00F121D3"/>
    <w:rsid w:val="00F13E0F"/>
    <w:rsid w:val="00F14201"/>
    <w:rsid w:val="00F145BA"/>
    <w:rsid w:val="00F15443"/>
    <w:rsid w:val="00F1597B"/>
    <w:rsid w:val="00F15F59"/>
    <w:rsid w:val="00F16103"/>
    <w:rsid w:val="00F1709F"/>
    <w:rsid w:val="00F17E6D"/>
    <w:rsid w:val="00F20666"/>
    <w:rsid w:val="00F21870"/>
    <w:rsid w:val="00F21CE9"/>
    <w:rsid w:val="00F22B0E"/>
    <w:rsid w:val="00F22E09"/>
    <w:rsid w:val="00F232CF"/>
    <w:rsid w:val="00F23814"/>
    <w:rsid w:val="00F2403D"/>
    <w:rsid w:val="00F241C0"/>
    <w:rsid w:val="00F24C8F"/>
    <w:rsid w:val="00F2504C"/>
    <w:rsid w:val="00F25396"/>
    <w:rsid w:val="00F265FF"/>
    <w:rsid w:val="00F26D50"/>
    <w:rsid w:val="00F26E23"/>
    <w:rsid w:val="00F2761C"/>
    <w:rsid w:val="00F278F8"/>
    <w:rsid w:val="00F27B05"/>
    <w:rsid w:val="00F30E4C"/>
    <w:rsid w:val="00F3161D"/>
    <w:rsid w:val="00F31629"/>
    <w:rsid w:val="00F3269D"/>
    <w:rsid w:val="00F32FD8"/>
    <w:rsid w:val="00F33797"/>
    <w:rsid w:val="00F3390C"/>
    <w:rsid w:val="00F35121"/>
    <w:rsid w:val="00F35435"/>
    <w:rsid w:val="00F361A8"/>
    <w:rsid w:val="00F369EF"/>
    <w:rsid w:val="00F43B7A"/>
    <w:rsid w:val="00F43C93"/>
    <w:rsid w:val="00F43F44"/>
    <w:rsid w:val="00F44ACD"/>
    <w:rsid w:val="00F44DB0"/>
    <w:rsid w:val="00F4516D"/>
    <w:rsid w:val="00F456F2"/>
    <w:rsid w:val="00F47997"/>
    <w:rsid w:val="00F47F8F"/>
    <w:rsid w:val="00F50678"/>
    <w:rsid w:val="00F50F9E"/>
    <w:rsid w:val="00F51074"/>
    <w:rsid w:val="00F5114B"/>
    <w:rsid w:val="00F52776"/>
    <w:rsid w:val="00F55EB5"/>
    <w:rsid w:val="00F56D99"/>
    <w:rsid w:val="00F5753F"/>
    <w:rsid w:val="00F57EC4"/>
    <w:rsid w:val="00F60ECD"/>
    <w:rsid w:val="00F61294"/>
    <w:rsid w:val="00F620D9"/>
    <w:rsid w:val="00F63DEE"/>
    <w:rsid w:val="00F640F4"/>
    <w:rsid w:val="00F64F69"/>
    <w:rsid w:val="00F66170"/>
    <w:rsid w:val="00F66913"/>
    <w:rsid w:val="00F67665"/>
    <w:rsid w:val="00F709F6"/>
    <w:rsid w:val="00F71BE7"/>
    <w:rsid w:val="00F71D1E"/>
    <w:rsid w:val="00F7259B"/>
    <w:rsid w:val="00F72736"/>
    <w:rsid w:val="00F7299A"/>
    <w:rsid w:val="00F72E74"/>
    <w:rsid w:val="00F73EBE"/>
    <w:rsid w:val="00F743E2"/>
    <w:rsid w:val="00F7502C"/>
    <w:rsid w:val="00F75EE8"/>
    <w:rsid w:val="00F760EF"/>
    <w:rsid w:val="00F776DE"/>
    <w:rsid w:val="00F77BD0"/>
    <w:rsid w:val="00F80726"/>
    <w:rsid w:val="00F8169E"/>
    <w:rsid w:val="00F81A7C"/>
    <w:rsid w:val="00F82582"/>
    <w:rsid w:val="00F82D5C"/>
    <w:rsid w:val="00F836B3"/>
    <w:rsid w:val="00F83D41"/>
    <w:rsid w:val="00F85401"/>
    <w:rsid w:val="00F85C8C"/>
    <w:rsid w:val="00F8603E"/>
    <w:rsid w:val="00F878A8"/>
    <w:rsid w:val="00F91047"/>
    <w:rsid w:val="00F91332"/>
    <w:rsid w:val="00F918FE"/>
    <w:rsid w:val="00F922FC"/>
    <w:rsid w:val="00F9255C"/>
    <w:rsid w:val="00F92B64"/>
    <w:rsid w:val="00F93CD8"/>
    <w:rsid w:val="00F94195"/>
    <w:rsid w:val="00F95802"/>
    <w:rsid w:val="00F95D66"/>
    <w:rsid w:val="00FA0D14"/>
    <w:rsid w:val="00FA135F"/>
    <w:rsid w:val="00FA164F"/>
    <w:rsid w:val="00FA1709"/>
    <w:rsid w:val="00FA1C3F"/>
    <w:rsid w:val="00FA32E1"/>
    <w:rsid w:val="00FA34E1"/>
    <w:rsid w:val="00FA4412"/>
    <w:rsid w:val="00FA5BF7"/>
    <w:rsid w:val="00FA63F8"/>
    <w:rsid w:val="00FA6DA5"/>
    <w:rsid w:val="00FA7B12"/>
    <w:rsid w:val="00FB1D20"/>
    <w:rsid w:val="00FB2158"/>
    <w:rsid w:val="00FB3ECF"/>
    <w:rsid w:val="00FB45DD"/>
    <w:rsid w:val="00FB498C"/>
    <w:rsid w:val="00FB5F9F"/>
    <w:rsid w:val="00FB6B6E"/>
    <w:rsid w:val="00FB740A"/>
    <w:rsid w:val="00FB7D75"/>
    <w:rsid w:val="00FC0106"/>
    <w:rsid w:val="00FC09FF"/>
    <w:rsid w:val="00FC1B1A"/>
    <w:rsid w:val="00FC1BE4"/>
    <w:rsid w:val="00FC1E98"/>
    <w:rsid w:val="00FC2DAE"/>
    <w:rsid w:val="00FC3E9F"/>
    <w:rsid w:val="00FC5493"/>
    <w:rsid w:val="00FC5988"/>
    <w:rsid w:val="00FC5ABA"/>
    <w:rsid w:val="00FC7043"/>
    <w:rsid w:val="00FC774A"/>
    <w:rsid w:val="00FD0B4C"/>
    <w:rsid w:val="00FD1004"/>
    <w:rsid w:val="00FD24B4"/>
    <w:rsid w:val="00FD24B6"/>
    <w:rsid w:val="00FD362E"/>
    <w:rsid w:val="00FD4FC0"/>
    <w:rsid w:val="00FD5A56"/>
    <w:rsid w:val="00FD64C9"/>
    <w:rsid w:val="00FD730F"/>
    <w:rsid w:val="00FD7C0E"/>
    <w:rsid w:val="00FE022D"/>
    <w:rsid w:val="00FE0B10"/>
    <w:rsid w:val="00FE1AE4"/>
    <w:rsid w:val="00FE1B2F"/>
    <w:rsid w:val="00FE1B4E"/>
    <w:rsid w:val="00FE2DB5"/>
    <w:rsid w:val="00FE374F"/>
    <w:rsid w:val="00FE479D"/>
    <w:rsid w:val="00FE73FB"/>
    <w:rsid w:val="00FE77A9"/>
    <w:rsid w:val="00FE794C"/>
    <w:rsid w:val="00FF0000"/>
    <w:rsid w:val="00FF0263"/>
    <w:rsid w:val="00FF0B13"/>
    <w:rsid w:val="00FF0E20"/>
    <w:rsid w:val="00FF1D83"/>
    <w:rsid w:val="00FF2047"/>
    <w:rsid w:val="00FF22DB"/>
    <w:rsid w:val="00FF232B"/>
    <w:rsid w:val="00FF26B5"/>
    <w:rsid w:val="00FF2A5A"/>
    <w:rsid w:val="00FF2FAA"/>
    <w:rsid w:val="00FF3A50"/>
    <w:rsid w:val="00FF3AB1"/>
    <w:rsid w:val="00FF40B9"/>
    <w:rsid w:val="00FF517D"/>
    <w:rsid w:val="00FF57F7"/>
    <w:rsid w:val="00FF6CD9"/>
    <w:rsid w:val="00FF76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D9FD1"/>
  <w14:defaultImageDpi w14:val="330"/>
  <w15:chartTrackingRefBased/>
  <w15:docId w15:val="{CEC88E4E-9237-4836-ACB8-18A07C19C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9D3"/>
    <w:pPr>
      <w:spacing w:line="480" w:lineRule="auto"/>
    </w:pPr>
    <w:rPr>
      <w:rFonts w:ascii="Times New Roman" w:hAnsi="Times New Roman" w:cs="Times New Roman"/>
      <w:sz w:val="24"/>
      <w:szCs w:val="24"/>
      <w:lang w:val="en-US"/>
    </w:rPr>
  </w:style>
  <w:style w:type="paragraph" w:styleId="Titre1">
    <w:name w:val="heading 1"/>
    <w:basedOn w:val="Normal"/>
    <w:next w:val="Normal"/>
    <w:link w:val="Titre1Car"/>
    <w:uiPriority w:val="9"/>
    <w:qFormat/>
    <w:rsid w:val="000E5F17"/>
    <w:pPr>
      <w:outlineLvl w:val="0"/>
    </w:pPr>
    <w:rPr>
      <w:b/>
      <w:bCs/>
      <w:sz w:val="28"/>
    </w:rPr>
  </w:style>
  <w:style w:type="paragraph" w:styleId="Titre2">
    <w:name w:val="heading 2"/>
    <w:basedOn w:val="Normal"/>
    <w:next w:val="Normal"/>
    <w:link w:val="Titre2Car"/>
    <w:uiPriority w:val="9"/>
    <w:unhideWhenUsed/>
    <w:qFormat/>
    <w:rsid w:val="0040529A"/>
    <w:pPr>
      <w:outlineLvl w:val="1"/>
    </w:pPr>
    <w:rPr>
      <w:b/>
    </w:rPr>
  </w:style>
  <w:style w:type="paragraph" w:styleId="Titre3">
    <w:name w:val="heading 3"/>
    <w:basedOn w:val="Normal"/>
    <w:next w:val="Normal"/>
    <w:link w:val="Titre3Car"/>
    <w:uiPriority w:val="9"/>
    <w:unhideWhenUsed/>
    <w:qFormat/>
    <w:rsid w:val="00581C13"/>
    <w:pPr>
      <w:ind w:left="567"/>
      <w:outlineLvl w:val="2"/>
    </w:pPr>
    <w:rPr>
      <w:b/>
      <w:i/>
      <w:iCs/>
    </w:rPr>
  </w:style>
  <w:style w:type="paragraph" w:styleId="Titre4">
    <w:name w:val="heading 4"/>
    <w:basedOn w:val="Normal"/>
    <w:next w:val="Normal"/>
    <w:link w:val="Titre4Car"/>
    <w:uiPriority w:val="9"/>
    <w:semiHidden/>
    <w:unhideWhenUsed/>
    <w:qFormat/>
    <w:rsid w:val="00B06A0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6">
    <w:name w:val="heading 6"/>
    <w:basedOn w:val="Normal"/>
    <w:next w:val="Normal"/>
    <w:link w:val="Titre6Car"/>
    <w:uiPriority w:val="9"/>
    <w:semiHidden/>
    <w:unhideWhenUsed/>
    <w:qFormat/>
    <w:rsid w:val="00F102B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E5F17"/>
    <w:rPr>
      <w:rFonts w:ascii="Times New Roman" w:hAnsi="Times New Roman" w:cs="Times New Roman"/>
      <w:b/>
      <w:bCs/>
      <w:sz w:val="28"/>
      <w:szCs w:val="24"/>
      <w:lang w:val="en-US"/>
    </w:rPr>
  </w:style>
  <w:style w:type="paragraph" w:styleId="Bibliographie">
    <w:name w:val="Bibliography"/>
    <w:basedOn w:val="Normal"/>
    <w:next w:val="Normal"/>
    <w:uiPriority w:val="37"/>
    <w:unhideWhenUsed/>
    <w:rsid w:val="000102C6"/>
    <w:pPr>
      <w:spacing w:after="0"/>
      <w:ind w:left="720" w:hanging="720"/>
    </w:pPr>
  </w:style>
  <w:style w:type="character" w:styleId="CodeHTML">
    <w:name w:val="HTML Code"/>
    <w:basedOn w:val="Policepardfaut"/>
    <w:uiPriority w:val="99"/>
    <w:semiHidden/>
    <w:unhideWhenUsed/>
    <w:rsid w:val="003B3620"/>
    <w:rPr>
      <w:rFonts w:ascii="Courier New" w:eastAsia="Times New Roman" w:hAnsi="Courier New" w:cs="Courier New"/>
      <w:sz w:val="20"/>
      <w:szCs w:val="20"/>
    </w:rPr>
  </w:style>
  <w:style w:type="character" w:styleId="Marquedecommentaire">
    <w:name w:val="annotation reference"/>
    <w:basedOn w:val="Policepardfaut"/>
    <w:uiPriority w:val="99"/>
    <w:semiHidden/>
    <w:unhideWhenUsed/>
    <w:rsid w:val="00893809"/>
    <w:rPr>
      <w:sz w:val="16"/>
      <w:szCs w:val="16"/>
    </w:rPr>
  </w:style>
  <w:style w:type="paragraph" w:styleId="Commentaire">
    <w:name w:val="annotation text"/>
    <w:basedOn w:val="Normal"/>
    <w:link w:val="CommentaireCar"/>
    <w:uiPriority w:val="99"/>
    <w:unhideWhenUsed/>
    <w:rsid w:val="00893809"/>
    <w:pPr>
      <w:spacing w:line="240" w:lineRule="auto"/>
    </w:pPr>
    <w:rPr>
      <w:sz w:val="20"/>
      <w:szCs w:val="20"/>
    </w:rPr>
  </w:style>
  <w:style w:type="character" w:customStyle="1" w:styleId="CommentaireCar">
    <w:name w:val="Commentaire Car"/>
    <w:basedOn w:val="Policepardfaut"/>
    <w:link w:val="Commentaire"/>
    <w:uiPriority w:val="99"/>
    <w:rsid w:val="00893809"/>
    <w:rPr>
      <w:rFonts w:ascii="Times New Roman" w:hAnsi="Times New Roman" w:cs="Times New Roman"/>
      <w:sz w:val="20"/>
      <w:szCs w:val="20"/>
      <w:lang w:val="en-US"/>
    </w:rPr>
  </w:style>
  <w:style w:type="paragraph" w:styleId="Objetducommentaire">
    <w:name w:val="annotation subject"/>
    <w:basedOn w:val="Commentaire"/>
    <w:next w:val="Commentaire"/>
    <w:link w:val="ObjetducommentaireCar"/>
    <w:uiPriority w:val="99"/>
    <w:semiHidden/>
    <w:unhideWhenUsed/>
    <w:rsid w:val="00893809"/>
    <w:rPr>
      <w:b/>
      <w:bCs/>
    </w:rPr>
  </w:style>
  <w:style w:type="character" w:customStyle="1" w:styleId="ObjetducommentaireCar">
    <w:name w:val="Objet du commentaire Car"/>
    <w:basedOn w:val="CommentaireCar"/>
    <w:link w:val="Objetducommentaire"/>
    <w:uiPriority w:val="99"/>
    <w:semiHidden/>
    <w:rsid w:val="00893809"/>
    <w:rPr>
      <w:rFonts w:ascii="Times New Roman" w:hAnsi="Times New Roman" w:cs="Times New Roman"/>
      <w:b/>
      <w:bCs/>
      <w:sz w:val="20"/>
      <w:szCs w:val="20"/>
      <w:lang w:val="en-US"/>
    </w:rPr>
  </w:style>
  <w:style w:type="character" w:customStyle="1" w:styleId="Titre2Car">
    <w:name w:val="Titre 2 Car"/>
    <w:basedOn w:val="Policepardfaut"/>
    <w:link w:val="Titre2"/>
    <w:uiPriority w:val="9"/>
    <w:rsid w:val="0040529A"/>
    <w:rPr>
      <w:rFonts w:ascii="Times New Roman" w:hAnsi="Times New Roman" w:cs="Times New Roman"/>
      <w:b/>
      <w:sz w:val="24"/>
      <w:szCs w:val="24"/>
      <w:lang w:val="en-US"/>
    </w:rPr>
  </w:style>
  <w:style w:type="character" w:styleId="Lienhypertexte">
    <w:name w:val="Hyperlink"/>
    <w:basedOn w:val="Policepardfaut"/>
    <w:uiPriority w:val="99"/>
    <w:unhideWhenUsed/>
    <w:rsid w:val="00866E24"/>
    <w:rPr>
      <w:color w:val="0563C1" w:themeColor="hyperlink"/>
      <w:u w:val="single"/>
    </w:rPr>
  </w:style>
  <w:style w:type="character" w:customStyle="1" w:styleId="UnresolvedMention1">
    <w:name w:val="Unresolved Mention1"/>
    <w:basedOn w:val="Policepardfaut"/>
    <w:uiPriority w:val="99"/>
    <w:semiHidden/>
    <w:unhideWhenUsed/>
    <w:rsid w:val="00866E24"/>
    <w:rPr>
      <w:color w:val="605E5C"/>
      <w:shd w:val="clear" w:color="auto" w:fill="E1DFDD"/>
    </w:rPr>
  </w:style>
  <w:style w:type="character" w:customStyle="1" w:styleId="Titre3Car">
    <w:name w:val="Titre 3 Car"/>
    <w:basedOn w:val="Policepardfaut"/>
    <w:link w:val="Titre3"/>
    <w:uiPriority w:val="9"/>
    <w:rsid w:val="00581C13"/>
    <w:rPr>
      <w:rFonts w:ascii="Times New Roman" w:hAnsi="Times New Roman" w:cs="Times New Roman"/>
      <w:b/>
      <w:i/>
      <w:iCs/>
      <w:sz w:val="24"/>
      <w:szCs w:val="24"/>
      <w:lang w:val="en-US"/>
    </w:rPr>
  </w:style>
  <w:style w:type="paragraph" w:styleId="Paragraphedeliste">
    <w:name w:val="List Paragraph"/>
    <w:basedOn w:val="Normal"/>
    <w:uiPriority w:val="34"/>
    <w:qFormat/>
    <w:rsid w:val="003C41E9"/>
    <w:pPr>
      <w:ind w:left="720"/>
      <w:contextualSpacing/>
    </w:pPr>
  </w:style>
  <w:style w:type="paragraph" w:styleId="NormalWeb">
    <w:name w:val="Normal (Web)"/>
    <w:basedOn w:val="Normal"/>
    <w:uiPriority w:val="99"/>
    <w:unhideWhenUsed/>
    <w:rsid w:val="00A96222"/>
  </w:style>
  <w:style w:type="table" w:customStyle="1" w:styleId="RapportAPA">
    <w:name w:val="Rapport APA"/>
    <w:basedOn w:val="TableauNormal"/>
    <w:uiPriority w:val="99"/>
    <w:rsid w:val="00A25873"/>
    <w:pPr>
      <w:spacing w:after="0" w:line="240" w:lineRule="auto"/>
    </w:pPr>
    <w:rPr>
      <w:rFonts w:eastAsia="SimSun"/>
      <w:color w:val="000000"/>
      <w:sz w:val="24"/>
      <w:szCs w:val="24"/>
      <w:lang w:eastAsia="ja-JP"/>
    </w:rPr>
    <w:tblPr>
      <w:tblBorders>
        <w:top w:val="single" w:sz="12" w:space="0" w:color="auto"/>
        <w:bottom w:val="single" w:sz="12" w:space="0" w:color="auto"/>
      </w:tblBorders>
    </w:tblPr>
    <w:tblStylePr w:type="firstRow">
      <w:rPr>
        <w:rFonts w:ascii="Times New Roman" w:hAnsi="Times New Roman"/>
      </w:rPr>
      <w:tblPr/>
      <w:tcPr>
        <w:tcBorders>
          <w:top w:val="single" w:sz="12" w:space="0" w:color="auto"/>
          <w:left w:val="nil"/>
          <w:bottom w:val="single" w:sz="12" w:space="0" w:color="auto"/>
          <w:right w:val="nil"/>
          <w:insideH w:val="nil"/>
          <w:insideV w:val="nil"/>
          <w:tl2br w:val="nil"/>
          <w:tr2bl w:val="nil"/>
        </w:tcBorders>
      </w:tcPr>
    </w:tblStylePr>
  </w:style>
  <w:style w:type="paragraph" w:styleId="Textedebulles">
    <w:name w:val="Balloon Text"/>
    <w:basedOn w:val="Normal"/>
    <w:link w:val="TextedebullesCar"/>
    <w:uiPriority w:val="99"/>
    <w:semiHidden/>
    <w:unhideWhenUsed/>
    <w:rsid w:val="00BB672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B6728"/>
    <w:rPr>
      <w:rFonts w:ascii="Segoe UI" w:hAnsi="Segoe UI" w:cs="Segoe UI"/>
      <w:sz w:val="18"/>
      <w:szCs w:val="18"/>
      <w:lang w:val="en-US"/>
    </w:rPr>
  </w:style>
  <w:style w:type="character" w:customStyle="1" w:styleId="Titre6Car">
    <w:name w:val="Titre 6 Car"/>
    <w:basedOn w:val="Policepardfaut"/>
    <w:link w:val="Titre6"/>
    <w:uiPriority w:val="9"/>
    <w:semiHidden/>
    <w:rsid w:val="00F102B8"/>
    <w:rPr>
      <w:rFonts w:asciiTheme="majorHAnsi" w:eastAsiaTheme="majorEastAsia" w:hAnsiTheme="majorHAnsi" w:cstheme="majorBidi"/>
      <w:color w:val="1F4D78" w:themeColor="accent1" w:themeShade="7F"/>
      <w:sz w:val="24"/>
      <w:szCs w:val="24"/>
      <w:lang w:val="en-US"/>
    </w:rPr>
  </w:style>
  <w:style w:type="paragraph" w:styleId="Notedebasdepage">
    <w:name w:val="footnote text"/>
    <w:basedOn w:val="Normal"/>
    <w:link w:val="NotedebasdepageCar"/>
    <w:uiPriority w:val="99"/>
    <w:semiHidden/>
    <w:unhideWhenUsed/>
    <w:rsid w:val="00C0558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05580"/>
    <w:rPr>
      <w:rFonts w:ascii="Times New Roman" w:hAnsi="Times New Roman" w:cs="Times New Roman"/>
      <w:sz w:val="20"/>
      <w:szCs w:val="20"/>
      <w:lang w:val="en-US"/>
    </w:rPr>
  </w:style>
  <w:style w:type="character" w:styleId="Appelnotedebasdep">
    <w:name w:val="footnote reference"/>
    <w:basedOn w:val="Policepardfaut"/>
    <w:uiPriority w:val="99"/>
    <w:semiHidden/>
    <w:unhideWhenUsed/>
    <w:rsid w:val="00C05580"/>
    <w:rPr>
      <w:vertAlign w:val="superscript"/>
    </w:rPr>
  </w:style>
  <w:style w:type="paragraph" w:styleId="En-tte">
    <w:name w:val="header"/>
    <w:basedOn w:val="Normal"/>
    <w:link w:val="En-tteCar"/>
    <w:uiPriority w:val="99"/>
    <w:unhideWhenUsed/>
    <w:rsid w:val="000C7B6C"/>
    <w:pPr>
      <w:tabs>
        <w:tab w:val="center" w:pos="4536"/>
        <w:tab w:val="right" w:pos="9072"/>
      </w:tabs>
      <w:spacing w:after="0" w:line="240" w:lineRule="auto"/>
    </w:pPr>
  </w:style>
  <w:style w:type="character" w:customStyle="1" w:styleId="En-tteCar">
    <w:name w:val="En-tête Car"/>
    <w:basedOn w:val="Policepardfaut"/>
    <w:link w:val="En-tte"/>
    <w:uiPriority w:val="99"/>
    <w:rsid w:val="000C7B6C"/>
    <w:rPr>
      <w:rFonts w:ascii="Times New Roman" w:hAnsi="Times New Roman" w:cs="Times New Roman"/>
      <w:sz w:val="24"/>
      <w:szCs w:val="24"/>
      <w:lang w:val="en-US"/>
    </w:rPr>
  </w:style>
  <w:style w:type="paragraph" w:styleId="Pieddepage">
    <w:name w:val="footer"/>
    <w:basedOn w:val="Normal"/>
    <w:link w:val="PieddepageCar"/>
    <w:uiPriority w:val="99"/>
    <w:unhideWhenUsed/>
    <w:rsid w:val="000C7B6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C7B6C"/>
    <w:rPr>
      <w:rFonts w:ascii="Times New Roman" w:hAnsi="Times New Roman" w:cs="Times New Roman"/>
      <w:sz w:val="24"/>
      <w:szCs w:val="24"/>
      <w:lang w:val="en-US"/>
    </w:rPr>
  </w:style>
  <w:style w:type="paragraph" w:styleId="Sansinterligne">
    <w:name w:val="No Spacing"/>
    <w:uiPriority w:val="1"/>
    <w:qFormat/>
    <w:rsid w:val="00683845"/>
    <w:pPr>
      <w:spacing w:after="0" w:line="240" w:lineRule="auto"/>
    </w:pPr>
    <w:rPr>
      <w:rFonts w:ascii="Times New Roman" w:hAnsi="Times New Roman" w:cs="Times New Roman"/>
      <w:sz w:val="24"/>
      <w:szCs w:val="24"/>
      <w:lang w:val="en-US"/>
    </w:rPr>
  </w:style>
  <w:style w:type="paragraph" w:styleId="Notedefin">
    <w:name w:val="endnote text"/>
    <w:basedOn w:val="Normal"/>
    <w:link w:val="NotedefinCar"/>
    <w:uiPriority w:val="99"/>
    <w:semiHidden/>
    <w:unhideWhenUsed/>
    <w:rsid w:val="00A97244"/>
    <w:pPr>
      <w:spacing w:after="0" w:line="240" w:lineRule="auto"/>
    </w:pPr>
    <w:rPr>
      <w:sz w:val="20"/>
      <w:szCs w:val="20"/>
    </w:rPr>
  </w:style>
  <w:style w:type="character" w:customStyle="1" w:styleId="NotedefinCar">
    <w:name w:val="Note de fin Car"/>
    <w:basedOn w:val="Policepardfaut"/>
    <w:link w:val="Notedefin"/>
    <w:uiPriority w:val="99"/>
    <w:semiHidden/>
    <w:rsid w:val="00A97244"/>
    <w:rPr>
      <w:rFonts w:ascii="Times New Roman" w:hAnsi="Times New Roman" w:cs="Times New Roman"/>
      <w:sz w:val="20"/>
      <w:szCs w:val="20"/>
      <w:lang w:val="en-US"/>
    </w:rPr>
  </w:style>
  <w:style w:type="character" w:styleId="Appeldenotedefin">
    <w:name w:val="endnote reference"/>
    <w:basedOn w:val="Policepardfaut"/>
    <w:uiPriority w:val="99"/>
    <w:semiHidden/>
    <w:unhideWhenUsed/>
    <w:rsid w:val="00A97244"/>
    <w:rPr>
      <w:vertAlign w:val="superscript"/>
    </w:rPr>
  </w:style>
  <w:style w:type="character" w:styleId="Textedelespacerserv">
    <w:name w:val="Placeholder Text"/>
    <w:basedOn w:val="Policepardfaut"/>
    <w:uiPriority w:val="99"/>
    <w:semiHidden/>
    <w:rsid w:val="00614DEB"/>
    <w:rPr>
      <w:color w:val="666666"/>
    </w:rPr>
  </w:style>
  <w:style w:type="character" w:customStyle="1" w:styleId="Titre4Car">
    <w:name w:val="Titre 4 Car"/>
    <w:basedOn w:val="Policepardfaut"/>
    <w:link w:val="Titre4"/>
    <w:uiPriority w:val="9"/>
    <w:semiHidden/>
    <w:rsid w:val="00B06A04"/>
    <w:rPr>
      <w:rFonts w:asciiTheme="majorHAnsi" w:eastAsiaTheme="majorEastAsia" w:hAnsiTheme="majorHAnsi" w:cstheme="majorBidi"/>
      <w:i/>
      <w:iCs/>
      <w:color w:val="2E74B5" w:themeColor="accent1" w:themeShade="BF"/>
      <w:sz w:val="24"/>
      <w:szCs w:val="24"/>
      <w:lang w:val="en-US"/>
    </w:rPr>
  </w:style>
  <w:style w:type="character" w:customStyle="1" w:styleId="mord">
    <w:name w:val="mord"/>
    <w:basedOn w:val="Policepardfaut"/>
    <w:rsid w:val="004C7964"/>
  </w:style>
  <w:style w:type="paragraph" w:styleId="Rvision">
    <w:name w:val="Revision"/>
    <w:hidden/>
    <w:uiPriority w:val="99"/>
    <w:semiHidden/>
    <w:rsid w:val="002A70D9"/>
    <w:pPr>
      <w:spacing w:after="0" w:line="240" w:lineRule="auto"/>
    </w:pPr>
    <w:rPr>
      <w:rFonts w:ascii="Times New Roman" w:hAnsi="Times New Roman" w:cs="Times New Roman"/>
      <w:sz w:val="24"/>
      <w:szCs w:val="24"/>
      <w:lang w:val="en-US"/>
    </w:rPr>
  </w:style>
  <w:style w:type="character" w:styleId="Numrodeligne">
    <w:name w:val="line number"/>
    <w:basedOn w:val="Policepardfaut"/>
    <w:uiPriority w:val="99"/>
    <w:semiHidden/>
    <w:unhideWhenUsed/>
    <w:rsid w:val="00A32631"/>
  </w:style>
  <w:style w:type="character" w:customStyle="1" w:styleId="Mentionnonrsolue1">
    <w:name w:val="Mention non résolue1"/>
    <w:basedOn w:val="Policepardfaut"/>
    <w:uiPriority w:val="99"/>
    <w:semiHidden/>
    <w:unhideWhenUsed/>
    <w:rsid w:val="003C6696"/>
    <w:rPr>
      <w:color w:val="605E5C"/>
      <w:shd w:val="clear" w:color="auto" w:fill="E1DFDD"/>
    </w:rPr>
  </w:style>
  <w:style w:type="character" w:styleId="Lienhypertextesuivivisit">
    <w:name w:val="FollowedHyperlink"/>
    <w:basedOn w:val="Policepardfaut"/>
    <w:uiPriority w:val="99"/>
    <w:semiHidden/>
    <w:unhideWhenUsed/>
    <w:rsid w:val="003C6696"/>
    <w:rPr>
      <w:color w:val="954F72" w:themeColor="followedHyperlink"/>
      <w:u w:val="single"/>
    </w:rPr>
  </w:style>
  <w:style w:type="character" w:customStyle="1" w:styleId="mrel">
    <w:name w:val="mrel"/>
    <w:basedOn w:val="Policepardfaut"/>
    <w:rsid w:val="00E319D5"/>
  </w:style>
  <w:style w:type="character" w:customStyle="1" w:styleId="vlist-s">
    <w:name w:val="vlist-s"/>
    <w:basedOn w:val="Policepardfaut"/>
    <w:rsid w:val="00E319D5"/>
  </w:style>
  <w:style w:type="character" w:customStyle="1" w:styleId="mopen">
    <w:name w:val="mopen"/>
    <w:basedOn w:val="Policepardfaut"/>
    <w:rsid w:val="004F7316"/>
  </w:style>
  <w:style w:type="character" w:customStyle="1" w:styleId="mclose">
    <w:name w:val="mclose"/>
    <w:basedOn w:val="Policepardfaut"/>
    <w:rsid w:val="004F7316"/>
  </w:style>
  <w:style w:type="character" w:customStyle="1" w:styleId="mbin">
    <w:name w:val="mbin"/>
    <w:basedOn w:val="Policepardfaut"/>
    <w:rsid w:val="00852011"/>
  </w:style>
  <w:style w:type="character" w:customStyle="1" w:styleId="mspace">
    <w:name w:val="mspace"/>
    <w:basedOn w:val="Policepardfaut"/>
    <w:rsid w:val="00C87A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10869">
      <w:bodyDiv w:val="1"/>
      <w:marLeft w:val="0"/>
      <w:marRight w:val="0"/>
      <w:marTop w:val="0"/>
      <w:marBottom w:val="0"/>
      <w:divBdr>
        <w:top w:val="none" w:sz="0" w:space="0" w:color="auto"/>
        <w:left w:val="none" w:sz="0" w:space="0" w:color="auto"/>
        <w:bottom w:val="none" w:sz="0" w:space="0" w:color="auto"/>
        <w:right w:val="none" w:sz="0" w:space="0" w:color="auto"/>
      </w:divBdr>
    </w:div>
    <w:div w:id="172653110">
      <w:bodyDiv w:val="1"/>
      <w:marLeft w:val="0"/>
      <w:marRight w:val="0"/>
      <w:marTop w:val="0"/>
      <w:marBottom w:val="0"/>
      <w:divBdr>
        <w:top w:val="none" w:sz="0" w:space="0" w:color="auto"/>
        <w:left w:val="none" w:sz="0" w:space="0" w:color="auto"/>
        <w:bottom w:val="none" w:sz="0" w:space="0" w:color="auto"/>
        <w:right w:val="none" w:sz="0" w:space="0" w:color="auto"/>
      </w:divBdr>
    </w:div>
    <w:div w:id="302581324">
      <w:bodyDiv w:val="1"/>
      <w:marLeft w:val="0"/>
      <w:marRight w:val="0"/>
      <w:marTop w:val="0"/>
      <w:marBottom w:val="0"/>
      <w:divBdr>
        <w:top w:val="none" w:sz="0" w:space="0" w:color="auto"/>
        <w:left w:val="none" w:sz="0" w:space="0" w:color="auto"/>
        <w:bottom w:val="none" w:sz="0" w:space="0" w:color="auto"/>
        <w:right w:val="none" w:sz="0" w:space="0" w:color="auto"/>
      </w:divBdr>
      <w:divsChild>
        <w:div w:id="1898130419">
          <w:marLeft w:val="0"/>
          <w:marRight w:val="0"/>
          <w:marTop w:val="0"/>
          <w:marBottom w:val="0"/>
          <w:divBdr>
            <w:top w:val="none" w:sz="0" w:space="0" w:color="auto"/>
            <w:left w:val="none" w:sz="0" w:space="0" w:color="auto"/>
            <w:bottom w:val="none" w:sz="0" w:space="0" w:color="auto"/>
            <w:right w:val="none" w:sz="0" w:space="0" w:color="auto"/>
          </w:divBdr>
          <w:divsChild>
            <w:div w:id="1756051770">
              <w:marLeft w:val="0"/>
              <w:marRight w:val="0"/>
              <w:marTop w:val="0"/>
              <w:marBottom w:val="0"/>
              <w:divBdr>
                <w:top w:val="none" w:sz="0" w:space="0" w:color="auto"/>
                <w:left w:val="none" w:sz="0" w:space="0" w:color="auto"/>
                <w:bottom w:val="none" w:sz="0" w:space="0" w:color="auto"/>
                <w:right w:val="none" w:sz="0" w:space="0" w:color="auto"/>
              </w:divBdr>
              <w:divsChild>
                <w:div w:id="1546060122">
                  <w:marLeft w:val="0"/>
                  <w:marRight w:val="0"/>
                  <w:marTop w:val="0"/>
                  <w:marBottom w:val="0"/>
                  <w:divBdr>
                    <w:top w:val="none" w:sz="0" w:space="0" w:color="auto"/>
                    <w:left w:val="none" w:sz="0" w:space="0" w:color="auto"/>
                    <w:bottom w:val="none" w:sz="0" w:space="0" w:color="auto"/>
                    <w:right w:val="none" w:sz="0" w:space="0" w:color="auto"/>
                  </w:divBdr>
                  <w:divsChild>
                    <w:div w:id="1231844129">
                      <w:marLeft w:val="0"/>
                      <w:marRight w:val="0"/>
                      <w:marTop w:val="0"/>
                      <w:marBottom w:val="0"/>
                      <w:divBdr>
                        <w:top w:val="none" w:sz="0" w:space="0" w:color="auto"/>
                        <w:left w:val="none" w:sz="0" w:space="0" w:color="auto"/>
                        <w:bottom w:val="none" w:sz="0" w:space="0" w:color="auto"/>
                        <w:right w:val="none" w:sz="0" w:space="0" w:color="auto"/>
                      </w:divBdr>
                      <w:divsChild>
                        <w:div w:id="1312098980">
                          <w:marLeft w:val="0"/>
                          <w:marRight w:val="0"/>
                          <w:marTop w:val="0"/>
                          <w:marBottom w:val="0"/>
                          <w:divBdr>
                            <w:top w:val="none" w:sz="0" w:space="0" w:color="auto"/>
                            <w:left w:val="none" w:sz="0" w:space="0" w:color="auto"/>
                            <w:bottom w:val="none" w:sz="0" w:space="0" w:color="auto"/>
                            <w:right w:val="none" w:sz="0" w:space="0" w:color="auto"/>
                          </w:divBdr>
                          <w:divsChild>
                            <w:div w:id="1970933653">
                              <w:marLeft w:val="0"/>
                              <w:marRight w:val="0"/>
                              <w:marTop w:val="0"/>
                              <w:marBottom w:val="0"/>
                              <w:divBdr>
                                <w:top w:val="none" w:sz="0" w:space="0" w:color="auto"/>
                                <w:left w:val="none" w:sz="0" w:space="0" w:color="auto"/>
                                <w:bottom w:val="none" w:sz="0" w:space="0" w:color="auto"/>
                                <w:right w:val="none" w:sz="0" w:space="0" w:color="auto"/>
                              </w:divBdr>
                              <w:divsChild>
                                <w:div w:id="119961708">
                                  <w:marLeft w:val="0"/>
                                  <w:marRight w:val="0"/>
                                  <w:marTop w:val="0"/>
                                  <w:marBottom w:val="0"/>
                                  <w:divBdr>
                                    <w:top w:val="none" w:sz="0" w:space="0" w:color="auto"/>
                                    <w:left w:val="none" w:sz="0" w:space="0" w:color="auto"/>
                                    <w:bottom w:val="none" w:sz="0" w:space="0" w:color="auto"/>
                                    <w:right w:val="none" w:sz="0" w:space="0" w:color="auto"/>
                                  </w:divBdr>
                                  <w:divsChild>
                                    <w:div w:id="420835036">
                                      <w:marLeft w:val="0"/>
                                      <w:marRight w:val="0"/>
                                      <w:marTop w:val="0"/>
                                      <w:marBottom w:val="0"/>
                                      <w:divBdr>
                                        <w:top w:val="none" w:sz="0" w:space="0" w:color="auto"/>
                                        <w:left w:val="none" w:sz="0" w:space="0" w:color="auto"/>
                                        <w:bottom w:val="none" w:sz="0" w:space="0" w:color="auto"/>
                                        <w:right w:val="none" w:sz="0" w:space="0" w:color="auto"/>
                                      </w:divBdr>
                                      <w:divsChild>
                                        <w:div w:id="2000814191">
                                          <w:marLeft w:val="0"/>
                                          <w:marRight w:val="0"/>
                                          <w:marTop w:val="0"/>
                                          <w:marBottom w:val="0"/>
                                          <w:divBdr>
                                            <w:top w:val="none" w:sz="0" w:space="0" w:color="auto"/>
                                            <w:left w:val="none" w:sz="0" w:space="0" w:color="auto"/>
                                            <w:bottom w:val="none" w:sz="0" w:space="0" w:color="auto"/>
                                            <w:right w:val="none" w:sz="0" w:space="0" w:color="auto"/>
                                          </w:divBdr>
                                          <w:divsChild>
                                            <w:div w:id="97912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7380321">
      <w:bodyDiv w:val="1"/>
      <w:marLeft w:val="0"/>
      <w:marRight w:val="0"/>
      <w:marTop w:val="0"/>
      <w:marBottom w:val="0"/>
      <w:divBdr>
        <w:top w:val="none" w:sz="0" w:space="0" w:color="auto"/>
        <w:left w:val="none" w:sz="0" w:space="0" w:color="auto"/>
        <w:bottom w:val="none" w:sz="0" w:space="0" w:color="auto"/>
        <w:right w:val="none" w:sz="0" w:space="0" w:color="auto"/>
      </w:divBdr>
      <w:divsChild>
        <w:div w:id="1262182634">
          <w:marLeft w:val="0"/>
          <w:marRight w:val="0"/>
          <w:marTop w:val="0"/>
          <w:marBottom w:val="0"/>
          <w:divBdr>
            <w:top w:val="none" w:sz="0" w:space="0" w:color="auto"/>
            <w:left w:val="none" w:sz="0" w:space="0" w:color="auto"/>
            <w:bottom w:val="none" w:sz="0" w:space="0" w:color="auto"/>
            <w:right w:val="none" w:sz="0" w:space="0" w:color="auto"/>
          </w:divBdr>
          <w:divsChild>
            <w:div w:id="1954943042">
              <w:marLeft w:val="0"/>
              <w:marRight w:val="0"/>
              <w:marTop w:val="0"/>
              <w:marBottom w:val="0"/>
              <w:divBdr>
                <w:top w:val="none" w:sz="0" w:space="0" w:color="auto"/>
                <w:left w:val="none" w:sz="0" w:space="0" w:color="auto"/>
                <w:bottom w:val="none" w:sz="0" w:space="0" w:color="auto"/>
                <w:right w:val="none" w:sz="0" w:space="0" w:color="auto"/>
              </w:divBdr>
              <w:divsChild>
                <w:div w:id="307058013">
                  <w:marLeft w:val="0"/>
                  <w:marRight w:val="0"/>
                  <w:marTop w:val="0"/>
                  <w:marBottom w:val="0"/>
                  <w:divBdr>
                    <w:top w:val="none" w:sz="0" w:space="0" w:color="auto"/>
                    <w:left w:val="none" w:sz="0" w:space="0" w:color="auto"/>
                    <w:bottom w:val="none" w:sz="0" w:space="0" w:color="auto"/>
                    <w:right w:val="none" w:sz="0" w:space="0" w:color="auto"/>
                  </w:divBdr>
                  <w:divsChild>
                    <w:div w:id="811872507">
                      <w:marLeft w:val="0"/>
                      <w:marRight w:val="0"/>
                      <w:marTop w:val="0"/>
                      <w:marBottom w:val="0"/>
                      <w:divBdr>
                        <w:top w:val="none" w:sz="0" w:space="0" w:color="auto"/>
                        <w:left w:val="none" w:sz="0" w:space="0" w:color="auto"/>
                        <w:bottom w:val="none" w:sz="0" w:space="0" w:color="auto"/>
                        <w:right w:val="none" w:sz="0" w:space="0" w:color="auto"/>
                      </w:divBdr>
                      <w:divsChild>
                        <w:div w:id="765729501">
                          <w:marLeft w:val="0"/>
                          <w:marRight w:val="0"/>
                          <w:marTop w:val="0"/>
                          <w:marBottom w:val="0"/>
                          <w:divBdr>
                            <w:top w:val="none" w:sz="0" w:space="0" w:color="auto"/>
                            <w:left w:val="none" w:sz="0" w:space="0" w:color="auto"/>
                            <w:bottom w:val="none" w:sz="0" w:space="0" w:color="auto"/>
                            <w:right w:val="none" w:sz="0" w:space="0" w:color="auto"/>
                          </w:divBdr>
                          <w:divsChild>
                            <w:div w:id="819423581">
                              <w:marLeft w:val="0"/>
                              <w:marRight w:val="0"/>
                              <w:marTop w:val="0"/>
                              <w:marBottom w:val="0"/>
                              <w:divBdr>
                                <w:top w:val="none" w:sz="0" w:space="0" w:color="auto"/>
                                <w:left w:val="none" w:sz="0" w:space="0" w:color="auto"/>
                                <w:bottom w:val="none" w:sz="0" w:space="0" w:color="auto"/>
                                <w:right w:val="none" w:sz="0" w:space="0" w:color="auto"/>
                              </w:divBdr>
                              <w:divsChild>
                                <w:div w:id="417213614">
                                  <w:marLeft w:val="0"/>
                                  <w:marRight w:val="0"/>
                                  <w:marTop w:val="0"/>
                                  <w:marBottom w:val="0"/>
                                  <w:divBdr>
                                    <w:top w:val="none" w:sz="0" w:space="0" w:color="auto"/>
                                    <w:left w:val="none" w:sz="0" w:space="0" w:color="auto"/>
                                    <w:bottom w:val="none" w:sz="0" w:space="0" w:color="auto"/>
                                    <w:right w:val="none" w:sz="0" w:space="0" w:color="auto"/>
                                  </w:divBdr>
                                  <w:divsChild>
                                    <w:div w:id="1753775680">
                                      <w:marLeft w:val="0"/>
                                      <w:marRight w:val="0"/>
                                      <w:marTop w:val="0"/>
                                      <w:marBottom w:val="0"/>
                                      <w:divBdr>
                                        <w:top w:val="none" w:sz="0" w:space="0" w:color="auto"/>
                                        <w:left w:val="none" w:sz="0" w:space="0" w:color="auto"/>
                                        <w:bottom w:val="none" w:sz="0" w:space="0" w:color="auto"/>
                                        <w:right w:val="none" w:sz="0" w:space="0" w:color="auto"/>
                                      </w:divBdr>
                                      <w:divsChild>
                                        <w:div w:id="15390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3276448">
      <w:bodyDiv w:val="1"/>
      <w:marLeft w:val="0"/>
      <w:marRight w:val="0"/>
      <w:marTop w:val="0"/>
      <w:marBottom w:val="0"/>
      <w:divBdr>
        <w:top w:val="none" w:sz="0" w:space="0" w:color="auto"/>
        <w:left w:val="none" w:sz="0" w:space="0" w:color="auto"/>
        <w:bottom w:val="none" w:sz="0" w:space="0" w:color="auto"/>
        <w:right w:val="none" w:sz="0" w:space="0" w:color="auto"/>
      </w:divBdr>
      <w:divsChild>
        <w:div w:id="1279802049">
          <w:marLeft w:val="0"/>
          <w:marRight w:val="0"/>
          <w:marTop w:val="0"/>
          <w:marBottom w:val="0"/>
          <w:divBdr>
            <w:top w:val="none" w:sz="0" w:space="0" w:color="auto"/>
            <w:left w:val="none" w:sz="0" w:space="0" w:color="auto"/>
            <w:bottom w:val="none" w:sz="0" w:space="0" w:color="auto"/>
            <w:right w:val="none" w:sz="0" w:space="0" w:color="auto"/>
          </w:divBdr>
          <w:divsChild>
            <w:div w:id="909927289">
              <w:marLeft w:val="0"/>
              <w:marRight w:val="0"/>
              <w:marTop w:val="0"/>
              <w:marBottom w:val="0"/>
              <w:divBdr>
                <w:top w:val="none" w:sz="0" w:space="0" w:color="auto"/>
                <w:left w:val="none" w:sz="0" w:space="0" w:color="auto"/>
                <w:bottom w:val="none" w:sz="0" w:space="0" w:color="auto"/>
                <w:right w:val="none" w:sz="0" w:space="0" w:color="auto"/>
              </w:divBdr>
              <w:divsChild>
                <w:div w:id="1058867128">
                  <w:marLeft w:val="0"/>
                  <w:marRight w:val="0"/>
                  <w:marTop w:val="0"/>
                  <w:marBottom w:val="0"/>
                  <w:divBdr>
                    <w:top w:val="none" w:sz="0" w:space="0" w:color="auto"/>
                    <w:left w:val="none" w:sz="0" w:space="0" w:color="auto"/>
                    <w:bottom w:val="none" w:sz="0" w:space="0" w:color="auto"/>
                    <w:right w:val="none" w:sz="0" w:space="0" w:color="auto"/>
                  </w:divBdr>
                  <w:divsChild>
                    <w:div w:id="154225961">
                      <w:marLeft w:val="0"/>
                      <w:marRight w:val="0"/>
                      <w:marTop w:val="0"/>
                      <w:marBottom w:val="0"/>
                      <w:divBdr>
                        <w:top w:val="none" w:sz="0" w:space="0" w:color="auto"/>
                        <w:left w:val="none" w:sz="0" w:space="0" w:color="auto"/>
                        <w:bottom w:val="none" w:sz="0" w:space="0" w:color="auto"/>
                        <w:right w:val="none" w:sz="0" w:space="0" w:color="auto"/>
                      </w:divBdr>
                      <w:divsChild>
                        <w:div w:id="1402631917">
                          <w:marLeft w:val="0"/>
                          <w:marRight w:val="0"/>
                          <w:marTop w:val="0"/>
                          <w:marBottom w:val="0"/>
                          <w:divBdr>
                            <w:top w:val="none" w:sz="0" w:space="0" w:color="auto"/>
                            <w:left w:val="none" w:sz="0" w:space="0" w:color="auto"/>
                            <w:bottom w:val="none" w:sz="0" w:space="0" w:color="auto"/>
                            <w:right w:val="none" w:sz="0" w:space="0" w:color="auto"/>
                          </w:divBdr>
                          <w:divsChild>
                            <w:div w:id="21254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061925">
      <w:bodyDiv w:val="1"/>
      <w:marLeft w:val="0"/>
      <w:marRight w:val="0"/>
      <w:marTop w:val="0"/>
      <w:marBottom w:val="0"/>
      <w:divBdr>
        <w:top w:val="none" w:sz="0" w:space="0" w:color="auto"/>
        <w:left w:val="none" w:sz="0" w:space="0" w:color="auto"/>
        <w:bottom w:val="none" w:sz="0" w:space="0" w:color="auto"/>
        <w:right w:val="none" w:sz="0" w:space="0" w:color="auto"/>
      </w:divBdr>
    </w:div>
    <w:div w:id="843786185">
      <w:bodyDiv w:val="1"/>
      <w:marLeft w:val="0"/>
      <w:marRight w:val="0"/>
      <w:marTop w:val="0"/>
      <w:marBottom w:val="0"/>
      <w:divBdr>
        <w:top w:val="none" w:sz="0" w:space="0" w:color="auto"/>
        <w:left w:val="none" w:sz="0" w:space="0" w:color="auto"/>
        <w:bottom w:val="none" w:sz="0" w:space="0" w:color="auto"/>
        <w:right w:val="none" w:sz="0" w:space="0" w:color="auto"/>
      </w:divBdr>
      <w:divsChild>
        <w:div w:id="1331981533">
          <w:marLeft w:val="0"/>
          <w:marRight w:val="0"/>
          <w:marTop w:val="0"/>
          <w:marBottom w:val="0"/>
          <w:divBdr>
            <w:top w:val="none" w:sz="0" w:space="0" w:color="auto"/>
            <w:left w:val="none" w:sz="0" w:space="0" w:color="auto"/>
            <w:bottom w:val="none" w:sz="0" w:space="0" w:color="auto"/>
            <w:right w:val="none" w:sz="0" w:space="0" w:color="auto"/>
          </w:divBdr>
        </w:div>
      </w:divsChild>
    </w:div>
    <w:div w:id="1130319645">
      <w:bodyDiv w:val="1"/>
      <w:marLeft w:val="0"/>
      <w:marRight w:val="0"/>
      <w:marTop w:val="0"/>
      <w:marBottom w:val="0"/>
      <w:divBdr>
        <w:top w:val="none" w:sz="0" w:space="0" w:color="auto"/>
        <w:left w:val="none" w:sz="0" w:space="0" w:color="auto"/>
        <w:bottom w:val="none" w:sz="0" w:space="0" w:color="auto"/>
        <w:right w:val="none" w:sz="0" w:space="0" w:color="auto"/>
      </w:divBdr>
      <w:divsChild>
        <w:div w:id="557397428">
          <w:marLeft w:val="0"/>
          <w:marRight w:val="0"/>
          <w:marTop w:val="0"/>
          <w:marBottom w:val="0"/>
          <w:divBdr>
            <w:top w:val="none" w:sz="0" w:space="0" w:color="auto"/>
            <w:left w:val="none" w:sz="0" w:space="0" w:color="auto"/>
            <w:bottom w:val="none" w:sz="0" w:space="0" w:color="auto"/>
            <w:right w:val="none" w:sz="0" w:space="0" w:color="auto"/>
          </w:divBdr>
          <w:divsChild>
            <w:div w:id="1042092287">
              <w:marLeft w:val="0"/>
              <w:marRight w:val="0"/>
              <w:marTop w:val="0"/>
              <w:marBottom w:val="0"/>
              <w:divBdr>
                <w:top w:val="none" w:sz="0" w:space="0" w:color="auto"/>
                <w:left w:val="none" w:sz="0" w:space="0" w:color="auto"/>
                <w:bottom w:val="none" w:sz="0" w:space="0" w:color="auto"/>
                <w:right w:val="none" w:sz="0" w:space="0" w:color="auto"/>
              </w:divBdr>
              <w:divsChild>
                <w:div w:id="414743999">
                  <w:marLeft w:val="0"/>
                  <w:marRight w:val="0"/>
                  <w:marTop w:val="0"/>
                  <w:marBottom w:val="0"/>
                  <w:divBdr>
                    <w:top w:val="none" w:sz="0" w:space="0" w:color="auto"/>
                    <w:left w:val="none" w:sz="0" w:space="0" w:color="auto"/>
                    <w:bottom w:val="none" w:sz="0" w:space="0" w:color="auto"/>
                    <w:right w:val="none" w:sz="0" w:space="0" w:color="auto"/>
                  </w:divBdr>
                  <w:divsChild>
                    <w:div w:id="2116291859">
                      <w:marLeft w:val="0"/>
                      <w:marRight w:val="0"/>
                      <w:marTop w:val="0"/>
                      <w:marBottom w:val="0"/>
                      <w:divBdr>
                        <w:top w:val="none" w:sz="0" w:space="0" w:color="auto"/>
                        <w:left w:val="none" w:sz="0" w:space="0" w:color="auto"/>
                        <w:bottom w:val="none" w:sz="0" w:space="0" w:color="auto"/>
                        <w:right w:val="none" w:sz="0" w:space="0" w:color="auto"/>
                      </w:divBdr>
                      <w:divsChild>
                        <w:div w:id="1524828511">
                          <w:marLeft w:val="0"/>
                          <w:marRight w:val="0"/>
                          <w:marTop w:val="0"/>
                          <w:marBottom w:val="0"/>
                          <w:divBdr>
                            <w:top w:val="none" w:sz="0" w:space="0" w:color="auto"/>
                            <w:left w:val="none" w:sz="0" w:space="0" w:color="auto"/>
                            <w:bottom w:val="none" w:sz="0" w:space="0" w:color="auto"/>
                            <w:right w:val="none" w:sz="0" w:space="0" w:color="auto"/>
                          </w:divBdr>
                          <w:divsChild>
                            <w:div w:id="1121798218">
                              <w:marLeft w:val="0"/>
                              <w:marRight w:val="0"/>
                              <w:marTop w:val="0"/>
                              <w:marBottom w:val="0"/>
                              <w:divBdr>
                                <w:top w:val="none" w:sz="0" w:space="0" w:color="auto"/>
                                <w:left w:val="none" w:sz="0" w:space="0" w:color="auto"/>
                                <w:bottom w:val="none" w:sz="0" w:space="0" w:color="auto"/>
                                <w:right w:val="none" w:sz="0" w:space="0" w:color="auto"/>
                              </w:divBdr>
                              <w:divsChild>
                                <w:div w:id="1470051667">
                                  <w:marLeft w:val="0"/>
                                  <w:marRight w:val="0"/>
                                  <w:marTop w:val="0"/>
                                  <w:marBottom w:val="0"/>
                                  <w:divBdr>
                                    <w:top w:val="none" w:sz="0" w:space="0" w:color="auto"/>
                                    <w:left w:val="none" w:sz="0" w:space="0" w:color="auto"/>
                                    <w:bottom w:val="none" w:sz="0" w:space="0" w:color="auto"/>
                                    <w:right w:val="none" w:sz="0" w:space="0" w:color="auto"/>
                                  </w:divBdr>
                                  <w:divsChild>
                                    <w:div w:id="549339153">
                                      <w:marLeft w:val="0"/>
                                      <w:marRight w:val="0"/>
                                      <w:marTop w:val="0"/>
                                      <w:marBottom w:val="0"/>
                                      <w:divBdr>
                                        <w:top w:val="none" w:sz="0" w:space="0" w:color="auto"/>
                                        <w:left w:val="none" w:sz="0" w:space="0" w:color="auto"/>
                                        <w:bottom w:val="none" w:sz="0" w:space="0" w:color="auto"/>
                                        <w:right w:val="none" w:sz="0" w:space="0" w:color="auto"/>
                                      </w:divBdr>
                                      <w:divsChild>
                                        <w:div w:id="75925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909590">
      <w:bodyDiv w:val="1"/>
      <w:marLeft w:val="0"/>
      <w:marRight w:val="0"/>
      <w:marTop w:val="0"/>
      <w:marBottom w:val="0"/>
      <w:divBdr>
        <w:top w:val="none" w:sz="0" w:space="0" w:color="auto"/>
        <w:left w:val="none" w:sz="0" w:space="0" w:color="auto"/>
        <w:bottom w:val="none" w:sz="0" w:space="0" w:color="auto"/>
        <w:right w:val="none" w:sz="0" w:space="0" w:color="auto"/>
      </w:divBdr>
    </w:div>
    <w:div w:id="1666740748">
      <w:bodyDiv w:val="1"/>
      <w:marLeft w:val="0"/>
      <w:marRight w:val="0"/>
      <w:marTop w:val="0"/>
      <w:marBottom w:val="0"/>
      <w:divBdr>
        <w:top w:val="none" w:sz="0" w:space="0" w:color="auto"/>
        <w:left w:val="none" w:sz="0" w:space="0" w:color="auto"/>
        <w:bottom w:val="none" w:sz="0" w:space="0" w:color="auto"/>
        <w:right w:val="none" w:sz="0" w:space="0" w:color="auto"/>
      </w:divBdr>
      <w:divsChild>
        <w:div w:id="1245188090">
          <w:marLeft w:val="0"/>
          <w:marRight w:val="0"/>
          <w:marTop w:val="0"/>
          <w:marBottom w:val="0"/>
          <w:divBdr>
            <w:top w:val="none" w:sz="0" w:space="0" w:color="auto"/>
            <w:left w:val="none" w:sz="0" w:space="0" w:color="auto"/>
            <w:bottom w:val="none" w:sz="0" w:space="0" w:color="auto"/>
            <w:right w:val="none" w:sz="0" w:space="0" w:color="auto"/>
          </w:divBdr>
          <w:divsChild>
            <w:div w:id="925193864">
              <w:marLeft w:val="0"/>
              <w:marRight w:val="0"/>
              <w:marTop w:val="0"/>
              <w:marBottom w:val="0"/>
              <w:divBdr>
                <w:top w:val="none" w:sz="0" w:space="0" w:color="auto"/>
                <w:left w:val="none" w:sz="0" w:space="0" w:color="auto"/>
                <w:bottom w:val="none" w:sz="0" w:space="0" w:color="auto"/>
                <w:right w:val="none" w:sz="0" w:space="0" w:color="auto"/>
              </w:divBdr>
              <w:divsChild>
                <w:div w:id="960645924">
                  <w:marLeft w:val="0"/>
                  <w:marRight w:val="0"/>
                  <w:marTop w:val="0"/>
                  <w:marBottom w:val="0"/>
                  <w:divBdr>
                    <w:top w:val="none" w:sz="0" w:space="0" w:color="auto"/>
                    <w:left w:val="none" w:sz="0" w:space="0" w:color="auto"/>
                    <w:bottom w:val="none" w:sz="0" w:space="0" w:color="auto"/>
                    <w:right w:val="none" w:sz="0" w:space="0" w:color="auto"/>
                  </w:divBdr>
                  <w:divsChild>
                    <w:div w:id="80294046">
                      <w:marLeft w:val="0"/>
                      <w:marRight w:val="0"/>
                      <w:marTop w:val="0"/>
                      <w:marBottom w:val="0"/>
                      <w:divBdr>
                        <w:top w:val="none" w:sz="0" w:space="0" w:color="auto"/>
                        <w:left w:val="none" w:sz="0" w:space="0" w:color="auto"/>
                        <w:bottom w:val="none" w:sz="0" w:space="0" w:color="auto"/>
                        <w:right w:val="none" w:sz="0" w:space="0" w:color="auto"/>
                      </w:divBdr>
                      <w:divsChild>
                        <w:div w:id="1535266695">
                          <w:marLeft w:val="0"/>
                          <w:marRight w:val="0"/>
                          <w:marTop w:val="0"/>
                          <w:marBottom w:val="0"/>
                          <w:divBdr>
                            <w:top w:val="none" w:sz="0" w:space="0" w:color="auto"/>
                            <w:left w:val="none" w:sz="0" w:space="0" w:color="auto"/>
                            <w:bottom w:val="none" w:sz="0" w:space="0" w:color="auto"/>
                            <w:right w:val="none" w:sz="0" w:space="0" w:color="auto"/>
                          </w:divBdr>
                          <w:divsChild>
                            <w:div w:id="2011372358">
                              <w:marLeft w:val="0"/>
                              <w:marRight w:val="0"/>
                              <w:marTop w:val="0"/>
                              <w:marBottom w:val="0"/>
                              <w:divBdr>
                                <w:top w:val="none" w:sz="0" w:space="0" w:color="auto"/>
                                <w:left w:val="none" w:sz="0" w:space="0" w:color="auto"/>
                                <w:bottom w:val="none" w:sz="0" w:space="0" w:color="auto"/>
                                <w:right w:val="none" w:sz="0" w:space="0" w:color="auto"/>
                              </w:divBdr>
                              <w:divsChild>
                                <w:div w:id="1693608890">
                                  <w:marLeft w:val="0"/>
                                  <w:marRight w:val="0"/>
                                  <w:marTop w:val="0"/>
                                  <w:marBottom w:val="0"/>
                                  <w:divBdr>
                                    <w:top w:val="none" w:sz="0" w:space="0" w:color="auto"/>
                                    <w:left w:val="none" w:sz="0" w:space="0" w:color="auto"/>
                                    <w:bottom w:val="none" w:sz="0" w:space="0" w:color="auto"/>
                                    <w:right w:val="none" w:sz="0" w:space="0" w:color="auto"/>
                                  </w:divBdr>
                                  <w:divsChild>
                                    <w:div w:id="1640845117">
                                      <w:marLeft w:val="0"/>
                                      <w:marRight w:val="0"/>
                                      <w:marTop w:val="0"/>
                                      <w:marBottom w:val="0"/>
                                      <w:divBdr>
                                        <w:top w:val="none" w:sz="0" w:space="0" w:color="auto"/>
                                        <w:left w:val="none" w:sz="0" w:space="0" w:color="auto"/>
                                        <w:bottom w:val="none" w:sz="0" w:space="0" w:color="auto"/>
                                        <w:right w:val="none" w:sz="0" w:space="0" w:color="auto"/>
                                      </w:divBdr>
                                      <w:divsChild>
                                        <w:div w:id="707878924">
                                          <w:marLeft w:val="0"/>
                                          <w:marRight w:val="0"/>
                                          <w:marTop w:val="0"/>
                                          <w:marBottom w:val="0"/>
                                          <w:divBdr>
                                            <w:top w:val="none" w:sz="0" w:space="0" w:color="auto"/>
                                            <w:left w:val="none" w:sz="0" w:space="0" w:color="auto"/>
                                            <w:bottom w:val="none" w:sz="0" w:space="0" w:color="auto"/>
                                            <w:right w:val="none" w:sz="0" w:space="0" w:color="auto"/>
                                          </w:divBdr>
                                          <w:divsChild>
                                            <w:div w:id="38863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6188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sf.io/86cbw/overview?view_only=1f47b76612334dc082318a501fda5a4c"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tiff"/><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tif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thieu.servant@umlp.fr"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tiff"/><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12272A0072924CB26A5116744BDE7C" ma:contentTypeVersion="15" ma:contentTypeDescription="Crée un document." ma:contentTypeScope="" ma:versionID="9a83843c997fd440f20ad67caff98e96">
  <xsd:schema xmlns:xsd="http://www.w3.org/2001/XMLSchema" xmlns:xs="http://www.w3.org/2001/XMLSchema" xmlns:p="http://schemas.microsoft.com/office/2006/metadata/properties" xmlns:ns3="c0123068-66ab-43c8-a66d-68af6907eb9c" xmlns:ns4="4e08c7f9-7234-4e8d-8b2b-60b0ca2c95fb" targetNamespace="http://schemas.microsoft.com/office/2006/metadata/properties" ma:root="true" ma:fieldsID="b01cb4201e6a72e4586a636e8a99936d" ns3:_="" ns4:_="">
    <xsd:import namespace="c0123068-66ab-43c8-a66d-68af6907eb9c"/>
    <xsd:import namespace="4e08c7f9-7234-4e8d-8b2b-60b0ca2c95f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AutoTags" minOccurs="0"/>
                <xsd:element ref="ns4:MediaServiceOCR" minOccurs="0"/>
                <xsd:element ref="ns4:MediaServiceGenerationTime" minOccurs="0"/>
                <xsd:element ref="ns4:MediaServiceEventHashCode" minOccurs="0"/>
                <xsd:element ref="ns4:MediaServiceObjectDetectorVersions" minOccurs="0"/>
                <xsd:element ref="ns4:MediaServiceDateTaken" minOccurs="0"/>
                <xsd:element ref="ns4:MediaLengthInSecond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123068-66ab-43c8-a66d-68af6907eb9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08c7f9-7234-4e8d-8b2b-60b0ca2c95f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4e08c7f9-7234-4e8d-8b2b-60b0ca2c95fb" xsi:nil="true"/>
  </documentManagement>
</p:properties>
</file>

<file path=customXml/itemProps1.xml><?xml version="1.0" encoding="utf-8"?>
<ds:datastoreItem xmlns:ds="http://schemas.openxmlformats.org/officeDocument/2006/customXml" ds:itemID="{ECD624E6-652B-4072-B7D9-82674B37F4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123068-66ab-43c8-a66d-68af6907eb9c"/>
    <ds:schemaRef ds:uri="4e08c7f9-7234-4e8d-8b2b-60b0ca2c9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3D6755-A844-47E5-A987-07A548F45A66}">
  <ds:schemaRefs>
    <ds:schemaRef ds:uri="http://schemas.microsoft.com/sharepoint/v3/contenttype/forms"/>
  </ds:schemaRefs>
</ds:datastoreItem>
</file>

<file path=customXml/itemProps3.xml><?xml version="1.0" encoding="utf-8"?>
<ds:datastoreItem xmlns:ds="http://schemas.openxmlformats.org/officeDocument/2006/customXml" ds:itemID="{F8DA245F-AA99-45D2-B254-3D250A54C849}">
  <ds:schemaRefs>
    <ds:schemaRef ds:uri="http://schemas.openxmlformats.org/officeDocument/2006/bibliography"/>
  </ds:schemaRefs>
</ds:datastoreItem>
</file>

<file path=customXml/itemProps4.xml><?xml version="1.0" encoding="utf-8"?>
<ds:datastoreItem xmlns:ds="http://schemas.openxmlformats.org/officeDocument/2006/customXml" ds:itemID="{8DAC447D-FD53-4D72-83BD-FC0C4724A452}">
  <ds:schemaRefs>
    <ds:schemaRef ds:uri="http://schemas.microsoft.com/office/2006/metadata/properties"/>
    <ds:schemaRef ds:uri="http://schemas.microsoft.com/office/infopath/2007/PartnerControls"/>
    <ds:schemaRef ds:uri="4e08c7f9-7234-4e8d-8b2b-60b0ca2c95fb"/>
  </ds:schemaRefs>
</ds:datastoreItem>
</file>

<file path=docProps/app.xml><?xml version="1.0" encoding="utf-8"?>
<Properties xmlns="http://schemas.openxmlformats.org/officeDocument/2006/extended-properties" xmlns:vt="http://schemas.openxmlformats.org/officeDocument/2006/docPropsVTypes">
  <Template>Normal.dotm</Template>
  <TotalTime>1308</TotalTime>
  <Pages>98</Pages>
  <Words>46762</Words>
  <Characters>257195</Characters>
  <Application>Microsoft Office Word</Application>
  <DocSecurity>0</DocSecurity>
  <Lines>2143</Lines>
  <Paragraphs>606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Servant</dc:creator>
  <cp:keywords/>
  <dc:description/>
  <cp:lastModifiedBy>GAJDOS PREUSS Thibault</cp:lastModifiedBy>
  <cp:revision>156</cp:revision>
  <cp:lastPrinted>2025-11-18T13:59:00Z</cp:lastPrinted>
  <dcterms:created xsi:type="dcterms:W3CDTF">2026-08-15T07:41:00Z</dcterms:created>
  <dcterms:modified xsi:type="dcterms:W3CDTF">2026-08-25T15:27:00Z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id="5Dh8hY9n"/&gt;&lt;style id="http://www.zotero.org/styles/apa" locale="en-US" hasBibliography="1" bibliographyStyleHasBeenSet="1"/&gt;&lt;prefs&gt;&lt;pref name="fieldType" value="Field"/&gt;&lt;/prefs&gt;&lt;/data&gt;</vt:lpwstr>
  </property>
  <property fmtid="{D5CDD505-2E9C-101B-9397-08002B2CF9AE}" pid="3" name="ContentTypeId">
    <vt:lpwstr>0x0101009912272A0072924CB26A5116744BDE7C</vt:lpwstr>
  </property>
</Properties>
</file>