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600 draws, 4000 trials per cell per model per draw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and, across conditions, a delay-period partial-activation rate between 0.04 and 3 s⁻¹. The last criterion is stated at the level of a participant, since a draw of parameters stands for a hypothetical participant: it asks that the draw produce muscle activity at a rate the real participants span.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and coherence effects on response time; the duration effect on the stimulus-period partial-activation rate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(Proposition C.3); and the delay-period log-rate slope. A model whose range excludes the observed value is quantitatively inadequate on that effect whatever the sign of its prediction. Figure S6 shows all eight.</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0.020 to 0.205 for Model 1 and 0.018 to 0.202 for Model 2. The duration effect on response time was 49 ± 6 ms, against 2 to 88 ms and 2 to 90 ms; the coherence effect was 33 ± 6 ms, against 2 to 87 ms and 2 to 79 ms.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w:t>
      </w:r>
      <w:r>
        <w:rPr>
          <w:color w:val="1F4E9E"/>
        </w:rPr>
        <w:t>the partial-activation rate simulated at a representative admissible parameter vector under Model 2</w:t>
      </w:r>
      <w:r>
        <w:rPr>
          <w:color w:val="1F4E9E"/>
        </w:rPr>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3B1E680C" w14:textId="77777777" w:rsidR="00205CBC" w:rsidRDefault="00000000">
      <w:r>
        <w:rPr>
          <w:b w:val="0"/>
          <w:i w:val="0"/>
          <w:color w:val="1F4E9E"/>
        </w:rPr>
        <w:t xml:space="preserve">The parameter-space evaluation turns this into a quantitative exclusion, and one that owes nothing to the delay period. The duration effect on the stimulus-period partial-activation rate — the rate after the 0.3 s stimulus minus the rate after the 2 s stimulus, over the same 0 to 2 s window used for the data — was +0.057 ± 0.015 s⁻¹ in the data. Over Model 2’s admissible draws it runs from −0.125 to +0.143 s⁻¹, covering the observation. Over Model 1’s it runs from −0.241 to −0.004 s⁻¹: </w:t>
      </w:r>
      <w:r>
        <w:rPr>
          <w:b w:val="0"/>
          <w:i w:val="0"/>
          <w:color w:val="1F4E9E"/>
        </w:rPr>
        <w:t>negative throughout</w:t>
      </w:r>
      <w:r>
        <w:rPr>
          <w:b w:val="0"/>
          <w:i w:val="0"/>
          <w:color w:val="1F4E9E"/>
        </w:rPr>
        <w:t>, so that Model 1 fails not by producing too small an effect but by producing one of the wrong sign, at every admissible setting of its parameters. This is Proposition B.2 as a measurement, and it is worth separating from what follows: it excludes Model 1 on the stimulus period alone, before any delay-period quantity has been examined.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r>
      <w:r>
        <w:rPr>
          <w:b w:val="0"/>
          <w:i w:val="0"/>
          <w:color w:val="1F4E9E"/>
        </w:rPr>
        <w:t>This is the one window in which the two models’ ranges separate (Figure S6, right-hand panels). Two quantities have to be reproduced together here:</w:t>
      </w:r>
      <w:r>
        <w:rPr>
          <w:b w:val="0"/>
          <w:i w:val="0"/>
          <w:color w:val="1F4E9E"/>
        </w:rPr>
        <w:t xml:space="preserve"> the rate at which partial activations occur during the delay, and the slope of its logarithm. Taken separately neither is decisive, and the slope alone is the weaker of the two. Over the admissible draws Model 1’s slope is centered near zero (median −0.05 s⁻¹, 5th to 95th percentile −0.27 to +0.09) and Model 2’s is positive (median +0.16, −1.23 to +2.07); Model 2 produces all six cell slopes significantly positive in 68 of its 169 admissible draws and Model 1 in none of its 117, but a count of that kind depends on the sampling and is not by itself an argument. Requiring both quantities at once is decisive, and is what the frontier of the preceding section predicts. No draw of Model 1 reaches the observed slope range at any rate; 18 draws of Model 2 do, and 14 of those also produce a delay-period rate inside the range the participants span.</w:t>
      </w:r>
    </w:p>
    <w:p w14:paraId="3A644C8C" w14:textId="77777777" w:rsidR="00205CBC" w:rsidRDefault="00000000">
      <w:r>
        <w:rPr>
          <w:b w:val="0"/>
          <w:i w:val="0"/>
          <w:color w:val="1F4E9E"/>
        </w:rPr>
        <w:t>Figure S4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S5).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t>Model 1’s draws that produce a realistic activation rate (0.18 to 1.10 s⁻¹) have slopes between −0.071 and 0.000 s⁻¹, none of them positive: not a small ramp, but no ramp.</w:t>
      </w:r>
      <w:r>
        <w:rPr>
          <w:b w:val="0"/>
          <w:i w:val="0"/>
          <w:color w:val="1F4E9E"/>
        </w:rPr>
        <w:t xml:space="preserve"> Its draws that do produce a ramp — +0.10, +0.13 and +0.24 s⁻¹ — do so at rates of 0.040 to 0.051 s⁻¹, between fourteen and eighteen times below the observed mean and below the lowest rate observed in any participant × condition cell. Two draws whose first-pass slopes had looked positive (+0.18 and +0.22) fell to +0.01 and −0.03 on re-simulation, which is what the upward bias of a maximum looks like when it is checked. The sampled space and the closed-form frontier therefore agree, by independent routes, on where the boundary lies: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The spread across draws is a property of the architecture and not of the simulation. Re-simulating forty admissible draws per model on four independent seeds each and decomposing the variance of the delay-period slope gives, for Model 1, a total standard deviation of 0.099 s⁻¹ of which 0.055 is Monte-Carlo and 0.083 between draws, and for Model 2 a total of 1.18 s⁻¹ of which 0.057 is Monte-Carlo and 1.17 between draws. Model 1’s slope is thus not merely centered near zero but pinned there: the whole span of its admissible parameter space moves it about a tenth as much as Model 2’s space moves Model 2’s.</w:t>
      </w:r>
    </w:p>
    <w:p w14:paraId="168B8045" w14:textId="77777777" w:rsidR="00205CBC" w:rsidRDefault="00000000">
      <w:r>
        <w:rPr>
          <w:b w:val="0"/>
          <w:i w:val="0"/>
          <w:color w:val="1F4E9E"/>
        </w:rPr>
        <w:t>Figure S5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the observed value is +0.107 ± 0.051 s⁻¹, whereas the admissible draws give −0.509 to +0.055 s⁻¹ for Model 1 and −0.467 to +0.081 s⁻¹ for Model 2. Neither range reaches the observation. The disagreement is therefore not a matter of parameter choice that a different setting would repair: it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Both architectures produce the premotor effect (Model 1, 4 to 242 ms; Model 2, 5 to 768 ms). Neither is tightly constrained on the motor component: Model 1 runs from −183 to 0 ms and Model 2 from −730 to −1 ms, so both can also produce motor-execution-time differences one to two orders of magnitude larger than anything observed. The dissociation is therefore confirmed in the data but is a weak test of the architectures — an architecture that can produce almost any motor-component effect is not being tested by the finding of a small one — and this is worth stating rather than counting the agreement as a success.</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546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54605"/>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w:t>
      </w:r>
      <w:r>
        <w:rPr>
          <w:i/>
          <w:color w:val="1F4E9E"/>
        </w:rPr>
        <w:t>simulated at a representative admissible parameter vector — the sampled draw closest to the coordinate-wise median of the parameters of the draws admissible in both models, with the ramp magnitude β at the median of the values admissible under Model 2 (Materials and Methods), with the detection rules</w:t>
      </w:r>
      <w:r>
        <w:rPr>
          <w:i/>
          <w:color w:val="1F4E9E"/>
        </w:rPr>
      </w:r>
      <w:r>
        <w:rPr>
          <w:i/>
          <w:color w:val="1F4E9E"/>
        </w:rPr>
        <w:t xml:space="preserve"> applied to the simulated signal. </w:t>
      </w:r>
      <w:r>
        <w:rPr>
          <w:i/>
          <w:color w:val="1F4E9E"/>
        </w:rPr>
        <w:t>Left, stimulus period; right, delay period. This figure is at one parameter set and is illustrative: the delay-period argument is carried by Figure S4 and by Figure S5, which show the whole admissible family. The delay panel does display the model's main residual — it spreads the three coherence levels more widely after a short stimulus than the data support, the saturation prediction of Proposition C.3, which the effect-size panel establishes across the entire admissible space of both models (Figure S6).</w:t>
      </w: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S4.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S5. The delay-period rate curve, observed against each architecture, restricted to admissible draws whose mean rate brackets the observed 0.709 s⁻¹. The restriction is what makes the comparison meaningful: over the whole admissible set the levels differ by two orders of magnitude, and a percentile envelope taken bin by bin would mix profiles that are not comparable. Points, observed rate per 0.1 s bin with Poisson standard errors; line and band, the median and the 5th–95th percentile across the selected draws.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95827"/>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95827"/>
                    </a:xfrm>
                    <a:prstGeom prst="rect"/>
                  </pic:spPr>
                </pic:pic>
              </a:graphicData>
            </a:graphic>
          </wp:inline>
        </w:drawing>
      </w:r>
    </w:p>
    <w:p w14:paraId="23B269A3" w14:textId="77777777" w:rsidR="00205CBC" w:rsidRDefault="00000000">
      <w:r>
        <w:rPr>
          <w:b w:val="0"/>
          <w:i w:val="0"/>
          <w:color w:val="1F4E9E"/>
        </w:rPr>
        <w:t xml:space="preserve">Fig S6. Effect sizes each architecture can produce, against the observed value. </w:t>
      </w:r>
      <w:r>
        <w:rPr>
          <w:b w:val="0"/>
          <w:i w:val="0"/>
          <w:color w:val="1F4E9E"/>
        </w:rPr>
        <w:t>For each of the eight effects reported</w:t>
      </w:r>
      <w:r>
        <w:rPr>
          <w:b w:val="0"/>
          <w:i w:val="0"/>
          <w:color w:val="1F4E9E"/>
        </w:rPr>
        <w:t xml:space="preserve">, the bar spans the 5th to 95th percentile of that effect over the admissible draws of each model, with the median marked; the vertical line is the observed value and the grey band its 95% confidence interval across participants. </w:t>
      </w:r>
      <w:r>
        <w:rPr>
          <w:b w:val="0"/>
          <w:i w:val="0"/>
          <w:color w:val="1F4E9E"/>
        </w:rPr>
        <w:t>A cross marks a range that does not reach the observed value. On the behavioral effects and on premotor execution time both ranges cover the observation and are barely distinguishable from one another, as the shared architecture requires. Model 1 fails on two: the duration effect on the stimulus-period rate, where its whole range has the wrong sign, and the delay-period log-rate slope. Both models fail on the coherence × duration interaction on the delay-period rate, the paper’s acknowledged disagreement.</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