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color w:val="1F4E9E"/>
        </w:rPr>
      </w:r>
      <w:r>
        <w:rPr>
          <w:color w:val="1F4E9E"/>
        </w:rPr>
        <w:t>Simulation enters this paper in two roles, and it is worth saying plainly what they are, because neither is model fitting.</w:t>
      </w:r>
      <w:r>
        <w:rPr>
          <w:color w:val="1F4E9E"/>
        </w:rPr>
        <w:t xml:space="preserve">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at one setting of its parameters, in all six experimental conditions at once. </w:t>
      </w:r>
      <w:r>
        <w:rPr>
          <w:color w:val="1F4E9E"/>
        </w:rPr>
        <w:t>To establish that, each model was fitted to the aggregate data: a single parameter vector was estimated by minimizing the discrepancy defined below, and the model was then simulated at that vector. The purpose is diagnostic — the fit tells us what the model can and cannot do, not what the participants’ parameters are.</w:t>
      </w:r>
      <w:r>
        <w:rPr>
          <w:color w:val="1F4E9E"/>
        </w:rPr>
        <w:t xml:space="preserve"> That is the first role, and it concerns a single point in parameter space. The second concerns the space itself. </w:t>
      </w:r>
      <w:r>
        <w:rPr>
          <w:color w:val="1F4E9E"/>
        </w:rPr>
        <w:t>A fitted vector</w:t>
      </w:r>
      <w:r>
        <w:rPr>
          <w:color w:val="1F4E9E"/>
        </w:rPr>
        <w:t xml:space="preserve"> shows that an architecture can reach the observed effect sizes somewhere; it does not show whether it reaches them only there. Because every prediction tested here is claimed to hold at every admissible parameter setting rather than at a favorable one, that claim is checked directly, by sampling the parameter space over the ranges of Table A1 and evaluating the predictions at each draw.</w:t>
      </w:r>
    </w:p>
    <w:p>
      <w:pPr/>
      <w:r>
        <w:rPr>
          <w:color w:val="1F4E9E"/>
        </w:rPr>
      </w:r>
      <w:r>
        <w:rPr>
          <w:color w:val="1F4E9E"/>
        </w:rPr>
        <w:t>The objective defined below is a likelihood, and the estimation is a fit: G² is the deviance of a multinomial whose categories are the quantile bins, so minimizing it maximizes the likelihood of the binned data, in the manner standard for response-time models of this kind (Ratcliff &amp; Tuerlinckx, 2002). Two features of how it is applied here nevertheless limit what may be read from it, and both are deliberate. First, the objective is defined on response proportions and quantiles aggregated across participants rather than on individual trials, and each cell enters at a fixed pseudo-sample size of one observation per participant rather than at its pooled trial count. The scale of G² is therefore set by a weighting choice and not by the quantity of data behind it, so neither its absolute value nor a difference between two of its values carries a p-value or a confidence interval. Second, Model 2 contains Model 1 as the case β = 0, so Model 2’s G² is smaller by construction, and the difference between the two cannot in itself be evidence for temporal preparation. We therefore report each estimate as the setting at which an architecture comes closest to the data, and interpret no parameter value, no interval, and no model comparison resting on the fitted values alone. What the fits establish is a question about the models rather than about the participants: given this architecture, is there a setting of its parameters at which it behaves quantitatively like the experiment? A model that fails that test is inadequate; a model that passes it has not thereby been shown to be true.</w:t>
      </w:r>
      <w:r>
        <w:rPr>
          <w:color w:val="1F4E9E"/>
        </w:rPr>
        <w:t xml:space="preserve"> Fitting would in any case be the wrong tool for the question this paper asks, for reasons given in the Discussion.</w:t>
      </w:r>
    </w:p>
    <w:p w14:paraId="36DED7A8" w14:textId="77777777" w:rsidR="00205CBC" w:rsidRDefault="00000000">
      <w:pPr>
        <w:pStyle w:val="Titre3"/>
      </w:pPr>
      <w:r>
        <w:rPr>
          <w:color w:val="1F4E9E"/>
        </w:rPr>
      </w:r>
      <w:r>
        <w:rPr>
          <w:color w:val="1F4E9E"/>
        </w:rPr>
        <w:t>Fitting the models to the aggregate data</w:t>
      </w:r>
    </w:p>
    <w:p w14:paraId="1E041236" w14:textId="77777777" w:rsidR="00205CBC" w:rsidRDefault="00000000">
      <w:r>
        <w:rPr>
          <w:color w:val="1F4E9E"/>
        </w:rPr>
      </w:r>
      <w:r>
        <w:rPr>
          <w:color w:val="1F4E9E"/>
        </w:rPr>
      </w:r>
      <w:r>
        <w:rPr>
          <w:color w:val="1F4E9E"/>
        </w:rPr>
        <w:t>Each model was fitted</w:t>
      </w:r>
      <w:r>
        <w:rPr>
          <w:color w:val="1F4E9E"/>
        </w:rPr>
        <w:t xml:space="preserve"> independently, and on behavior alone. Correct and incorrect responses are treated separately, following the response-time quantile method used by Dendauw et al. (2024) and originating with Ratcliff and Tuerlinckx (2002): for each of the six coherence × duration cells and each response type, the .1, .3, .5, .7, and .9 quantiles of the observed response-time distribution partition it into six bins holding, by construction, 10%, 20%, 20%, 20%, 20%, and 10% of that response type’s trials. Discrepancy is measured by the G² statistic — the quantity a likelihood-ratio test would use — computed by passing the model’s simulated response times for the same cell and response type through these same, data-defined bin edges and </w:t>
      </w:r>
      <w:r>
        <w:rPr>
          <w:color w:val="1F4E9E"/>
        </w:rPr>
        <w:t>comparing the resulting proportions against the reference 10/20/20/20/20/10 partition. Each cell therefore contributes thirteen categories: six response-time bins for correct responses, six for incorrect ones, and the proportion of premature responses — scored as a single category rather than given a quantile structure of its own, because premature responses are too rare (1.4% of trials overall) to support one. The six cells’ G² values are summed.</w:t>
      </w:r>
      <w:r>
        <w:rPr>
          <w:color w:val="1F4E9E"/>
        </w:rPr>
        <w:t xml:space="preserve"> </w:t>
      </w:r>
      <w:r>
        <w:rPr>
          <w:color w:val="1F4E9E"/>
        </w:rPr>
        <w:t>Response accuracy and the two response-time distributions are computed on valid trials only — those with a response between 0.2 and 4 s after the signal — but the three proportions entering a cell’s G² (premature, correct, incorrect) sum to one over premature and valid trials together, on both the data and the model side, so that a parameter setting producing too many or too few premature responses is penalized. Scoring them is not incidental: the gating level, the internal threshold and the response criterion are precisely the parameters that set the premature rate, and an objective computed on valid trials alone leaves them constrained by nothing. Responses faster than 0.2 s after the signal are still excluded entirely; failures to respond by the 4-s deadline do not occur in these data (0 of 21,120 trials) and so define no target.</w:t>
      </w:r>
      <w:r>
        <w:rPr>
          <w:color w:val="1F4E9E"/>
        </w:rPr>
        <w:t xml:space="preserve"> As elsewhere, quantities are aggregated in two stages wherever the data permit it: response proportions and correct-response quantiles are computed within participant and condition first, then averaged across participants — Vincentized, for the quantiles — so that each participant contributes equally; </w:t>
      </w:r>
      <w:r>
        <w:rPr>
          <w:color w:val="1F4E9E"/>
        </w:rPr>
        <w:t>incorrect-response quantiles and the premature-response proportion are pooled across participants instead, because at the higher coherence levels several participants have too few error trials — and, in every cell, too few premature trials — for a per-participant estimate to be meaningful.</w:t>
      </w:r>
      <w:r>
        <w:rPr>
          <w:color w:val="1F4E9E"/>
        </w:rPr>
        <w:t xml:space="preserve"> Each cell’s G² is computed at a fixed pseudo-sample size of one per participant (22), rather than at the pooled trial count, so that a cell’s weight in the objective reflects the number of participants rather than how many trials happened to be collected: G² is used here as </w:t>
      </w:r>
      <w:r>
        <w:rPr>
          <w:color w:val="1F4E9E"/>
        </w:rPr>
        <w:t>a scalar discrepancy for estimation</w:t>
      </w:r>
      <w:r>
        <w:rPr>
          <w:color w:val="1F4E9E"/>
        </w:rPr>
        <w:t xml:space="preserve">, not as a formal goodness-of-fit test with an interpretable p-value. The stochastic differential equations were integrated at 1024 Hz, the electromyographic acquisition’s native sampling rate, over a window running to the 4-s response deadline, with common random numbers across evaluations so that the objective is a deterministic function of the parameters; minimization used the Nelder–Mead simplex in logarithmic parameter coordinates, restarted from the running best with progressively larger initial simplices. </w:t>
      </w:r>
      <w:r>
        <w:rPr>
          <w:color w:val="1F4E9E"/>
        </w:rPr>
        <w:t>Model 1 was fitted in its own right</w:t>
      </w:r>
      <w:r>
        <w:rPr>
          <w:color w:val="1F4E9E"/>
        </w:rPr>
        <w:t xml:space="preserve"> rather than evaluated at the parameters obtained for Model 2, so that any difference between them cannot be an artifact of one model borrowing the other’s parameters. </w:t>
      </w:r>
      <w:r>
        <w:rPr>
          <w:color w:val="1F4E9E"/>
        </w:rPr>
        <w:t>The two fitted models were then simulated</w:t>
      </w:r>
      <w:r>
        <w:rPr>
          <w:color w:val="1F4E9E"/>
        </w:rPr>
        <w:t xml:space="preserve">, </w:t>
      </w:r>
      <w:r>
        <w:rPr>
          <w:color w:val="1F4E9E"/>
        </w:rPr>
        <w:t>without refitting</w:t>
      </w:r>
      <w:r>
        <w:rPr>
          <w:color w:val="1F4E9E"/>
        </w:rPr>
        <w:t>, at the delay-period partial-activation log-rate slope, which neither had seen.</w:t>
      </w:r>
    </w:p>
    <w:p w14:paraId="36DED7A8" w14:textId="77777777" w:rsidR="00205CBC" w:rsidRDefault="00000000">
      <w:pPr>
        <w:pStyle w:val="Titre3"/>
      </w:pPr>
      <w:r>
        <w:rPr>
          <w:color w:val="1F4E9E"/>
        </w:rPr>
        <w:t>Evaluation over the parameter space</w:t>
      </w:r>
    </w:p>
    <w:p w14:paraId="1E041236" w14:textId="77777777" w:rsidR="00205CBC" w:rsidRDefault="00000000">
      <w:r>
        <w:rPr>
          <w:color w:val="1F4E9E"/>
        </w:rPr>
      </w:r>
      <w:r>
        <w:rPr>
          <w:color w:val="1F4E9E"/>
        </w:rPr>
        <w:t>The fit locates a single parameter vector</w:t>
      </w:r>
      <w:r>
        <w:rPr>
          <w:color w:val="1F4E9E"/>
        </w:rPr>
        <w:t xml:space="preserve">, and cannot by itself show whether the models’ qualitative predictions follow from their architecture or merely from that vector. Those predictions are derived analytically in Appendices A–E and are claimed to hold at every admissible parameter setting, so the claim was also checked numerically. Parameters were drawn by Latin-hypercube sampling over the ranges given in Table A1 — 250 draws, 2000 trials per cell per model per draw — and each draw was first screened for task admissibility against criteria taken from the design of the experiment rather than from the data: in every condition, at most 10% premature responses, at most 10% responses within 0.2 s of the response signal, at most 5% failures to respond by the 4-s deadline, and accuracy above 80% in the two 50%-coherence conditions. Every admissible draw was then evaluated on the two response-time effects and on the delay-period log-rate slope. The same sampled vector was evaluated in both models, with β set to zero in Model 1. None of the ranges in Table A1 </w:t>
      </w:r>
      <w:r>
        <w:rPr>
          <w:color w:val="1F4E9E"/>
        </w:rPr>
        <w:t>is derived from the fits</w:t>
      </w:r>
      <w:r>
        <w:rPr>
          <w:color w:val="1F4E9E"/>
        </w:rPr>
        <w:t xml:space="preserve">, for the reason given in that table’s note: a range drawn around a fitted value cannot test whether a prediction survives away from it. The two uses of simulation therefore support different things, and are kept separate throughout. </w:t>
      </w:r>
      <w:r>
        <w:rPr>
          <w:color w:val="1F4E9E"/>
        </w:rPr>
        <w:t>The fit establishes that</w:t>
      </w:r>
      <w:r>
        <w:rPr>
          <w:color w:val="1F4E9E"/>
        </w:rPr>
        <w:t xml:space="preserve"> an architecture reaches the observed effect sizes at one setting of its parameters, and is the basis for every quantity reported </w:t>
      </w:r>
      <w:r>
        <w:rPr>
          <w:color w:val="1F4E9E"/>
        </w:rPr>
        <w:t>at “the fitted model”</w:t>
      </w:r>
      <w:r>
        <w:rPr>
          <w:color w:val="1F4E9E"/>
        </w:rPr>
        <w:t xml:space="preserve">. The parameter-space evaluation establishes that the qualitative predictions do not depend on which setting, and is the basis for every statement that a prediction holds at every admissible setting. </w:t>
      </w:r>
      <w:r>
        <w:rPr>
          <w:color w:val="1F4E9E"/>
        </w:rPr>
        <w:t>Neither licenses a claim about any participant’s parameters, and no parameter value from either is interpreted.</w:t>
      </w:r>
    </w:p>
    <w:p w14:paraId="081D94F4" w14:textId="77777777" w:rsidR="00205CBC" w:rsidRDefault="00000000">
      <w:pPr>
        <w:pStyle w:val="Titre1"/>
        <w:spacing w:before="480"/>
      </w:pPr>
      <w:r>
        <w:t>Results</w:t>
      </w:r>
    </w:p>
    <w:p>
      <w:pPr/>
      <w:r>
        <w:rPr>
          <w:color w:val="1F4E9E"/>
        </w:rPr>
        <w:t xml:space="preserve">Each subsection below takes one analysis window: it states what the two models predict there, tests that prediction against the data, and — where a quantitative comparison is informative — shows </w:t>
      </w:r>
      <w:r>
        <w:rPr>
          <w:color w:val="1F4E9E"/>
        </w:rPr>
        <w:t>the fitted models</w:t>
      </w:r>
      <w:r>
        <w:rPr>
          <w:color w:val="1F4E9E"/>
        </w:rPr>
        <w:t xml:space="preserve"> simulated at that window. The predictions are derived in Appendices A–E. </w:t>
      </w:r>
      <w:r>
        <w:rPr>
          <w:color w:val="1F4E9E"/>
        </w:rPr>
        <w:t>The fits are described in Materials and Methods</w:t>
      </w:r>
      <w:r>
        <w:rPr>
          <w:color w:val="1F4E9E"/>
        </w:rPr>
        <w:t>; it is used to check that a model can be brought to the data at the right scale, and not to estimate anything about the participants.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(F(2,42)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(F(2,42) = 4.61, p = .016,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color w:val="1F4E9E"/>
        </w:rPr>
        <w:t xml:space="preserve">Behavior is where the two models are hardest to tell apart, and </w:t>
      </w:r>
      <w:r>
        <w:rPr>
          <w:color w:val="1F4E9E"/>
        </w:rPr>
        <w:t>the fits make that concrete</w:t>
      </w:r>
      <w:r>
        <w:rPr>
          <w:color w:val="1F4E9E"/>
        </w:rPr>
        <w:t xml:space="preserve">. </w:t>
      </w:r>
      <w:r>
        <w:rPr>
          <w:color w:val="1F4E9E"/>
        </w:rPr>
        <w:t>Fitted independently</w:t>
      </w:r>
      <w:r>
        <w:rPr>
          <w:color w:val="1F4E9E"/>
        </w:rPr>
        <w:t xml:space="preserve"> and on behavior alone (Materials and Methods), the two leave behavior almost equally well matched: </w:t>
      </w:r>
      <w:r>
        <w:rPr>
          <w:color w:val="1F4E9E"/>
        </w:rPr>
        <w:t>a total discrepancy of G² = 27.7 for Model 1 against G² = 22.3 for Model 2, summed over the six cells.</w:t>
      </w:r>
      <w:r>
        <w:rPr>
          <w:color w:val="1F4E9E"/>
        </w:rPr>
        <w:t xml:space="preserve"> </w:t>
      </w:r>
      <w:r>
        <w:rPr>
          <w:color w:val="1F4E9E"/>
        </w:rPr>
        <w:t>The gap is real rather than simulation noise: re-evaluating both fitted models under sixteen independent sets of simulation seeds puts it at 5.9 ± 0.5 (mean ± SD), and it is spread evenly over all six cells rather than arising in any one condition. It comes principally from the error response-time distributions (54%) and the correct ones (38%), the premature-response proportion contributing under a tenth. Three considerations nevertheless keep it from counting as evidence for temporal preparation. Model 2 contains Model 1 as the case β = 0, so its advantage is guaranteed in advance and its sign is uninformative. The scale of G² is fixed by the pseudo-sample size used for weighting rather than by the number of trials observed, so the difference admits no significance test (Materials and Methods). And in magnitude it removes about a fifth of Model 1’s total discrepancy, where the delay-period muscle activity examined below separates the two accounts qualitatively rather than by a fifth. Both models therefore reach the observed ordering at about the observed size, and behavior does not appreciably favor either.</w:t>
      </w:r>
      <w:r>
        <w:rPr>
          <w:color w:val="1F4E9E"/>
        </w:rPr>
        <w:t xml:space="preserve"> This is what the derivation above leads one to expect, since the response-time ordering follows from the architecture the two models share; and it is why behavior on its own provides little leverage on the mechanisms that distinguish them, which is what motivates turning to the neurophysiological measures next.</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the partial-activation rate simulated at Model 2's </w:t>
      </w:r>
      <w:r>
        <w:rPr>
          <w:color w:val="1F4E9E"/>
        </w:rPr>
        <w:t>fitted parameters</w:t>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color w:val="1F4E9E"/>
        </w:rPr>
        <w:t xml:space="preserve">whose ceiling </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w:r>
        <w:rPr>
          <w:color w:val="1F4E9E"/>
        </w:rPr>
        <w:t xml:space="preserve"> is never exceeded whatever the distance to the gate: </w:t>
      </w:r>
      <w:r>
        <w:rPr>
          <w:color w:val="1F4E9E"/>
        </w:rPr>
        <w:t>at the  needed for a rate</w:t>
      </w:r>
      <m:oMath>
        <m:r>
          <w:rPr>
            <w:rFonts w:ascii="Cambria Math" w:hAnsi="Cambria Math"/>
            <w:color w:val="1F4E9E"/>
          </w:rPr>
          <m:t>κ</m:t>
        </m:r>
      </m:oMath>
      <w:r>
        <w:rPr>
          <w:color w:val="1F4E9E"/>
        </w:rPr>
        <w:t xml:space="preserve"> still rising near the end of a 3-s delay (</w:t>
      </w:r>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t xml:space="preserve">), that ceiling is under </w:t>
      </w:r>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r>
      <w:r>
        <w:rPr>
          <w:color w:val="1F4E9E"/>
        </w:rPr>
        <w:t xml:space="preserve"> — evaluated at the least favorable λ in the range of Table A1, so that the bound holds throughout that range — well below the observed end-of-delay rate of about</w:t>
      </w:r>
      <w:r>
        <w:rPr>
          <w:color w:val="1F4E9E"/>
        </w:rPr>
        <w:t xml:space="preserve"> </w:t>
      </w:r>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r>
        <w:rPr>
          <w:color w:val="1F4E9E"/>
        </w:rPr>
        <w:t>.</w:t>
      </w:r>
      <w:r>
        <w:rPr>
          <w:color w:val="1F4E9E"/>
        </w:rPr>
        <w:t xml:space="preserve"> That bound is the transient one, not the stationary one, and this distinction matters at exactly this value of the mean-reversion rate: so slow a fluctuation is nowhere near stationary within the analyzed window — its variance is a quarter of the stationary value at the earliest point of that window and about seven-tenths of it at the latest — so its characteristic frequency, and with it the ceiling, is higher early in the window than the stationary expression above would give (0.33 s⁻¹). </w:t>
      </w:r>
      <w:r>
        <w:rPr>
          <w:color w:val="1F4E9E"/>
        </w:rPr>
        <w:t>Integrating the kernel of Appendix C directly</w:t>
      </w:r>
      <w:r>
        <w:rPr>
          <w:color w:val="1F4E9E"/>
        </w:rPr>
        <w:t xml:space="preserve">, without assuming stationarity, gives a ceiling of 0.65 s⁻¹ at the start of the analyzed window falling to 0.39 s⁻¹ at its end, and allowing in addition for the correlation between the fluctuation and its derivative that non-stationarity induces (0.14 at the start of the window, 0.04 at its end) does not raise that maximum. The stationary form used elsewhere in this section is exact to one part in 10⁹ </w:t>
      </w:r>
      <w:r>
        <w:rPr>
          <w:color w:val="1F4E9E"/>
        </w:rPr>
      </w:r>
      <w:r>
        <w:rPr>
          <w:color w:val="1F4E9E"/>
        </w:rPr>
        <w:t>at the fitted mean-reversion rate</w:t>
      </w:r>
      <w:r>
        <w:rPr>
          <w:color w:val="1F4E9E"/>
        </w:rPr>
        <w:t xml:space="preserve"> (Appendix C)</w:t>
      </w:r>
      <w:r>
        <w:rPr>
          <w:color w:val="1F4E9E"/>
        </w:rPr>
        <w:t xml:space="preserve"> but is deliberately not relied upon here.</w:t>
      </w:r>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t>not a fitting failure</w:t>
      </w:r>
      <w:r>
        <w:rPr>
          <w:color w:val="1F4E9E"/>
        </w:rPr>
        <w:t xml:space="preserve"> that a different parameterization would resolve: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and it is a quantity </w:t>
      </w:r>
      <w:r>
        <w:rPr>
          <w:color w:val="1F4E9E"/>
        </w:rPr>
        <w:t>neither fit was allowed to see</w:t>
      </w:r>
      <w:r>
        <w:rPr>
          <w:color w:val="1F4E9E"/>
        </w:rPr>
        <w:t>.</w:t>
      </w:r>
    </w:p>
    <w:p w14:paraId="3A644C8C" w14:textId="77777777" w:rsidR="00205CBC" w:rsidRDefault="00000000">
      <w:r>
        <w:rPr>
          <w:color w:val="1F4E9E"/>
        </w:rPr>
      </w:r>
      <w:r>
        <w:rPr>
          <w:color w:val="1F4E9E"/>
        </w:rPr>
        <w:t>Each model was fitted</w:t>
      </w:r>
      <w:r>
        <w:rPr>
          <w:color w:val="1F4E9E"/>
        </w:rPr>
        <w:t xml:space="preserve"> independently and on behavior alone (Materials and Methods), so the delay-period log-rate slope is a quantity neither had seen. Evaluated on it, the two diverge sharply: </w:t>
      </w:r>
      <w:r>
        <w:rPr>
          <w:color w:val="1F4E9E"/>
        </w:rPr>
        <w:t>across the six cells, Model 1’s predicted slopes lie between −0.016 and +0.003 s⁻¹, indistinguishable from zero, whereas Model 2’s run from +0.60 to +0.72 s⁻¹, approaching the observed +0.66 to +1.03 s⁻¹ from below. In standardized units — mean absolute deviation from the observed cell mean, in between-participant standard errors — Model 1 is 8.4 standard errors out and Model 2 is 2.2, a factor of 3.7.</w:t>
      </w:r>
      <w:r>
        <w:rPr>
          <w:color w:val="1F4E9E"/>
        </w:rPr>
        <w:t xml:space="preserve"> The reason is structural rather than numerical, and Appendix C makes it precise: a maintained fluctuation slow enough to be still rising this late in the delay is, by the model's own dynamics, too slow to generate the observed rate, while one fast enough to generate that rate has been effectively stationary since early in the delay. Temporal preparation is the only mechanism either model possesses that can produce a rate still climbing at this point, and Model 1 does not have it. </w:t>
      </w:r>
      <w:r>
        <w:rPr>
          <w:color w:val="1F4E9E"/>
        </w:rPr>
        <w:t>This is what the design was built to deliver: behavior is matched about equally well by both accounts, whereas the muscle separates them qualitatively — one model produces no delay-period ramp at all, the other a ramp about seven-tenths the size of the observed one.</w:t>
      </w:r>
    </w:p>
    <w:p w14:paraId="3A644C8C" w14:textId="77777777" w:rsidR="00205CBC" w:rsidRDefault="00000000">
      <w:r>
        <w:rPr>
          <w:color w:val="1F4E9E"/>
        </w:rPr>
      </w:r>
      <w:r>
        <w:rPr>
          <w:color w:val="1F4E9E"/>
        </w:rPr>
        <w:t>That comparison is made at one parameter vector per model. Evaluating the sampled parameter space instead (Materials and Methods, Evaluation over the parameter space) shows that the separation is not a property of those two vectors, and locates what produces it. Two quantities have to be reproduced together here: the delay-period rate of partial activations, and its slope. Taken by itself the slope discriminates weakly. Across admissible draws Model 1’s is centered near zero (median −0.04 s⁻¹, 5th to 95th percentile −0.27 to +0.33) and Model 2’s is positive (median +0.27, −0.41 to +1.46), but Model 1 does reach the observed range in about one per cent of the space, so it does not fail outright. The two quantities are not independent, and requiring both is decisive. Among the admissible draws at which Model 1 produces at least a quarter of the observed end-of-delay rate, the largest delay-period slope it produces anywhere is +0.08 s⁻¹, against an observed +0.66 to +1.03, and none reaches that range. The closed-form bound of the preceding section gives the same figure by an independent route — at a quarter of the observed rate the largest slope available to Model 1 is 0.07 s⁻¹ — so the sampled space and the analytic argument agree on the size of the effect Model 1 can produce. Model 2 under the same restriction produces slopes spanning the observed range. Model 1’s difficulty is therefore not that it cannot generate a ramp, but that it cannot generate one while also generating partial activations at the observed rate.</w:t>
      </w:r>
    </w:p>
    <w:p w14:paraId="168B8045" w14:textId="77777777" w:rsidR="00205CBC" w:rsidRDefault="00000000">
      <w:r>
        <w:rPr>
          <w:color w:val="1F4E9E"/>
        </w:rPr>
        <w:t xml:space="preserve">Figure S2 (delay panel) shows this discrimination directly at the level of the simulated rate curve: Model 2, simulated at its </w:t>
      </w:r>
      <w:r>
        <w:rPr>
          <w:color w:val="1F4E9E"/>
        </w:rPr>
        <w:t>fitted parameters</w:t>
      </w:r>
      <w:r>
        <w:rPr>
          <w:color w:val="1F4E9E"/>
        </w:rPr>
        <w:t xml:space="preserve"> and passed through the same detection rules as the observed data, continues to climb across the delay as the data do, consistent with the log-rate-slope comparison above. The same panel also makes the saturation argument (above) numerical: the simulated model spreads the three coherence levels more widely after a short stimulus than the data support, the model's principal residual in this window.</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(duration: F(1,21) = 69.75, p &lt; .001, ηp² = 0.769; coherence: F(1.59,33.35) = 14.11, p &lt; .001, ηp² = 0.402; duration × coherence: F(2,42) = 3.62, p = .035, ηp² = 0.147)</w:t>
      </w:r>
      <w:r>
        <w:t>. In contrast, mean MET was not significantly affected by any experimental factor</w:t>
      </w:r>
      <w:r>
        <w:rPr>
          <w:color w:val="1F4E9E"/>
        </w:rPr>
        <w:t xml:space="preserve"> (duration: F(1,21) = 1.03, p = .320; coherence: F(1.51,31.68) = 0.54, p = .537; duration × coherence: F(2,42) = 2.39, p = .104)</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t>The fitted model confirms</w:t>
      </w:r>
      <w:r>
        <w:rPr>
          <w:color w:val="1F4E9E"/>
        </w:rPr>
        <w:t xml:space="preserve"> this: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color w:val="1F4E9E"/>
        </w:rPr>
      </w:r>
      <w:r>
        <w:rPr>
          <w:color w:val="1F4E9E"/>
        </w:rPr>
        <w:t>The fitted models make this sensitivity concrete, and it is worth saying what the fits are and are not used for. Each estimates the single parameter vector at which an architecture comes closest to the aggregate data; the question asked is whether the model can reach effects of the observed size, not what the participants’ parameters are. Three considerations keep the analysis from resting on parameter values, or on the comparison between the two fitted values. The models are deliberately reduced, so several parameters are near-unidentifiable from behavior and an estimate would describe the shape of the objective rather than a participant. Model 2 contains Model 1 as the case β = 0, so its advantage in fit is guaranteed and uninformative. And the predictions the paper tests are ordinal and derived analytically (Appendices A–E), holding at every admissible parameter setting, so none of them turns on which setting is optimal.</w:t>
      </w:r>
      <w:r>
        <w:rPr>
          <w:color w:val="1F4E9E"/>
        </w:rPr>
        <w:t xml:space="preserve"> </w:t>
      </w:r>
      <w:r>
        <w:rPr>
          <w:color w:val="1F4E9E"/>
        </w:rPr>
        <w:t>Fitted on behavior alone the two models</w:t>
      </w:r>
      <w:r>
        <w:rPr>
          <w:color w:val="1F4E9E"/>
        </w:rPr>
        <w:t xml:space="preserve"> are nearly indistinguishable; </w:t>
      </w:r>
      <w:r>
        <w:rPr>
          <w:color w:val="1F4E9E"/>
        </w:rPr>
        <w:t>evaluated on the delay-period PMA-rate profile neither had seen, they diverge qualitatively, with only the model including temporal preparation producing a delay-period ramp at all, and reaching about seven-tenths of the observed one.</w:t>
      </w:r>
      <w:r>
        <w:rPr>
          <w:color w:val="1F4E9E"/>
        </w:rPr>
        <w:t xml:space="preserve">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a genuine disagreement, </w:t>
      </w:r>
      <w:r>
        <w:rPr>
          <w:color w:val="1F4E9E"/>
        </w:rPr>
        <w:t>not a fitting artifact</w:t>
      </w:r>
      <w:r>
        <w:rPr>
          <w:color w:val="1F4E9E"/>
        </w:rPr>
        <w:t>.</w:t>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540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54012"/>
                    </a:xfrm>
                    <a:prstGeom prst="rect">
                      <a:avLst/>
                    </a:prstGeom>
                  </pic:spPr>
                </pic:pic>
              </a:graphicData>
            </a:graphic>
          </wp:inline>
        </w:drawing>
      </w:r>
      <w:r>
        <w:br/>
      </w:r>
      <w:r>
        <w:rPr>
          <w:noProof/>
        </w:rPr>
        <w:drawing>
          <wp:inline distT="0" distB="0" distL="0" distR="0" wp14:anchorId="68E4C781" wp14:editId="2BC68CE3">
            <wp:extent cx="5760720" cy="20540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54012"/>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t>Fig 1. Simulated mean dynamics under the two candidate models.</w:t>
      </w:r>
      <w:r>
        <w:rPr>
          <w:color w:val="1F4E9E"/>
        </w:rPr>
        <w:t xml:space="preserve"> Mean gated motor-preparatory signal at the </w:t>
      </w:r>
      <w:r>
        <w:rPr>
          <w:color w:val="1F4E9E"/>
        </w:rPr>
        <w:t>fitted parameters</w:t>
      </w:r>
      <w:r>
        <w:rPr>
          <w:color w:val="1F4E9E"/>
        </w:rPr>
        <w:t xml:space="preserve">, time-locked to the four trial events (stimulus onset, stimulus offset, response signal, response), with a one-standard-deviation band; each trial is censored at its own response. Color denotes motion coherence and line style denotes stimulus duration; dotted lines mark the internal threshold θ and the gate g. Top: Model 2 (maintained evidence-dependent state plus temporal preparation). Bottom: Model 1 (maintained evidence-dependent state only), </w:t>
      </w:r>
      <w:r>
        <w:rPr>
          <w:color w:val="1F4E9E"/>
        </w:rPr>
      </w:r>
      <w:r>
        <w:rPr>
          <w:color w:val="1F4E9E"/>
        </w:rPr>
        <w:t>refitted in its own right</w:t>
      </w:r>
      <w:r>
        <w:rPr>
          <w:color w:val="1F4E9E"/>
        </w:rPr>
        <w:t>.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51182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511822"/>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Panel B shows one simulated trial from </w:t>
      </w:r>
      <w:r>
        <w:rPr>
          <w:color w:val="1F4E9E"/>
        </w:rPr>
        <w:t>the fitted Model 2</w:t>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These derivations, and not </w:t>
      </w:r>
      <w:r>
        <w:rPr>
          <w:b w:val="0"/>
          <w:i w:val="0"/>
          <w:color w:val="1F4E9E"/>
        </w:rPr>
        <w:t>the fits reported in the main text</w:t>
      </w:r>
      <w:r>
        <w:rPr>
          <w:b w:val="0"/>
          <w:i w:val="0"/>
          <w:color w:val="1F4E9E"/>
        </w:rPr>
        <w:t xml:space="preserve">, are what the empirical results are tested against; </w:t>
      </w:r>
      <w:r>
        <w:rPr>
          <w:b w:val="0"/>
          <w:i w:val="0"/>
          <w:color w:val="1F4E9E"/>
        </w:rPr>
        <w:t>the fits are used only to check</w:t>
      </w:r>
      <w:r>
        <w:rPr>
          <w:b w:val="0"/>
          <w:i w:val="0"/>
          <w:color w:val="1F4E9E"/>
        </w:rPr>
        <w:t xml:space="preserve"> that a model can reach effects of about the observed size.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0.008–0.080 s (log-uniform)</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FF0000"/>
                <w:sz w:val="22"/>
                <w:szCs w:val="22"/>
              </w:rPr>
              <w:t xml:space="preserve">Derived as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w:r w:rsidRPr="0099074B">
              <w:rPr>
                <w:color w:val="FF0000"/>
                <w:sz w:val="22"/>
                <w:szCs w:val="22"/>
              </w:rPr>
              <w:t xml:space="preserve">, where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r w:rsidR="00474B13" w:rsidRPr="00474B13">
              <w:rPr>
                <w:rFonts w:eastAsiaTheme="minorEastAsia"/>
                <w:color w:val="FF0000"/>
                <w:sz w:val="22"/>
                <w:szCs w:val="22"/>
                <w:vertAlign w:val="subscript"/>
              </w:rPr>
              <w:t xml:space="preserve"> </w:t>
            </w:r>
            <w:r w:rsidR="00474B13">
              <w:rPr>
                <w:rFonts w:eastAsiaTheme="minorEastAsia"/>
                <w:color w:val="FF0000"/>
                <w:sz w:val="22"/>
                <w:szCs w:val="22"/>
                <w:vertAlign w:val="subscript"/>
              </w:rPr>
              <w:t xml:space="preserve"> </w:t>
            </w:r>
            <w:r w:rsidRPr="0099074B">
              <w:rPr>
                <w:color w:val="FF0000"/>
                <w:sz w:val="22"/>
                <w:szCs w:val="22"/>
              </w:rPr>
              <w:t>denotes the stationary standard deviation of the maintenance fluctuations and was sampled from  0.003–0.030</w:t>
            </w:r>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Model 1: 0; Model 2: 0.0015–0.024</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none is derived from </w:t>
      </w:r>
      <w:r>
        <w:rPr>
          <w:color w:val="1F4E9E"/>
        </w:rPr>
        <w:t>the fits reported in Materials and Methods</w:t>
      </w:r>
      <w:r>
        <w:rPr>
          <w:color w:val="1F4E9E"/>
        </w:rPr>
        <w:t>, since a range drawn around a fitted value cannot test whether a prediction survives away from that value.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rather than fixed at them — as were the response criterion r and the residual motor latency Lmotor, for the same reason.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The range for Lmotor brackets the electromechanical delay between muscle activation and the overt response. 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For the maintenance-noise process, the stationary standard deviation SDε was sampled rather than σε so that fluctuation amplitude could vary independently of κ.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Because the delay window begins one second after stimulus offset — at least 21 time constants of the fastest-decaying transient term, 2</w:t>
      </w:r>
      <w:r>
        <w:rPr>
          <w:i/>
          <w:color w:val="1F4E9E"/>
        </w:rPr>
        <w:t>κ</w:t>
      </w:r>
      <w:r>
        <w:rPr>
          <w:color w:val="1F4E9E"/>
        </w:rPr>
        <w:t xml:space="preserve">, </w:t>
      </w:r>
      <w:r>
        <w:rPr>
          <w:color w:val="1F4E9E"/>
        </w:rPr>
        <w:t>at the fitted κ</w:t>
      </w:r>
      <w:r>
        <w:rPr>
          <w:i/>
          <w:color w:val="1F4E9E"/>
        </w:rPr>
      </w:r>
      <w:r>
        <w:rPr>
          <w:color w:val="1F4E9E"/>
        </w:rPr>
        <w:t xml:space="preserve"> — the relative departure from these stationary values is below 4×10⁻¹⁰ throughout the analyzed window, so the stationary forms are exact for practical purposes there; </w:t>
      </w:r>
      <w:r>
        <w:rPr>
          <w:color w:val="1F4E9E"/>
        </w:rPr>
        <w:t>this does not hold in the stimulus-period window, where the process has not yet reached stationarity and the stationary forms are not used, nor at the much smaller κ considered in the ceiling argument of Results (Delay-locked), where the departure from stationarity is substantial and the bound is accordingly computed from the kernel directly rather than from the stationary forms.</w:t>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At stationarity,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so Ż(t) is independent of </w:t>
      </w:r>
      <w:r>
        <w:rPr>
          <w:i/>
          <w:color w:val="1F4E9E"/>
        </w:rPr>
        <w:t>Z(t)</w:t>
      </w:r>
      <w:r>
        <w:rPr>
          <w:color w:val="1F4E9E"/>
        </w:rPr>
        <w:t xml:space="preserve"> and, writing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t xml:space="preserve"> for standard normal </w:t>
      </w:r>
      <w:r>
        <w:rPr>
          <w:i/>
          <w:color w:val="1F4E9E"/>
        </w:rPr>
        <w:t>ζ</w:t>
      </w:r>
      <w:r>
        <w:rPr>
          <w:color w:val="1F4E9E"/>
        </w:rPr>
        <w:t xml:space="preserve">, </w:t>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t xml:space="preserve">. Dividing through by </w:t>
      </w:r>
      <w:r>
        <w:rPr>
          <w:i/>
          <w:color w:val="1F4E9E"/>
        </w:rPr>
        <w:t>σ</w:t>
      </w:r>
      <w:r>
        <w:rPr>
          <w:color w:val="1F4E9E"/>
          <w:vertAlign w:val="subscript"/>
        </w:rPr>
        <w:t>V</w:t>
      </w:r>
      <w:r>
        <w:rPr>
          <w:color w:val="1F4E9E"/>
        </w:rPr>
        <w:t xml:space="preserve"> and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and </w:t>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gives</w:t>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485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48596"/>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simulated at its </w:t>
      </w:r>
      <w:r>
        <w:rPr>
          <w:i/>
          <w:color w:val="1F4E9E"/>
        </w:rPr>
        <w:t>fitted parameters</w:t>
      </w:r>
      <w:r>
        <w:rPr>
          <w:i/>
          <w:color w:val="1F4E9E"/>
        </w:rPr>
        <w:t xml:space="preserve"> with the detection rules applied to the simulated signal. Left, stimulus period; right, delay period (discussed further in Delay-locked, below). The delay panel shows the model's main residual: it spreads the three coherence levels far more widely after a short stimulus than the data support — the saturation argument (Delay-locked, above) made numerical.</w:t>
      </w:r>
    </w:p>
    <w:p w14:paraId="0E67158D" w14:textId="77777777" w:rsidR="00205CBC" w:rsidRDefault="00000000">
      <w:r>
        <w:rPr>
          <w:noProof/>
        </w:rPr>
        <w:drawing>
          <wp:inline distT="0" distB="0" distL="0" distR="0" wp14:anchorId="3BA9A8DD" wp14:editId="76BFECA4">
            <wp:extent cx="5486400" cy="19022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23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1D799481" w14:textId="77777777" w:rsidR="00554B3C" w:rsidRPr="00292826" w:rsidRDefault="002A70D9" w:rsidP="00554B3C">
      <w:pPr>
        <w:spacing w:line="276" w:lineRule="auto"/>
        <w:rPr>
          <w:b/>
          <w:sz w:val="22"/>
          <w:szCs w:val="22"/>
        </w:rPr>
      </w:pPr>
      <w:r w:rsidRPr="00292826">
        <w:rPr>
          <w:b/>
          <w:sz w:val="22"/>
          <w:szCs w:val="22"/>
        </w:rPr>
        <w:lastRenderedPageBreak/>
        <w:t>Table S</w:t>
      </w:r>
      <w:r w:rsidR="009E646A" w:rsidRPr="00292826">
        <w:rPr>
          <w:b/>
          <w:sz w:val="22"/>
          <w:szCs w:val="22"/>
        </w:rPr>
        <w:t>1</w:t>
      </w:r>
      <w:r w:rsidR="00292826" w:rsidRPr="00292826">
        <w:rPr>
          <w:b/>
          <w:sz w:val="22"/>
          <w:szCs w:val="22"/>
        </w:rPr>
        <w:t xml:space="preserve">. </w:t>
      </w:r>
      <w:r w:rsidR="004C7964" w:rsidRPr="00292826">
        <w:rPr>
          <w:b/>
          <w:sz w:val="22"/>
          <w:szCs w:val="22"/>
        </w:rPr>
        <w:t>Full ANOVA results for response accuracy, mean response time (RT), mean pre-motor execution time (PMET), and mean motor execution time (MET)</w:t>
      </w:r>
      <w:r w:rsidR="00292826" w:rsidRPr="00292826">
        <w:rPr>
          <w:b/>
          <w:sz w:val="22"/>
          <w:szCs w:val="22"/>
        </w:rPr>
        <w:t>.</w:t>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22.68</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sz w:val="20"/>
                <w:szCs w:val="20"/>
              </w:rPr>
              <w:t xml:space="preserve"> </w:t>
            </w:r>
            <w:r w:rsidR="004C7964" w:rsidRPr="00292826">
              <w:rPr>
                <w:rFonts w:eastAsia="Times New Roman"/>
                <w:sz w:val="20"/>
                <w:szCs w:val="20"/>
              </w:rPr>
              <w:t>&lt;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1.31</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27.4</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222.22</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12.17</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65.79</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1.5</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14.19</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4.61</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.016</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69.7</w:t>
            </w:r>
            <w:r w:rsidR="003D11F7" w:rsidRPr="000A420D">
              <w:rPr>
                <w:rFonts w:eastAsia="Times New Roman"/>
                <w:sz w:val="20"/>
                <w:szCs w:val="20"/>
              </w:rPr>
              <w:t>5</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769</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1.59</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33.35</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14.11</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402</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w:t>
            </w:r>
            <w:r w:rsidR="00263D8A" w:rsidRPr="000A420D">
              <w:rPr>
                <w:rFonts w:eastAsia="Times New Roman"/>
                <w:sz w:val="20"/>
                <w:szCs w:val="20"/>
              </w:rPr>
              <w:t>62</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.035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147</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r w:rsidR="006142F1" w:rsidRPr="000A420D">
              <w:rPr>
                <w:rFonts w:eastAsia="Times New Roman"/>
                <w:sz w:val="20"/>
                <w:szCs w:val="20"/>
              </w:rPr>
              <w:t>03</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.3</w:t>
            </w:r>
            <w:r w:rsidR="009E39B8" w:rsidRPr="00292826">
              <w:rPr>
                <w:rFonts w:eastAsia="Times New Roman"/>
                <w:sz w:val="20"/>
                <w:szCs w:val="20"/>
              </w:rPr>
              <w:t>20</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31.</w:t>
            </w:r>
            <w:r w:rsidR="004B3806" w:rsidRPr="000A420D">
              <w:rPr>
                <w:rFonts w:eastAsia="Times New Roman"/>
                <w:sz w:val="20"/>
                <w:szCs w:val="20"/>
              </w:rPr>
              <w:t>68</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0.</w:t>
            </w:r>
            <w:r w:rsidR="004B3806" w:rsidRPr="000A420D">
              <w:rPr>
                <w:rFonts w:eastAsia="Times New Roman"/>
                <w:sz w:val="20"/>
                <w:szCs w:val="20"/>
              </w:rPr>
              <w:t>54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w:t>
            </w:r>
            <w:r w:rsidR="009E39B8" w:rsidRPr="00292826">
              <w:rPr>
                <w:rFonts w:eastAsia="Times New Roman"/>
                <w:sz w:val="20"/>
                <w:szCs w:val="20"/>
              </w:rPr>
              <w:t>537</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r w:rsidR="004B3806" w:rsidRPr="000A420D">
              <w:rPr>
                <w:rFonts w:eastAsia="Times New Roman"/>
                <w:sz w:val="20"/>
                <w:szCs w:val="20"/>
              </w:rPr>
              <w:t>39</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.10</w:t>
            </w:r>
            <w:r w:rsidR="009E39B8" w:rsidRPr="00292826">
              <w:rPr>
                <w:rFonts w:eastAsia="Times New Roman"/>
                <w:color w:val="000000"/>
                <w:sz w:val="20"/>
                <w:szCs w:val="20"/>
              </w:rPr>
              <w:t>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