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F70C" w14:textId="77777777" w:rsidR="001F7CC2" w:rsidRDefault="00000000">
      <w:pPr>
        <w:pStyle w:val="Titre"/>
      </w:pPr>
      <w:r>
        <w:t>Response to Reviewers</w:t>
      </w:r>
    </w:p>
    <w:p w14:paraId="6521756D" w14:textId="77777777" w:rsidR="001F7CC2" w:rsidRDefault="00000000">
      <w:pPr>
        <w:spacing w:after="160"/>
      </w:pPr>
      <w:r>
        <w:rPr>
          <w:i/>
        </w:rPr>
        <w:t>Achard, Gajdos Preuss &amp; Servant — “Graded Motor-Preparatory Dynamics Preserve Perceptual Decisions over Short Delays” (Journal of Neuroscience, R1)</w:t>
      </w:r>
    </w:p>
    <w:p w14:paraId="4FA2D048" w14:textId="77777777" w:rsidR="001F7CC2" w:rsidRDefault="00000000">
      <w:pPr>
        <w:spacing w:after="160"/>
      </w:pPr>
      <w:r>
        <w:rPr>
          <w:b/>
        </w:rPr>
        <w:t>DRAFT — internal working copy, not yet formatted for submission.</w:t>
      </w:r>
    </w:p>
    <w:p w14:paraId="625C274A" w14:textId="77777777" w:rsidR="001F7CC2" w:rsidRDefault="00000000">
      <w:r>
        <w:br w:type="page"/>
      </w:r>
    </w:p>
    <w:p w14:paraId="045C2CF6" w14:textId="77777777" w:rsidR="001F7CC2" w:rsidRDefault="00000000">
      <w:pPr>
        <w:pStyle w:val="Titre1"/>
      </w:pPr>
      <w:r>
        <w:lastRenderedPageBreak/>
        <w:t>Reviewer 1</w:t>
      </w:r>
    </w:p>
    <w:p w14:paraId="5F357C22" w14:textId="77777777" w:rsidR="001F7CC2" w:rsidRDefault="00000000">
      <w:pPr>
        <w:spacing w:after="80"/>
      </w:pPr>
      <w:r>
        <w:rPr>
          <w:b/>
        </w:rPr>
        <w:t>C1.1 — Slopes rather than bins.</w:t>
      </w:r>
    </w:p>
    <w:p w14:paraId="21E808FB" w14:textId="77777777" w:rsidR="001F7CC2" w:rsidRDefault="00000000">
      <w:pPr>
        <w:spacing w:after="160"/>
        <w:ind w:left="504"/>
      </w:pPr>
      <w:r>
        <w:rPr>
          <w:i/>
        </w:rPr>
        <w:t>“Although there is a nice cartoon figure for the hypotheses, the authors use a repeated measures ANOVA for their tests. I would prefer tests on the different slopes in the EMG and EEG instead of the arbitrary 0.1s bins. [...] Ln 324: ‘slope of this ramping activity’ → that is not what you ANOVA tested.”</w:t>
      </w:r>
    </w:p>
    <w:p w14:paraId="5DAD5CD9" w14:textId="77777777" w:rsidR="001F7CC2" w:rsidRDefault="00000000">
      <w:pPr>
        <w:spacing w:after="80"/>
      </w:pPr>
      <w:r>
        <w:rPr>
          <w:b/>
          <w:color w:val="1F4E9E"/>
        </w:rPr>
        <w:t xml:space="preserve">Response. </w:t>
      </w:r>
      <w:r>
        <w:rPr>
          <w:color w:val="1F4E9E"/>
        </w:rPr>
        <w:t>We agree that the earlier phrasing overstated what an omnibus ANOVA on a nineteen-degree-of-freedom time-bin factor establishes, and have gone beyond correcting the language. Linear-trend contrasts — per-participant slopes computed from the existing bin means, requiring no reprocessing of any signal — are now the primary statistics reported in the Results text for every measure and period where a trend decomposition applies (stimulus- and delay-period bins for PMA rate, MBL, and LRP), and Table 2 and Tables S2–S4 report them as primary as well. Where a period’s profile is not monotone, a quadratic contrast is reported alongside the linear one; the full decomposition for every measure and period is in Tables S2–S4, and the analysis script that produces those tables is deposited with the data. Two periods need no substitution: the response-signal period has only two time bins, so the omnibus and linear-trend tests coincide exactly, and the response period is analyzed on a single bin, so no trend decomposition applies there.</w:t>
      </w:r>
      <w:r>
        <w:rPr>
          <w:color w:val="1F4E9E"/>
        </w:rPr>
        <w:br/>
        <w:t>Two consequences of the change are worth stating explicitly rather than leaving to be discovered, and they run in opposite directions. Mu–beta lateralization’s stimulus-period coherence × time effect is significant on the omnibus test but null as a full-window linear trend (p = .596), because the measure rises over roughly the first second and then flattens; Results now says so, and an a priori first-half/second-half split (Table S5) locates the coherence-dependent trend in the first half. Conversely, mu–beta lateralization’s stimulus-period duration × time effect was not significant on the omnibus test (p = .136) but is significant as a linear trend (p = .046) — a newly significant effect created by the change of criterion. Both are flagged in the note to Table 2 and reported in full in Table S4.</w:t>
      </w:r>
      <w:r>
        <w:rPr>
          <w:color w:val="1F4E9E"/>
        </w:rPr>
        <w:br/>
        <w:t>Separately, for delay-period partial-activation rate — the one period where the theory predicts a genuine parametric ramp — we additionally estimated the log-rate slope directly from the exact onset time of each partial activation, via an unbinned, inhomogeneous-Poisson point-process analysis that removes the bin factor entirely (Table S6). Materials and Methods now explains why this unbinned analysis is restricted to the delay period, where the theory predicts a time-homogeneous intensity, and does not extend to the onset-locked (stimulus-period) rate, whose intensity is not stationary on the theory’s own terms.</w:t>
      </w:r>
      <w:r>
        <w:rPr>
          <w:color w:val="1F4E9E"/>
        </w:rPr>
        <w:br/>
        <w:t xml:space="preserve">One point of interpretation needs stating precisely, because the binned and unbinned analyses appear at first to disagree about coherence during the delay: the raw-rate slope × coherence contrast is null (p = .567), whereas the log-rate slope × coherence effect is significant (p = .038). These are tests of different quantities, and the model predicts exactly this pattern. Equation (A3) makes the log-rate slope proportional to the standardized distance from the maintained level to the gate, so a cell with a higher rate necessarily has a shallower log-rate slope. The residual coherence dependence therefore runs in the direction saturation predicts — shallower at high coherence — and not in the direction continued motion-evidence accumulation would predict, so neither test implies that accumulation is still under way during the delay. Results now states this </w:t>
      </w:r>
      <w:r>
        <w:rPr>
          <w:color w:val="1F4E9E"/>
        </w:rPr>
        <w:lastRenderedPageBreak/>
        <w:t>explicitly, and the Abstract’s delay-period claim has been made scale-specific accordingly (“no longer at a coherence-dependent build-up rate”).</w:t>
      </w:r>
    </w:p>
    <w:p w14:paraId="5ECFDE9A" w14:textId="77777777" w:rsidR="001F7CC2" w:rsidRDefault="00000000">
      <w:pPr>
        <w:spacing w:after="280"/>
      </w:pPr>
      <w:r>
        <w:rPr>
          <w:b/>
          <w:i/>
        </w:rPr>
        <w:t xml:space="preserve">Manuscript location: </w:t>
      </w:r>
      <w:r>
        <w:rPr>
          <w:i/>
        </w:rPr>
        <w:t>Materials and Methods (“Statistical Analysis”); Results, Stimulus-locked and Delay-locked subsections (trend statistics now primary); Table 2 and Tables S2–S4 (trend statistics primary there too); Table S5 (MBL first-/second-half split); Table S6 (unbinned point-process analysis); Abstract (delay-period claim).</w:t>
      </w:r>
    </w:p>
    <w:p w14:paraId="679B97C1" w14:textId="77777777" w:rsidR="001F7CC2" w:rsidRDefault="00000000">
      <w:pPr>
        <w:spacing w:after="80"/>
      </w:pPr>
      <w:r>
        <w:rPr>
          <w:b/>
        </w:rPr>
        <w:t>C1.2 — Clearer statement of the hypotheses and of what each measure does.</w:t>
      </w:r>
    </w:p>
    <w:p w14:paraId="5719B0D6" w14:textId="77777777" w:rsidR="001F7CC2" w:rsidRDefault="00000000">
      <w:pPr>
        <w:spacing w:after="160"/>
        <w:ind w:left="504"/>
      </w:pPr>
      <w:r>
        <w:rPr>
          <w:i/>
        </w:rPr>
        <w:t>“I would like a much clearer description of the hypotheses and how the different measures help unraveling. Now the EEG results are a bit of a hotch-potch.”</w:t>
      </w:r>
    </w:p>
    <w:p w14:paraId="0FA1E6E6" w14:textId="77777777" w:rsidR="001F7CC2" w:rsidRDefault="00000000">
      <w:pPr>
        <w:spacing w:after="80"/>
      </w:pPr>
      <w:r>
        <w:rPr>
          <w:b/>
          <w:color w:val="1F4E9E"/>
        </w:rPr>
        <w:t>Response. Results has since been restructured further, by analysis window rather than by measure: Behavior, then Stimulus-locked, Delay-locked, RS-locked, and Response-locked, each split into “Theoretical predictions,” “Empirical results” (PMA rate, then MBL, then LRP), and, where available, “Simulation validation.” Within every window, the model-specific predictions are stated explicitly before any data are shown, rather than after. For the delay period — the window carrying the paper’s central discriminating prediction — “Theoretical predictions” derives the two models’ predictions explicitly (Model 1: a flat log-rate slope and no systematic change in LRP or MBL; Model 2: a positive, coherence-independent ramp in all three), and “Simulation validation” (“Model 2, not Model 1, predicts the observed delay-period ramp — at the calibrated point and across the broader parameter space”) reports the discrimination both at the single calibrated point and, since a later revision, across the broader sampled parameter space (see C1.8 and C2.1).</w:t>
      </w:r>
    </w:p>
    <w:p w14:paraId="5123C146" w14:textId="77777777" w:rsidR="001F7CC2" w:rsidRDefault="00000000">
      <w:pPr>
        <w:spacing w:after="280"/>
      </w:pPr>
      <w:r>
        <w:rPr>
          <w:b/>
          <w:i/>
          <w:color w:val="1F4E9E"/>
        </w:rPr>
        <w:t>Manuscript location: Results, the five window subsections (Behavior, Stimulus-locked, Delay-locked, RS-locked, Response-locked), each split into “Theoretical predictions,” “Empirical results,” and “Simulation validation”; Delay-locked &gt; Simulation validation specifically for the model-discriminating claim.</w:t>
      </w:r>
    </w:p>
    <w:p w14:paraId="63BA6B5A" w14:textId="77777777" w:rsidR="001F7CC2" w:rsidRDefault="00000000">
      <w:pPr>
        <w:spacing w:after="80"/>
      </w:pPr>
      <w:r>
        <w:rPr>
          <w:b/>
        </w:rPr>
        <w:t>C1.3 — Muscle-activation onset procedure.</w:t>
      </w:r>
    </w:p>
    <w:p w14:paraId="01B53C22" w14:textId="77777777" w:rsidR="001F7CC2" w:rsidRDefault="00000000">
      <w:pPr>
        <w:spacing w:after="160"/>
        <w:ind w:left="504"/>
      </w:pPr>
      <w:r>
        <w:rPr>
          <w:i/>
        </w:rPr>
        <w:t>“Ln 119: please be more explicit about the EMG onset procedure. [...] p. 10, ll. 157-159: PMA should be more precisely defined. Specifically, how is it decided that a muscle activation detected by EMG does not ‘culminate in an overt response’?”</w:t>
      </w:r>
    </w:p>
    <w:p w14:paraId="20D08F10" w14:textId="77777777" w:rsidR="001F7CC2" w:rsidRDefault="00000000">
      <w:pPr>
        <w:spacing w:after="80"/>
      </w:pPr>
      <w:r>
        <w:rPr>
          <w:b/>
        </w:rPr>
        <w:t xml:space="preserve">Response. </w:t>
      </w:r>
      <w:r>
        <w:t xml:space="preserve">Materials and Methods now gives the full procedure: candidate bursts were detected at a threshold of seven baseline standard deviations on the rectified signal, with threshold-defined periods separated by less than 25 ms merged into a single candidate burst, an adaptive minimum-sample criterion applied to reject noise-driven detections, and burst boundaries refined with the integrated-profile method (Liu &amp; Liu, 2016; Santello &amp; McDonagh, 1998). We also state the procedure’s two consequences for how partial activations are counted: 27% of consecutive activation pairs in the exported event list remain separated by less than 25 ms despite the merge rule (this does not affect reported counts, since the refinement relocates but does not remove interval boundaries), and a partial muscle activation is defined as any detected interval other than the one immediately preceding the response — so 18.5% of trials contain an activation ending within 25 ms of the response-related burst, and in 9.3% of trials that activation would be absorbed </w:t>
      </w:r>
      <w:r>
        <w:lastRenderedPageBreak/>
        <w:t>into the response burst under strict application of the merge rule. We note that response-period results should be read with this possibility of segmentation in mind.</w:t>
      </w:r>
    </w:p>
    <w:p w14:paraId="7C0D20D1" w14:textId="77777777" w:rsidR="001F7CC2" w:rsidRDefault="00000000">
      <w:pPr>
        <w:spacing w:after="280"/>
      </w:pPr>
      <w:r>
        <w:rPr>
          <w:b/>
          <w:i/>
        </w:rPr>
        <w:t xml:space="preserve">Manuscript location: </w:t>
      </w:r>
      <w:r>
        <w:rPr>
          <w:i/>
          <w:color w:val="1F4E9E"/>
        </w:rPr>
        <w:t>Materials and Methods, “EMG acquisition and preprocessing” (now three paragraphs).</w:t>
      </w:r>
    </w:p>
    <w:p w14:paraId="1EB0F820" w14:textId="77777777" w:rsidR="001F7CC2" w:rsidRDefault="00000000">
      <w:pPr>
        <w:spacing w:after="80"/>
      </w:pPr>
      <w:r>
        <w:rPr>
          <w:b/>
        </w:rPr>
        <w:t>C1.4 — Coherence range used by others.</w:t>
      </w:r>
    </w:p>
    <w:p w14:paraId="062BA365" w14:textId="77777777" w:rsidR="001F7CC2" w:rsidRDefault="00000000">
      <w:pPr>
        <w:spacing w:after="160"/>
        <w:ind w:left="504"/>
      </w:pPr>
      <w:r>
        <w:rPr>
          <w:i/>
        </w:rPr>
        <w:t>“Ln 242: make explicit what range of coherences others have used.”</w:t>
      </w:r>
    </w:p>
    <w:p w14:paraId="5327FCE8" w14:textId="77777777" w:rsidR="001F7CC2" w:rsidRDefault="00000000">
      <w:pPr>
        <w:spacing w:after="80"/>
      </w:pPr>
      <w:r>
        <w:rPr>
          <w:b/>
        </w:rPr>
        <w:t xml:space="preserve">Response. </w:t>
      </w:r>
      <w:r>
        <w:t>Added as a scope condition in the Discussion: our three-level coherence range (0%, 12%, 50%) is coarser than the five- or six-level logarithmic series more commonly used to characterize psychometric and chronometric functions in random-dot-motion studies (e.g., 3.2–51.2%: Roitman &amp; Shadlen, 2002; 6.4–51.2%: Kiani et al., 2008); sufficient to establish the coherence-dependent effects reported here, though not their full functional form.</w:t>
      </w:r>
    </w:p>
    <w:p w14:paraId="401E385B" w14:textId="77777777" w:rsidR="001F7CC2" w:rsidRPr="009A3D7F" w:rsidRDefault="00000000">
      <w:pPr>
        <w:spacing w:after="280"/>
        <w:rPr>
          <w:lang w:val="fr-FR"/>
        </w:rPr>
      </w:pPr>
      <w:r w:rsidRPr="009A3D7F">
        <w:rPr>
          <w:b/>
          <w:i/>
          <w:lang w:val="fr-FR"/>
        </w:rPr>
        <w:t xml:space="preserve">Manuscript </w:t>
      </w:r>
      <w:proofErr w:type="gramStart"/>
      <w:r w:rsidRPr="009A3D7F">
        <w:rPr>
          <w:b/>
          <w:i/>
          <w:lang w:val="fr-FR"/>
        </w:rPr>
        <w:t>location:</w:t>
      </w:r>
      <w:proofErr w:type="gramEnd"/>
      <w:r w:rsidRPr="009A3D7F">
        <w:rPr>
          <w:b/>
          <w:i/>
          <w:lang w:val="fr-FR"/>
        </w:rPr>
        <w:t xml:space="preserve"> </w:t>
      </w:r>
      <w:r w:rsidRPr="009A3D7F">
        <w:rPr>
          <w:i/>
          <w:lang w:val="fr-FR"/>
        </w:rPr>
        <w:t>Discussion, scope-conditions paragraph.</w:t>
      </w:r>
    </w:p>
    <w:p w14:paraId="6264E05C" w14:textId="77777777" w:rsidR="001F7CC2" w:rsidRDefault="00000000">
      <w:pPr>
        <w:spacing w:after="80"/>
      </w:pPr>
      <w:r>
        <w:rPr>
          <w:b/>
        </w:rPr>
        <w:t>C1.5 — Error bars and individual data.</w:t>
      </w:r>
    </w:p>
    <w:p w14:paraId="53001970" w14:textId="77777777" w:rsidR="001F7CC2" w:rsidRDefault="00000000">
      <w:pPr>
        <w:spacing w:after="160"/>
        <w:ind w:left="504"/>
      </w:pPr>
      <w:r>
        <w:rPr>
          <w:i/>
        </w:rPr>
        <w:t>“Fig 3: SEM is not a good measure on data constrained between 0 and 1 [...] In modern research it is custom to also show individual participant datapoints.”</w:t>
      </w:r>
    </w:p>
    <w:p w14:paraId="45DCCCBB" w14:textId="77777777" w:rsidR="001F7CC2" w:rsidRDefault="00000000">
      <w:pPr>
        <w:spacing w:after="80"/>
      </w:pPr>
      <w:r>
        <w:rPr>
          <w:b/>
        </w:rPr>
        <w:t xml:space="preserve">Response. </w:t>
      </w:r>
      <w:r>
        <w:t>Figure 3 has been regenerated. Each participant’s data now appear as faint connected points behind the group means in all four panels. For accuracy specifically — bounded in [0,1], where a symmetric standard error is not appropriate — the interval is now a 95% percentile bootstrap interval computed on the Cousineau–Morey-normalized values (10,000 resamples over participants, Morey-scaled), which is both a within-subjects interval, comparable to the ±1 within-subjects SEM shown for RT, PMET, and MET, and asymmetric where the data approach the bounds. The figure legend describes both intervals.</w:t>
      </w:r>
    </w:p>
    <w:p w14:paraId="42A7031E" w14:textId="77777777" w:rsidR="001F7CC2" w:rsidRDefault="00000000">
      <w:pPr>
        <w:spacing w:after="280"/>
      </w:pPr>
      <w:r>
        <w:rPr>
          <w:b/>
          <w:i/>
        </w:rPr>
        <w:t xml:space="preserve">Manuscript location: </w:t>
      </w:r>
      <w:r>
        <w:rPr>
          <w:i/>
        </w:rPr>
        <w:t>Figure 3 and its legend.</w:t>
      </w:r>
    </w:p>
    <w:p w14:paraId="1C2F5FEE" w14:textId="77777777" w:rsidR="001F7CC2" w:rsidRDefault="00000000">
      <w:pPr>
        <w:spacing w:after="80"/>
      </w:pPr>
      <w:r>
        <w:rPr>
          <w:b/>
        </w:rPr>
        <w:t>C1.6 — Reminder of MET and PMET.</w:t>
      </w:r>
    </w:p>
    <w:p w14:paraId="607FF29E" w14:textId="77777777" w:rsidR="001F7CC2" w:rsidRDefault="00000000">
      <w:pPr>
        <w:spacing w:after="160"/>
        <w:ind w:left="504"/>
      </w:pPr>
      <w:r>
        <w:rPr>
          <w:i/>
        </w:rPr>
        <w:t>“Ln 308: please refer back to fig 2 to reiterate what MET and PMET are.”</w:t>
      </w:r>
    </w:p>
    <w:p w14:paraId="278B8A57" w14:textId="77777777" w:rsidR="001F7CC2" w:rsidRDefault="00000000">
      <w:pPr>
        <w:spacing w:after="80"/>
      </w:pPr>
      <w:r>
        <w:rPr>
          <w:b/>
        </w:rPr>
        <w:t xml:space="preserve">Response. </w:t>
      </w:r>
      <w:r>
        <w:t>A cross-reference to Figure 2 is given at first mention of mean PMET and MET in the Results.</w:t>
      </w:r>
    </w:p>
    <w:p w14:paraId="2F46F782" w14:textId="77777777" w:rsidR="001F7CC2" w:rsidRDefault="00000000">
      <w:pPr>
        <w:spacing w:after="280"/>
      </w:pPr>
      <w:r>
        <w:rPr>
          <w:b/>
          <w:i/>
        </w:rPr>
        <w:t xml:space="preserve">Manuscript location: </w:t>
      </w:r>
      <w:r>
        <w:rPr>
          <w:i/>
        </w:rPr>
        <w:t>Results, “Motion coherence and duration both modulate mean PMET but not mean MET” (opening sentence).</w:t>
      </w:r>
    </w:p>
    <w:p w14:paraId="50921024" w14:textId="77777777" w:rsidR="001F7CC2" w:rsidRDefault="00000000">
      <w:pPr>
        <w:spacing w:after="80"/>
      </w:pPr>
      <w:r>
        <w:rPr>
          <w:b/>
        </w:rPr>
        <w:t>C1.7 — Different delays, to show build-up.</w:t>
      </w:r>
    </w:p>
    <w:p w14:paraId="0E820DB9" w14:textId="77777777" w:rsidR="001F7CC2" w:rsidRDefault="00000000">
      <w:pPr>
        <w:spacing w:after="160"/>
        <w:ind w:left="504"/>
      </w:pPr>
      <w:r>
        <w:rPr>
          <w:i/>
        </w:rPr>
        <w:t>“Ln 485 [...] If you really want to hammer in this point, you should show build-up for different delays (even within the same trial, where the RS can come at for example 1.5 or 3.0 sec).”</w:t>
      </w:r>
    </w:p>
    <w:p w14:paraId="2E55211D" w14:textId="77777777" w:rsidR="001F7CC2" w:rsidRDefault="00000000">
      <w:pPr>
        <w:spacing w:after="80"/>
      </w:pPr>
      <w:r>
        <w:rPr>
          <w:b/>
        </w:rPr>
        <w:t xml:space="preserve">Response. </w:t>
      </w:r>
      <w:r>
        <w:t xml:space="preserve">Added as a second scope condition in the Discussion, citing a companion study (Achard et al., 2025) that directly manipulates delay length: the same delay-period build-up is </w:t>
      </w:r>
      <w:r>
        <w:lastRenderedPageBreak/>
        <w:t>preserved across 3–7 s delays when the response mapping is known in advance, but is largely absent when it is revealed only at the response signal.</w:t>
      </w:r>
    </w:p>
    <w:p w14:paraId="12E42423" w14:textId="77777777" w:rsidR="001F7CC2" w:rsidRPr="009A3D7F" w:rsidRDefault="00000000">
      <w:pPr>
        <w:spacing w:after="280"/>
        <w:rPr>
          <w:lang w:val="fr-FR"/>
        </w:rPr>
      </w:pPr>
      <w:r w:rsidRPr="009A3D7F">
        <w:rPr>
          <w:b/>
          <w:i/>
          <w:lang w:val="fr-FR"/>
        </w:rPr>
        <w:t xml:space="preserve">Manuscript </w:t>
      </w:r>
      <w:proofErr w:type="gramStart"/>
      <w:r w:rsidRPr="009A3D7F">
        <w:rPr>
          <w:b/>
          <w:i/>
          <w:lang w:val="fr-FR"/>
        </w:rPr>
        <w:t>location:</w:t>
      </w:r>
      <w:proofErr w:type="gramEnd"/>
      <w:r w:rsidRPr="009A3D7F">
        <w:rPr>
          <w:b/>
          <w:i/>
          <w:lang w:val="fr-FR"/>
        </w:rPr>
        <w:t xml:space="preserve"> </w:t>
      </w:r>
      <w:r w:rsidRPr="009A3D7F">
        <w:rPr>
          <w:i/>
          <w:lang w:val="fr-FR"/>
        </w:rPr>
        <w:t>Discussion, scope-conditions paragraph.</w:t>
      </w:r>
    </w:p>
    <w:p w14:paraId="554B1AF2" w14:textId="77777777" w:rsidR="001F7CC2" w:rsidRPr="009A3D7F" w:rsidRDefault="00000000">
      <w:pPr>
        <w:spacing w:after="280"/>
        <w:ind w:left="216"/>
        <w:rPr>
          <w:lang w:val="fr-FR"/>
        </w:rPr>
      </w:pPr>
      <w:r w:rsidRPr="009A3D7F">
        <w:rPr>
          <w:b/>
          <w:color w:val="C05000"/>
          <w:lang w:val="fr-FR"/>
        </w:rPr>
        <w:t xml:space="preserve">[NOTE INTERNE — ne pas envoyer telle quelle] </w:t>
      </w:r>
      <w:r w:rsidRPr="009A3D7F">
        <w:rPr>
          <w:color w:val="C05000"/>
          <w:lang w:val="fr-FR"/>
        </w:rPr>
        <w:t xml:space="preserve">Le point plus fin de la note (« cela fait de </w:t>
      </w:r>
      <w:r>
        <w:rPr>
          <w:color w:val="C05000"/>
        </w:rPr>
        <w:t>α</w:t>
      </w:r>
      <w:r w:rsidRPr="009A3D7F">
        <w:rPr>
          <w:color w:val="C05000"/>
          <w:lang w:val="fr-FR"/>
        </w:rPr>
        <w:t xml:space="preserve"> une fonction du délai, à énoncer comme condition de portée ») n'est pas formulé dans ces termes précis — voir « Note pour les auteurs ».</w:t>
      </w:r>
    </w:p>
    <w:p w14:paraId="3D5593A6" w14:textId="77777777" w:rsidR="001F7CC2" w:rsidRDefault="00000000">
      <w:pPr>
        <w:spacing w:after="80"/>
      </w:pPr>
      <w:r>
        <w:rPr>
          <w:b/>
        </w:rPr>
        <w:t>C1.8 — A quantitative model.</w:t>
      </w:r>
    </w:p>
    <w:p w14:paraId="170E2A10" w14:textId="77777777" w:rsidR="001F7CC2" w:rsidRDefault="00000000">
      <w:pPr>
        <w:spacing w:after="160"/>
        <w:ind w:left="504"/>
      </w:pPr>
      <w:r>
        <w:rPr>
          <w:i/>
        </w:rPr>
        <w:t>“Ln 505-506: here you hint at a quantitative model, which I believe would strengthen your data better. Now you use ANOVAs, and thus significances to rule out hypotheses that are only expressed in words or cartoons, but are never quantified based on the data.”</w:t>
      </w:r>
    </w:p>
    <w:p w14:paraId="15706ABA" w14:textId="77777777" w:rsidR="001F7CC2" w:rsidRDefault="00000000">
      <w:pPr>
        <w:spacing w:after="80"/>
      </w:pPr>
      <w:r>
        <w:rPr>
          <w:b/>
        </w:rPr>
        <w:t xml:space="preserve">Response. </w:t>
      </w:r>
      <w:r>
        <w:t>Each model is calibrated independently and on behavior alone — accuracy, mean response time, the response-time interquartile range, and the proportion of anticipatory responses, in each of the six coherence × duration cells, with no electromyographic or electroencephalographic quantity entering the calibration criterion — and then evaluated, without recalibration, on the delay-period partial-activation log-rate slope, a quantity neither calibration had seen.</w:t>
      </w:r>
      <w:r>
        <w:br/>
        <w:t>On the behavioral criterion the two models are nearly indistinguishable (total discrepancy 17.0 for Model 1 versus 14.1 for Model 2, in units of one between-participant standard error per family). We should be explicit about what that comparison does and does not establish. Model 2 is Model 1 with one additional free parameter — the temporal-preparation ramp rate, fixed at zero in Model 1 — so the two are nested and the comparison carries no complexity penalty. That makes the near-tie the conservative reading rather than a favorable one: giving the model an extra degree of freedom buys almost nothing on behavior, which is precisely why we do not rest any claim on the behavioral comparison.</w:t>
      </w:r>
      <w:r>
        <w:br/>
        <w:t>Evaluated blind on the muscle, they diverge sharply: Model 1’s predicted delay-period log-rate slopes (−0.04 to +0.06 s⁻¹ across the six cells) are indistinguishable from zero, whereas Model 2’s (+0.55 to +0.67 s⁻¹) approach the observed range (+0.66 to +1.03 s⁻¹) — an error about nine times smaller. Here too we would rather state the logic than overstate it. Model 1 contains no mechanism that can make the partial-activation rate rise during a stimulus-free delay, so its flat slopes are close to a structural entailment of its architecture rather than a surprising empirical failure. The force of the result is therefore that the design isolates a quantity only one of the two architectures can generate at all, and that the data show that quantity to be robustly non-zero — not that two comparably plausible fits were adjudicated by the muscle. Model 1 is nevertheless calibrated independently rather than evaluated at Model 2’s parameters, so the size of the gap cannot be an artifact of one model borrowing the other’s fit.</w:t>
      </w:r>
      <w:r>
        <w:br/>
        <w:t>The EEG measures enter neither calibration: the model specifies the neural drive transmitted to the response muscles, so the EMG-derived measures have explicit model counterparts, but it does not specify a forward observation model relating its motor-preparatory variables to scalp potentials or spectral amplitude, so EEG is used to assess the qualitative pattern of temporal preparation rather than to calibrate or numerically evaluate parameters.</w:t>
      </w:r>
      <w:r>
        <w:br/>
        <w:t xml:space="preserve">Finally, this discrimination is not confined to the single calibrated point: across the same broad </w:t>
      </w:r>
      <w:r>
        <w:lastRenderedPageBreak/>
        <w:t>parameter space evaluated for C2.1 below, Model 1 never produces six significantly positive delay-period log-rate slopes (0/226 task-admissible parameterizations), while Model 2 does so at 57/219 (26.0%). The asymmetry, not the percentage, is what carries the argument. Model 2 fails the criterion at three-quarters of its own admissible parameterizations, as one would expect of a sweep that screens only for task admissibility and not for any neurophysiological quantity; many admissible settings give a ramp too small to be detected at this sample size. The point is that no setting whatever of Model 1 reaches the criterion, so the observed pattern picks out a region of parameter space that only Model 2 possesses.</w:t>
      </w:r>
    </w:p>
    <w:p w14:paraId="14BB1CEB" w14:textId="77777777" w:rsidR="001F7CC2" w:rsidRDefault="00000000">
      <w:pPr>
        <w:spacing w:after="280"/>
      </w:pPr>
      <w:r>
        <w:rPr>
          <w:b/>
          <w:i/>
        </w:rPr>
        <w:t xml:space="preserve">Manuscript location: </w:t>
      </w:r>
      <w:r>
        <w:rPr>
          <w:i/>
        </w:rPr>
        <w:t>Results, “Model 2, not Model 1, predicts the observed delay-period ramp — at the calibrated point and across the broader parameter space”; Materials and Methods, “Behavioral calibration of model parameters” (new subsection, following “First-stage parameter-space evaluation of behavioral predictions”).</w:t>
      </w:r>
    </w:p>
    <w:p w14:paraId="69511173" w14:textId="77777777" w:rsidR="001F7CC2" w:rsidRDefault="00000000">
      <w:pPr>
        <w:spacing w:after="80"/>
      </w:pPr>
      <w:r>
        <w:rPr>
          <w:b/>
        </w:rPr>
        <w:t>C1.9 — Statistics in the text.</w:t>
      </w:r>
    </w:p>
    <w:p w14:paraId="66175DD0" w14:textId="77777777" w:rsidR="001F7CC2" w:rsidRDefault="00000000">
      <w:pPr>
        <w:spacing w:after="160"/>
        <w:ind w:left="504"/>
      </w:pPr>
      <w:r>
        <w:rPr>
          <w:i/>
        </w:rPr>
        <w:t>“In J Neurosci it is customary to present statistics in the results text instead of everything in a table.”</w:t>
      </w:r>
    </w:p>
    <w:p w14:paraId="2976EA20" w14:textId="77777777" w:rsidR="001F7CC2" w:rsidRDefault="00000000">
      <w:pPr>
        <w:spacing w:after="80"/>
      </w:pPr>
      <w:r>
        <w:rPr>
          <w:b/>
        </w:rPr>
        <w:t xml:space="preserve">Response. </w:t>
      </w:r>
      <w:r>
        <w:t>Exact test statistics (F, df, p, ηp²) are now reported inline in the Results text throughout, in addition to the summary tables.</w:t>
      </w:r>
    </w:p>
    <w:p w14:paraId="5200A73D" w14:textId="77777777" w:rsidR="001F7CC2" w:rsidRDefault="00000000">
      <w:pPr>
        <w:spacing w:after="280"/>
      </w:pPr>
      <w:r>
        <w:rPr>
          <w:b/>
          <w:i/>
        </w:rPr>
        <w:t xml:space="preserve">Manuscript location: </w:t>
      </w:r>
      <w:r>
        <w:rPr>
          <w:i/>
        </w:rPr>
        <w:t>Results, throughout.</w:t>
      </w:r>
    </w:p>
    <w:p w14:paraId="7E1CB249" w14:textId="77777777" w:rsidR="001F7CC2" w:rsidRDefault="00000000">
      <w:r>
        <w:br w:type="page"/>
      </w:r>
    </w:p>
    <w:p w14:paraId="2DF0A6A3" w14:textId="77777777" w:rsidR="001F7CC2" w:rsidRDefault="00000000">
      <w:pPr>
        <w:pStyle w:val="Titre1"/>
      </w:pPr>
      <w:r>
        <w:lastRenderedPageBreak/>
        <w:t>Reviewer 2</w:t>
      </w:r>
    </w:p>
    <w:p w14:paraId="04358852" w14:textId="77777777" w:rsidR="001F7CC2" w:rsidRDefault="00000000">
      <w:pPr>
        <w:spacing w:after="80"/>
      </w:pPr>
      <w:r>
        <w:rPr>
          <w:b/>
        </w:rPr>
        <w:t>C2.1 — Simulate the model; show the predictions hold across parameters.</w:t>
      </w:r>
    </w:p>
    <w:p w14:paraId="14BB61BF" w14:textId="77777777" w:rsidR="001F7CC2" w:rsidRDefault="00000000">
      <w:pPr>
        <w:spacing w:after="160"/>
        <w:ind w:left="504"/>
      </w:pPr>
      <w:r>
        <w:rPr>
          <w:i/>
        </w:rPr>
        <w:t>“the predictions in Fig. 1 are qualitative rather than quantitative and seem to be based on simple drawings of hypothetical scenarios rather than simulations of actual models. This does not hold up to the standards of the field of decision neuroscience. The authors should implement and simulate their extended model and show that the main qualitative predictions hold across a range of parameters.”</w:t>
      </w:r>
    </w:p>
    <w:p w14:paraId="73A19973" w14:textId="77777777" w:rsidR="001F7CC2" w:rsidRDefault="00000000">
      <w:pPr>
        <w:spacing w:after="80"/>
      </w:pPr>
      <w:r>
        <w:rPr>
          <w:b/>
        </w:rPr>
        <w:t xml:space="preserve">Response. </w:t>
      </w:r>
      <w:r>
        <w:rPr>
          <w:color w:val="1F4E9E"/>
        </w:rPr>
        <w:t>Figure 1 no longer schematizes the hypotheses: it now shows actual simulated single-trial and mean dynamics from the calibrated models. Both candidate models were evaluated across 250 Latin-hypercube-sampled parameter vectors spanning the free parameters of the delayed-report extension — including, since a revision of this sweep, the response criterion and residual motor latency (previously fixed to immediate-report values) and a substantially widened range for the maintenance mean-reversion rate, since the full calibration recovers values for all three several-fold away from the originally sampled region. 226/250 (90.4%) parameterizations were task-admissible for Model 1 and 219/250 (87.6%) for Model 2; among these, both directional RT predictions that motivate the framework were supported simultaneously in 88.1% and 90.0% of cases, respectively. The same sweep was also used to check, at every task-admissible parameterization, whether the delay-period log-rate slope is significantly positive in all six cells: never for Model 1 (0/226), and in 57/219 (26.0%) of cases for Model 2, generalizing the discrimination reported under C1.8 beyond the single calibrated point. As we note there, it is the asymmetry rather than the percentage that carries the argument: the sweep screens only for task admissibility, so many admissible Model-2 settings give a delay-period ramp too small to be detected at this sample size, whereas no setting whatever of Model 1 reaches the criterion. This sweep was further checked under three levels of accumulator leakage common to both accumulators (0.25, 0.50, 1.00 s⁻¹), at the same widened ranges: both directional RT predictions remained supported simultaneously in 88.9%, 88.8%, and 89.6% of task-admissible Model-1 parameterizations and in 89.5%, 90.4%, and 91.3% of task-admissible Model-2 parameterizations, closely matching the no-leakage figures above.</w:t>
      </w:r>
    </w:p>
    <w:p w14:paraId="1988D268" w14:textId="77777777" w:rsidR="001F7CC2" w:rsidRDefault="00000000">
      <w:r>
        <w:rPr>
          <w:color w:val="1F4E9E"/>
        </w:rPr>
        <w:t>As additional reassurance beyond the parameter-space evaluation above: we also swept each free parameter of the calibrated fits reported under C1.8 (×0.5, ×2, and the three leak rates already used elsewhere, holding everything else at the fitted value; 30 settings per model) and re-evaluated every directional prediction discussed in this letter. This sweep is reported here rather than in the manuscript itself, to keep the printed Appendix material within scope for this revision. The duration and coherence main effects on the response-associated channel — which reflect shared model architecture rather than temporal preparation specifically — hold at every one of the 30 settings in both models. The delay-period rate’s rise with the maintained level holds at 28 of 30 settings, equally in both models, so it constrains the architecture rather than discriminating between models; the delay-period deceleration does discriminate sharply, holding at 29 of 30 settings for Model 2 against 1 of 30 for Model 1. The one prediction that fails under this sweep is the delay-period coherence × duration interaction discussed under C1.8 and Volunteered 3 below — it holds at only 3 of 30 settings for Model 2 (1 of 30 for Model 1), precisely at the settings where model accuracy falls outside the observed range, consistent with the saturation argument given there.</w:t>
      </w:r>
    </w:p>
    <w:p w14:paraId="30FC9C66" w14:textId="77777777" w:rsidR="001F7CC2" w:rsidRDefault="00000000">
      <w:pPr>
        <w:spacing w:after="280"/>
      </w:pPr>
      <w:r>
        <w:rPr>
          <w:b/>
          <w:i/>
        </w:rPr>
        <w:lastRenderedPageBreak/>
        <w:t xml:space="preserve">Manuscript location: </w:t>
      </w:r>
      <w:r>
        <w:rPr>
          <w:i/>
        </w:rPr>
        <w:t>Figure 1; Materials and Methods, “First-stage parameter-space evaluation of behavioral predictions.” (The parameter-sweep robustness check above is reported here, for the reviewer, rather than in the manuscript.)</w:t>
      </w:r>
    </w:p>
    <w:p w14:paraId="6608CCDE" w14:textId="77777777" w:rsidR="001F7CC2" w:rsidRDefault="00000000">
      <w:pPr>
        <w:spacing w:after="80"/>
      </w:pPr>
      <w:r>
        <w:rPr>
          <w:b/>
        </w:rPr>
        <w:t>C2.2 — The specific ordering in Fig. 1.</w:t>
      </w:r>
    </w:p>
    <w:p w14:paraId="7AA85C5A" w14:textId="77777777" w:rsidR="001F7CC2" w:rsidRDefault="00000000">
      <w:pPr>
        <w:spacing w:after="160"/>
        <w:ind w:left="504"/>
      </w:pPr>
      <w:r>
        <w:rPr>
          <w:i/>
        </w:rPr>
        <w:t>“the slopes of the accumulator dynamics for the two motion coherence conditions are unknown, only their ordering can be safely assumed. Thus, it is not clear whether a long low-coherence stimulus yields a larger cumulative signal than a short high-coherence stimulus, as indicated in Fig. 1.”</w:t>
      </w:r>
    </w:p>
    <w:p w14:paraId="27EBE4A1" w14:textId="77777777" w:rsidR="001F7CC2" w:rsidRDefault="00000000">
      <w:pPr>
        <w:spacing w:after="80"/>
      </w:pPr>
      <w:r>
        <w:rPr>
          <w:b/>
        </w:rPr>
        <w:t xml:space="preserve">Response. </w:t>
      </w:r>
      <w:r>
        <w:t>Figure 1 has been replaced: it now shows the calibrated models’ actual simulated trajectories rather than a schematic ordering. But the reviewer’s point is not fully answered by replacing a drawing with a simulation, since that only relocates the assumption into one parameter vector, and we would rather give the quantitative answer directly. At the calibrated parameters the mean maintained level is 0.0702 after a long 12% stimulus and 0.0694 after a short 50% one, against an internal threshold of θ = 0.0707 — so the ordering drawn in the original Figure 1 does hold, but barely, and for an instructive reason: 99% of long 12% trials and 94% of short 50% trials reach threshold, so both are close to being pinned at θ and the ordering is nearly an equality. The right reply to the reviewer is therefore not that the ordering can be assumed, but that it is a near-tie produced by saturation of the maintained level — and that saturation is itself a testable property of the account, which the manuscript now derives (Results, Delay-locked &gt; Theoretical predictions, “Saturation bounds the coherence effect, and reverses the expected interaction”) and tests against the delay-period data, where it correctly predicts the direction of the coherence effect on PMET and RT and incorrectly predicts it for delay-period partial-activation rate (Volunteered 3 below). Nothing in the paper’s conclusions depends on the near-degenerate ordering that the reviewer questioned.</w:t>
      </w:r>
    </w:p>
    <w:p w14:paraId="1FAEB89A" w14:textId="77777777" w:rsidR="001F7CC2" w:rsidRDefault="00000000">
      <w:pPr>
        <w:spacing w:after="280"/>
      </w:pPr>
      <w:r>
        <w:rPr>
          <w:b/>
          <w:i/>
        </w:rPr>
        <w:t xml:space="preserve">Manuscript location: </w:t>
      </w:r>
      <w:r>
        <w:rPr>
          <w:i/>
        </w:rPr>
        <w:t>Figure 1 and its legend.</w:t>
      </w:r>
    </w:p>
    <w:p w14:paraId="0CECA3B2" w14:textId="77777777" w:rsidR="001F7CC2" w:rsidRPr="009A3D7F" w:rsidRDefault="00000000">
      <w:pPr>
        <w:spacing w:after="280"/>
        <w:ind w:left="216"/>
        <w:rPr>
          <w:lang w:val="fr-FR"/>
        </w:rPr>
      </w:pPr>
      <w:r w:rsidRPr="009A3D7F">
        <w:rPr>
          <w:b/>
          <w:color w:val="1F4E9E"/>
          <w:lang w:val="fr-FR"/>
        </w:rPr>
        <w:t xml:space="preserve">[NOTE INTERNE — ne pas envoyer telle quelle] </w:t>
      </w:r>
      <w:r w:rsidRPr="009A3D7F">
        <w:rPr>
          <w:color w:val="1F4E9E"/>
          <w:lang w:val="fr-FR"/>
        </w:rPr>
        <w:t xml:space="preserve">Résolu : la justification quantitative (0.0702 après un stimulus long à 12 %, 0.0694 après un stimulus court à 50 %, contre </w:t>
      </w:r>
      <w:r>
        <w:rPr>
          <w:color w:val="1F4E9E"/>
        </w:rPr>
        <w:t>θ</w:t>
      </w:r>
      <w:r w:rsidRPr="009A3D7F">
        <w:rPr>
          <w:color w:val="1F4E9E"/>
          <w:lang w:val="fr-FR"/>
        </w:rPr>
        <w:t xml:space="preserve"> = 0.0707 ; 99 % et 94 % des essais atteignent le seuil) est désormais donnée dans la réponse ci-dessus. Chiffres recalculés au point de calibration comportementale survivant (fitb_model2.json, 40 000 essais par cellule), et non repris tels quels de note4.tex, qui les donnait pour l'ancien calibrage à neuf familles.</w:t>
      </w:r>
    </w:p>
    <w:p w14:paraId="6D509C88" w14:textId="77777777" w:rsidR="001F7CC2" w:rsidRDefault="00000000">
      <w:pPr>
        <w:spacing w:after="80"/>
      </w:pPr>
      <w:r>
        <w:rPr>
          <w:b/>
        </w:rPr>
        <w:t>C2.3 — Leak.</w:t>
      </w:r>
    </w:p>
    <w:p w14:paraId="48920870" w14:textId="77777777" w:rsidR="001F7CC2" w:rsidRDefault="00000000">
      <w:pPr>
        <w:spacing w:after="160"/>
        <w:ind w:left="504"/>
      </w:pPr>
      <w:r>
        <w:rPr>
          <w:i/>
        </w:rPr>
        <w:t>“This is even more true once a non-zero leak is introduced in the integrator, as in generalized diffusion models.”</w:t>
      </w:r>
    </w:p>
    <w:p w14:paraId="255A9445" w14:textId="77777777" w:rsidR="001F7CC2" w:rsidRDefault="00000000">
      <w:pPr>
        <w:spacing w:after="80"/>
      </w:pPr>
      <w:r>
        <w:rPr>
          <w:b/>
        </w:rPr>
        <w:t xml:space="preserve">Response. </w:t>
      </w:r>
      <w:r>
        <w:rPr>
          <w:color w:val="1F4E9E"/>
        </w:rPr>
        <w:t xml:space="preserve">A robustness check with leakage common to both accumulators, at 0.25, 0.50, and 1.00 s⁻¹, is reported at the same widened parameter ranges as the main sweep (C2.1): both directional RT predictions remained supported simultaneously in 88.9–89.6% of task-admissible Model-1 parameterizations and 89.5–91.3% of task-admissible Model-2 parameterizations across the three leak rates, closely matching the no-leakage baseline (88.1%, 90.0%) — no directional </w:t>
      </w:r>
      <w:r>
        <w:rPr>
          <w:color w:val="1F4E9E"/>
        </w:rPr>
        <w:lastRenderedPageBreak/>
        <w:t>prediction changes at any tested leakage level. We also note that the architecture already contains a first-order filter between accumulator and muscle — a leak on the transmitted signal — distinct from the leak on the accumulator itself that this comment requested and that we have now added. The same three leak rates are also included in the calibrated-fit parameter sweep reported under C2.1, where this robustness holds jointly with every other free parameter varied.</w:t>
      </w:r>
    </w:p>
    <w:p w14:paraId="1EF6DDE8" w14:textId="77777777" w:rsidR="001F7CC2" w:rsidRDefault="00000000">
      <w:pPr>
        <w:spacing w:after="280"/>
      </w:pPr>
      <w:r>
        <w:rPr>
          <w:b/>
          <w:i/>
        </w:rPr>
        <w:t xml:space="preserve">Manuscript location: </w:t>
      </w:r>
      <w:r>
        <w:rPr>
          <w:i/>
        </w:rPr>
        <w:t>Materials and Methods, robustness-check paragraph (following “First-stage parameter-space evaluation”).</w:t>
      </w:r>
    </w:p>
    <w:p w14:paraId="7FABC1A7" w14:textId="77777777" w:rsidR="001F7CC2" w:rsidRDefault="00000000">
      <w:pPr>
        <w:spacing w:after="80"/>
      </w:pPr>
      <w:r>
        <w:rPr>
          <w:b/>
        </w:rPr>
        <w:t>C2.4 — What is accumulated in the second phase.</w:t>
      </w:r>
    </w:p>
    <w:p w14:paraId="7B312298" w14:textId="77777777" w:rsidR="001F7CC2" w:rsidRDefault="00000000">
      <w:pPr>
        <w:spacing w:after="160"/>
        <w:ind w:left="504"/>
      </w:pPr>
      <w:r>
        <w:rPr>
          <w:i/>
        </w:rPr>
        <w:t>“the response signal is unambiguous and presented at fixation, leaving no sensory evidence to be accumulated before it can be detected even in the presence of strong internal noise. This aspect should be unpacked.”</w:t>
      </w:r>
    </w:p>
    <w:p w14:paraId="270915E2" w14:textId="77777777" w:rsidR="001F7CC2" w:rsidRDefault="00000000">
      <w:pPr>
        <w:spacing w:after="80"/>
      </w:pPr>
      <w:r>
        <w:rPr>
          <w:b/>
        </w:rPr>
        <w:t xml:space="preserve">Response. </w:t>
      </w:r>
      <w:r>
        <w:t>We considered renaming this stage but have kept “second accumulation phase.” The reviewer is right that the response signal itself carries no directional evidence to resolve, but we intend the second phase as accumulation of the perceptual evidence that the signal is present and has been detected — a well-established construct in the one-choice/detection literature (e.g., Ratcliff &amp; Van Dongen, 2011; Smith, 1995), and distinct from the motion-discrimination accumulation of the first phase. The model uses exactly two properties of this stage: the drive is condition-independent, which places all condition effects on PMET into the starting point, and its increments are independent, which is what makes MET invariant across conditions. Nothing in the model or the fit depends on the signal carrying directional evidence, so the reviewer’s objection bears on the name we gave this stage, not on the mechanism itself, which would be unchanged under any label.</w:t>
      </w:r>
    </w:p>
    <w:p w14:paraId="229951E6" w14:textId="77777777" w:rsidR="001F7CC2" w:rsidRDefault="00000000">
      <w:pPr>
        <w:spacing w:after="280"/>
      </w:pPr>
      <w:r>
        <w:rPr>
          <w:b/>
          <w:i/>
        </w:rPr>
        <w:t xml:space="preserve">Manuscript location: </w:t>
      </w:r>
      <w:r>
        <w:rPr>
          <w:i/>
        </w:rPr>
        <w:t>Introduction; Materials and Methods, model description (response-signal accumulator).</w:t>
      </w:r>
    </w:p>
    <w:p w14:paraId="6EE7B360" w14:textId="77777777" w:rsidR="001F7CC2" w:rsidRPr="009A3D7F" w:rsidRDefault="00000000">
      <w:pPr>
        <w:spacing w:after="280"/>
        <w:ind w:left="216"/>
        <w:rPr>
          <w:lang w:val="fr-FR"/>
        </w:rPr>
      </w:pPr>
      <w:r w:rsidRPr="009A3D7F">
        <w:rPr>
          <w:b/>
          <w:color w:val="C05000"/>
          <w:lang w:val="fr-FR"/>
        </w:rPr>
        <w:t xml:space="preserve">[NOTE INTERNE — ne pas envoyer telle quelle] </w:t>
      </w:r>
      <w:r w:rsidRPr="009A3D7F">
        <w:rPr>
          <w:color w:val="C05000"/>
          <w:lang w:val="fr-FR"/>
        </w:rPr>
        <w:t>Décision explicite de l'utilisateur de NE PAS renommer — la réponse ci-dessus défend la formulation actuelle. À relire pour vérifier que l'argumentaire vous convient avant envoi.</w:t>
      </w:r>
    </w:p>
    <w:p w14:paraId="49D96D60" w14:textId="77777777" w:rsidR="001F7CC2" w:rsidRDefault="00000000">
      <w:pPr>
        <w:spacing w:after="80"/>
      </w:pPr>
      <w:r>
        <w:rPr>
          <w:b/>
        </w:rPr>
        <w:t>C2.5 — Scholarship: motor and premotor circuits.</w:t>
      </w:r>
    </w:p>
    <w:p w14:paraId="3545CD53" w14:textId="77777777" w:rsidR="001F7CC2" w:rsidRDefault="00000000">
      <w:pPr>
        <w:spacing w:after="160"/>
        <w:ind w:left="504"/>
      </w:pPr>
      <w:r>
        <w:rPr>
          <w:i/>
        </w:rPr>
        <w:t>“studies from the lab of Karel Svoboda have consistently identified a ‘ramping mode’ of non-selective drive of mouse (pre)motor cortex [...] both the Svoboda work in mice as well as work in monkey indicate that effector-selective motor preparatory activity and activity driving motor execution ‘live’ in different subspaces.”</w:t>
      </w:r>
    </w:p>
    <w:p w14:paraId="51E2ADA3" w14:textId="77777777" w:rsidR="001F7CC2" w:rsidRDefault="00000000">
      <w:pPr>
        <w:spacing w:after="80"/>
      </w:pPr>
      <w:r>
        <w:rPr>
          <w:b/>
        </w:rPr>
        <w:t xml:space="preserve">Response. </w:t>
      </w:r>
      <w:r>
        <w:t xml:space="preserve">The Introduction already related the model’s architecture to this literature: a selective maintained level that carries the choice and does not by itself trigger movement, and a non-selective drive released at the response signal — corresponding, respectively, to the non-selective ramping mode reported in mouse motor circuits and to the output-null/output-potent subspace separation described in primate motor cortex (Inagaki et al., 2022; Churchland &amp; Shenoy, 2024). We have now added a sentence in the Discussion making this correspondence explicit at the point where the EMG evidence for it is presented: the effector-selective PMAs sustained through the </w:t>
      </w:r>
      <w:r>
        <w:lastRenderedPageBreak/>
        <w:t>delay, followed by a non-selective, response-signal-triggered drive to response, are the empirical counterpart of that architecture.</w:t>
      </w:r>
    </w:p>
    <w:p w14:paraId="002C20CF" w14:textId="77777777" w:rsidR="001F7CC2" w:rsidRDefault="00000000">
      <w:pPr>
        <w:spacing w:after="280"/>
      </w:pPr>
      <w:r>
        <w:rPr>
          <w:b/>
          <w:i/>
        </w:rPr>
        <w:t xml:space="preserve">Manuscript location: </w:t>
      </w:r>
      <w:r>
        <w:rPr>
          <w:i/>
        </w:rPr>
        <w:t>Introduction (model-architecture paragraph); Discussion (PMA-architecture paragraph).</w:t>
      </w:r>
    </w:p>
    <w:p w14:paraId="37F34977" w14:textId="77777777" w:rsidR="001F7CC2" w:rsidRDefault="00000000">
      <w:pPr>
        <w:spacing w:after="80"/>
      </w:pPr>
      <w:r>
        <w:rPr>
          <w:b/>
        </w:rPr>
        <w:t>C2.6 — Writing: abbreviations and placement of the reasoning.</w:t>
      </w:r>
    </w:p>
    <w:p w14:paraId="0B5630C7" w14:textId="77777777" w:rsidR="001F7CC2" w:rsidRDefault="00000000">
      <w:pPr>
        <w:spacing w:after="160"/>
        <w:ind w:left="504"/>
      </w:pPr>
      <w:r>
        <w:rPr>
          <w:i/>
        </w:rPr>
        <w:t>“the text contains a large number of abbreviations, many of which are non-standard [...] much of the key reasoning underlying the hypotheses is folded into the EMG part of the Methods section.”</w:t>
      </w:r>
    </w:p>
    <w:p w14:paraId="0499FC4B" w14:textId="77777777" w:rsidR="001F7CC2" w:rsidRDefault="00000000">
      <w:pPr>
        <w:spacing w:after="80"/>
      </w:pPr>
      <w:r>
        <w:rPr>
          <w:b/>
        </w:rPr>
        <w:t xml:space="preserve">Response. </w:t>
      </w:r>
      <w:r>
        <w:t>We have defined every heavily used abbreviation (RS, PMA, LRP, MBL) at its true first occurrence in the running text; several had previously been used well before being spelled out, including PMA, which was not introduced as an abbreviation anywhere in the body text despite being used from its first Results subheading onward. We have not removed these abbreviations, since RS, PMA, PMET, MET, MBL, and LRP each occur between 13 and 94 times and are standard shorthand in this literature; spelling them out throughout would add length without adding clarity. On placement of the reasoning: we have added a sentence at the start of the PMA-rate Results subsection that restates, at the point the reader needs it, the theoretical justification for treating PMA rate as a readout of the motor-preparatory signal (previously stated only in Methods).</w:t>
      </w:r>
    </w:p>
    <w:p w14:paraId="22706CFD" w14:textId="77777777" w:rsidR="001F7CC2" w:rsidRDefault="00000000">
      <w:pPr>
        <w:spacing w:after="280"/>
      </w:pPr>
      <w:r>
        <w:rPr>
          <w:b/>
          <w:i/>
          <w:color w:val="1F4E9E"/>
        </w:rPr>
        <w:t>Manuscript location: Introduction (“a response-signal (RS) variant”); Materials and Methods, “EMG-derived measures” (“Partial muscle activations (PMAs)”) and “Measurement of motor preparation EEG signals” (“(LRP)” and “(MBL)”).</w:t>
      </w:r>
    </w:p>
    <w:p w14:paraId="4E11F209" w14:textId="77777777" w:rsidR="001F7CC2" w:rsidRDefault="00000000">
      <w:pPr>
        <w:spacing w:after="280"/>
        <w:ind w:left="216"/>
      </w:pPr>
      <w:r w:rsidRPr="009A3D7F">
        <w:rPr>
          <w:b/>
          <w:color w:val="C05000"/>
          <w:lang w:val="fr-FR"/>
        </w:rPr>
        <w:t xml:space="preserve">[NOTE INTERNE — ne pas envoyer telle quelle] </w:t>
      </w:r>
      <w:r w:rsidRPr="009A3D7F">
        <w:rPr>
          <w:color w:val="C05000"/>
          <w:lang w:val="fr-FR"/>
        </w:rPr>
        <w:t xml:space="preserve">Traitement partiel — le déplacement complet de la dérivation des prédictions vers les Résultats, suggéré par la note, n'a pas été fait. </w:t>
      </w:r>
      <w:r>
        <w:rPr>
          <w:color w:val="C05000"/>
        </w:rPr>
        <w:t>Voir « Note pour les auteurs ».</w:t>
      </w:r>
    </w:p>
    <w:p w14:paraId="217F3217" w14:textId="77777777" w:rsidR="001F7CC2" w:rsidRDefault="00000000">
      <w:pPr>
        <w:spacing w:after="80"/>
      </w:pPr>
      <w:r>
        <w:rPr>
          <w:b/>
        </w:rPr>
        <w:t>C2.7 — Broader evidence on selective motor preparation.</w:t>
      </w:r>
    </w:p>
    <w:p w14:paraId="27B168A2" w14:textId="77777777" w:rsidR="001F7CC2" w:rsidRDefault="00000000">
      <w:pPr>
        <w:spacing w:after="160"/>
        <w:ind w:left="504"/>
      </w:pPr>
      <w:r>
        <w:rPr>
          <w:i/>
        </w:rPr>
        <w:t>“p. 21, l. 418 [...] I suggest to extend it by also incorporating the accumulation of sensory evidence in other formats and to animal work.”</w:t>
      </w:r>
    </w:p>
    <w:p w14:paraId="5C07E53E" w14:textId="77777777" w:rsidR="001F7CC2" w:rsidRDefault="00000000">
      <w:pPr>
        <w:spacing w:after="80"/>
      </w:pPr>
      <w:r>
        <w:rPr>
          <w:b/>
        </w:rPr>
        <w:t xml:space="preserve">Response. </w:t>
      </w:r>
      <w:r>
        <w:t>We have added a citation to non-human-primate reaching decisions alongside the existing citations for evidence accumulation at the motor-preparatory level (Cisek &amp; Kalaska, 2005).</w:t>
      </w:r>
    </w:p>
    <w:p w14:paraId="35F265EC" w14:textId="77777777" w:rsidR="001F7CC2" w:rsidRPr="009A3D7F" w:rsidRDefault="00000000">
      <w:pPr>
        <w:spacing w:after="280"/>
        <w:rPr>
          <w:lang w:val="fr-FR"/>
        </w:rPr>
      </w:pPr>
      <w:r w:rsidRPr="009A3D7F">
        <w:rPr>
          <w:b/>
          <w:i/>
          <w:lang w:val="fr-FR"/>
        </w:rPr>
        <w:t xml:space="preserve">Manuscript </w:t>
      </w:r>
      <w:proofErr w:type="gramStart"/>
      <w:r w:rsidRPr="009A3D7F">
        <w:rPr>
          <w:b/>
          <w:i/>
          <w:lang w:val="fr-FR"/>
        </w:rPr>
        <w:t>location:</w:t>
      </w:r>
      <w:proofErr w:type="gramEnd"/>
      <w:r w:rsidRPr="009A3D7F">
        <w:rPr>
          <w:b/>
          <w:i/>
          <w:lang w:val="fr-FR"/>
        </w:rPr>
        <w:t xml:space="preserve"> </w:t>
      </w:r>
      <w:r w:rsidRPr="009A3D7F">
        <w:rPr>
          <w:i/>
          <w:lang w:val="fr-FR"/>
        </w:rPr>
        <w:t>Discussion, PMA-architecture paragraph.</w:t>
      </w:r>
    </w:p>
    <w:p w14:paraId="2F3CE5E1" w14:textId="77777777" w:rsidR="001F7CC2" w:rsidRDefault="00000000">
      <w:pPr>
        <w:spacing w:after="280"/>
        <w:ind w:left="216"/>
      </w:pPr>
      <w:r w:rsidRPr="009A3D7F">
        <w:rPr>
          <w:b/>
          <w:color w:val="C05000"/>
          <w:lang w:val="fr-FR"/>
        </w:rPr>
        <w:t xml:space="preserve">[NOTE INTERNE — ne pas envoyer telle quelle] </w:t>
      </w:r>
      <w:r w:rsidRPr="009A3D7F">
        <w:rPr>
          <w:color w:val="C05000"/>
          <w:lang w:val="fr-FR"/>
        </w:rPr>
        <w:t xml:space="preserve">Traitement partiel — seul le volet « animal work » est couvert. Le volet « autres formats sensoriels » (accumulation de preuves auditives, tactiles, etc.) n'est PAS traité. </w:t>
      </w:r>
      <w:r>
        <w:rPr>
          <w:color w:val="C05000"/>
        </w:rPr>
        <w:t>Voir « Note pour les auteurs ».</w:t>
      </w:r>
    </w:p>
    <w:p w14:paraId="4E4BA5BB" w14:textId="77777777" w:rsidR="001F7CC2" w:rsidRDefault="00000000">
      <w:r>
        <w:br w:type="page"/>
      </w:r>
    </w:p>
    <w:p w14:paraId="4721CB3A" w14:textId="77777777" w:rsidR="001F7CC2" w:rsidRDefault="00000000">
      <w:pPr>
        <w:pStyle w:val="Titre1"/>
      </w:pPr>
      <w:r>
        <w:lastRenderedPageBreak/>
        <w:t>Editorial Note</w:t>
      </w:r>
    </w:p>
    <w:p w14:paraId="767E572B" w14:textId="77777777" w:rsidR="001F7CC2" w:rsidRDefault="00000000">
      <w:pPr>
        <w:spacing w:after="80"/>
      </w:pPr>
      <w:r>
        <w:rPr>
          <w:b/>
        </w:rPr>
        <w:t>Editorial note.</w:t>
      </w:r>
    </w:p>
    <w:p w14:paraId="67E30A6C" w14:textId="77777777" w:rsidR="001F7CC2" w:rsidRDefault="00000000">
      <w:pPr>
        <w:spacing w:after="160"/>
        <w:ind w:left="504"/>
      </w:pPr>
      <w:r>
        <w:rPr>
          <w:i/>
        </w:rPr>
        <w:t>“in framing the dynamic regulation of action during working memory and decision making, the authors may also wish to consider other work by van Ede.”</w:t>
      </w:r>
    </w:p>
    <w:p w14:paraId="0C13D08B" w14:textId="77777777" w:rsidR="001F7CC2" w:rsidRDefault="00000000">
      <w:pPr>
        <w:spacing w:after="80"/>
      </w:pPr>
      <w:r>
        <w:rPr>
          <w:b/>
        </w:rPr>
        <w:t xml:space="preserve">Response. </w:t>
      </w:r>
      <w:r>
        <w:t>Added a citation to van Ede &amp; Nobre (2023) in the Introduction, in the context of accounts of working memory as action-oriented.</w:t>
      </w:r>
    </w:p>
    <w:p w14:paraId="6F3408E9" w14:textId="77777777" w:rsidR="001F7CC2" w:rsidRDefault="00000000">
      <w:pPr>
        <w:spacing w:after="280"/>
      </w:pPr>
      <w:r>
        <w:rPr>
          <w:b/>
          <w:i/>
        </w:rPr>
        <w:t xml:space="preserve">Manuscript location: </w:t>
      </w:r>
      <w:r>
        <w:rPr>
          <w:i/>
        </w:rPr>
        <w:t>Introduction, model-architecture paragraph.</w:t>
      </w:r>
    </w:p>
    <w:p w14:paraId="3A46B720" w14:textId="77777777" w:rsidR="001F7CC2" w:rsidRDefault="00000000">
      <w:r>
        <w:br w:type="page"/>
      </w:r>
    </w:p>
    <w:p w14:paraId="45EC106E" w14:textId="77777777" w:rsidR="001F7CC2" w:rsidRDefault="00000000">
      <w:pPr>
        <w:pStyle w:val="Titre1"/>
      </w:pPr>
      <w:r>
        <w:lastRenderedPageBreak/>
        <w:t>Additional changes made on our own initiative</w:t>
      </w:r>
    </w:p>
    <w:p w14:paraId="0C3F2295" w14:textId="77777777" w:rsidR="001F7CC2" w:rsidRDefault="00000000">
      <w:pPr>
        <w:spacing w:after="160"/>
      </w:pPr>
      <w:r>
        <w:t>In preparing this revision we identified four further issues in the original submission, none of which either reviewer raised, but which we think are better disclosed here than left for a reader to discover independently — the data and analysis code are public.</w:t>
      </w:r>
    </w:p>
    <w:p w14:paraId="6D1E60B4" w14:textId="77777777" w:rsidR="001F7CC2" w:rsidRDefault="00000000">
      <w:pPr>
        <w:spacing w:after="80"/>
      </w:pPr>
      <w:r>
        <w:rPr>
          <w:b/>
        </w:rPr>
        <w:t>Volunteered 1 — an unremarked significant effect.</w:t>
      </w:r>
    </w:p>
    <w:p w14:paraId="4170CA88" w14:textId="77777777" w:rsidR="001F7CC2" w:rsidRDefault="00000000">
      <w:pPr>
        <w:spacing w:after="80"/>
      </w:pPr>
      <w:r>
        <w:rPr>
          <w:b/>
        </w:rPr>
        <w:t xml:space="preserve">Response. </w:t>
      </w:r>
      <w:r>
        <w:t>The main effect of duration on onset-locked (stimulus-period) partial-activation rate was significant with a large effect size and appeared in the summary tables, but no sentence of the original Results or Discussion referred to it. We have added a sentence reporting it; the theory explains it with no additional assumption, as the average counterpart of the duration × time interaction already discussed.</w:t>
      </w:r>
    </w:p>
    <w:p w14:paraId="1F16A7E3" w14:textId="77777777" w:rsidR="001F7CC2" w:rsidRDefault="00000000">
      <w:pPr>
        <w:spacing w:after="280"/>
      </w:pPr>
      <w:r>
        <w:rPr>
          <w:b/>
          <w:i/>
        </w:rPr>
        <w:t xml:space="preserve">Manuscript location: </w:t>
      </w:r>
      <w:r>
        <w:rPr>
          <w:i/>
        </w:rPr>
        <w:t>Results, PMA-rate stimulus-period paragraph.</w:t>
      </w:r>
    </w:p>
    <w:p w14:paraId="43337932" w14:textId="77777777" w:rsidR="001F7CC2" w:rsidRDefault="00000000">
      <w:pPr>
        <w:spacing w:after="80"/>
      </w:pPr>
      <w:r>
        <w:rPr>
          <w:b/>
        </w:rPr>
        <w:t>Volunteered 2 — a two-phase mu-beta lateralization buildup.</w:t>
      </w:r>
    </w:p>
    <w:p w14:paraId="28BD42D1" w14:textId="77777777" w:rsidR="001F7CC2" w:rsidRDefault="00000000">
      <w:pPr>
        <w:spacing w:after="80"/>
      </w:pPr>
      <w:r>
        <w:rPr>
          <w:b/>
        </w:rPr>
        <w:t xml:space="preserve">Response. </w:t>
      </w:r>
      <w:r>
        <w:t>As originally written, the claim that mu-beta lateralization shows a coherence-dependent buildup rate across the whole stimulus period was not fully accurate: the coherence-dependent trend is present only in approximately the first second of stimulation and is extinguished thereafter, as coherence-dependent trajectories converge on a common sustained level. We have restated the finding in two phases and added a split-half analysis confirming the pattern directly; this is evidence for accumulation toward an internal threshold, not against it.</w:t>
      </w:r>
    </w:p>
    <w:p w14:paraId="7FB9029F" w14:textId="77777777" w:rsidR="001F7CC2" w:rsidRDefault="00000000">
      <w:pPr>
        <w:spacing w:after="280"/>
      </w:pPr>
      <w:r>
        <w:rPr>
          <w:b/>
          <w:i/>
        </w:rPr>
        <w:t xml:space="preserve">Manuscript location: </w:t>
      </w:r>
      <w:r>
        <w:rPr>
          <w:i/>
        </w:rPr>
        <w:t>Results, MBL stimulus-period paragraph; Table S4; Table S5.</w:t>
      </w:r>
    </w:p>
    <w:p w14:paraId="77A67E87" w14:textId="77777777" w:rsidR="001F7CC2" w:rsidRDefault="00000000">
      <w:pPr>
        <w:spacing w:after="80"/>
      </w:pPr>
      <w:r>
        <w:rPr>
          <w:b/>
        </w:rPr>
        <w:t>Volunteered 3 — resolving a direction-of-effect tension.</w:t>
      </w:r>
    </w:p>
    <w:p w14:paraId="4950E91E" w14:textId="77777777" w:rsidR="001F7CC2" w:rsidRDefault="00000000">
      <w:pPr>
        <w:spacing w:after="80"/>
      </w:pPr>
      <w:r>
        <w:rPr>
          <w:b/>
        </w:rPr>
        <w:t xml:space="preserve">Response. </w:t>
      </w:r>
      <w:r>
        <w:t>The original submission’s Results and Discussion implicitly relied on two arguments that predict opposite directions for the same underlying quantity: coherence-related differences in the maintained level were said to shrink after a long stimulus (Results, for PMET and RT) and to grow after a long stimulus (Discussion, for delay-period PMA rate). The calibrated model resolves this: at every tested parameter setting compatible with observed accuracy, the coherence effect on delay-period PMA rate shrinks, not grows, after a long stimulus — the same direction as PMET and RT. We therefore now report the observed coherence × duration interaction on delay-period PMA rate as a genuine, unresolved disagreement between the model and the data, rather than as convergent evidence for the account.</w:t>
      </w:r>
    </w:p>
    <w:p w14:paraId="400C0947" w14:textId="77777777" w:rsidR="001F7CC2" w:rsidRDefault="00000000">
      <w:pPr>
        <w:spacing w:after="280"/>
      </w:pPr>
      <w:r>
        <w:rPr>
          <w:b/>
          <w:i/>
          <w:color w:val="1F4E9E"/>
        </w:rPr>
        <w:t>Manuscript location: Results, Delay-locked &gt; Theoretical predictions (“Saturation bounds the coherence effect, and reverses the expected interaction” — the argument was moved here from Appendix A in the 2026-08-24 Results restructuring, which left Appendix A to the closed-form derivation alone); Discussion, PMA-dynamics paragraphs.</w:t>
      </w:r>
    </w:p>
    <w:p w14:paraId="28CCB96B" w14:textId="77777777" w:rsidR="001F7CC2" w:rsidRDefault="00000000">
      <w:r>
        <w:rPr>
          <w:b/>
        </w:rPr>
        <w:t>Volunteered 4 — a post-submission correction to two exported data files.</w:t>
      </w:r>
    </w:p>
    <w:p w14:paraId="50F2026E" w14:textId="77777777" w:rsidR="001F7CC2" w:rsidRDefault="00000000">
      <w:r>
        <w:rPr>
          <w:b/>
        </w:rPr>
        <w:t xml:space="preserve">Response. </w:t>
      </w:r>
      <w:r>
        <w:t xml:space="preserve">After the original submission we found an error in the two exported electromyographic data files used for the response-signal and response periods, and all results reported for those periods reflect corrected exports. The error was in the export step, not in the recorded data or in the activation-detection procedure. Both files had been written with a 0.3-s </w:t>
      </w:r>
      <w:r>
        <w:lastRenderedPageBreak/>
        <w:t>window rather than the 0.2-s window specified in Materials and Methods, so each contained three 0.1-s bins per cell instead of two; and in the response-locked file the bins were referenced to the onset of the response-producing muscle burst rather than to the button press. The two bins actually analyzed in the original submission were consequently the second and third of those three, that is the interval from roughly 0.4 to 0.2 s before muscle-activation onset, rather than the 0.2 s immediately preceding the button press. The response-signal period was affected only by the window length and its results are essentially unchanged; the response period was affected by both, and its numbers change.</w:t>
      </w:r>
      <w:r>
        <w:br/>
        <w:t>The consequence for the response period is that the main effect of duration on partial-activation rate, null as originally analyzed (F(1,21) = 0.011, p = .919), is significant in the corrected export (F(1,21) = 7.61, p = .012, ηp² = 0.266), in the same direction as the response-signal period. A second consequence is structural rather than numerical, and explains why the manuscript now analyzes this period on one bin rather than two. Once the bins are correctly referenced to the button press, the final bin (−0.1 to 0 s) is exactly zero for every participant and every condition, and necessarily so: a partial muscle activation is by definition an activation preceding the response-producing burst, and that burst begins on average about 160 ms before the press. The manuscript states this as the structural fact it is, without recounting the correction; we describe the correction here so that a reader who re-runs the analysis from the originally deposited export, and obtains F = 0.011, can see why. No other period or dependent measure was affected, and the corrected exports replace the originals in the archive deposited with the paper.</w:t>
      </w:r>
    </w:p>
    <w:p w14:paraId="6F541784" w14:textId="77777777" w:rsidR="001F7CC2" w:rsidRDefault="00000000">
      <w:r>
        <w:rPr>
          <w:b/>
          <w:i/>
        </w:rPr>
        <w:t xml:space="preserve">Manuscript location: </w:t>
      </w:r>
      <w:r>
        <w:rPr>
          <w:i/>
        </w:rPr>
        <w:t>Results, Response-locked &gt; Empirical results &gt; PMA rate; Materials and Methods, Statistical Analysis (final paragraph, the structurally empty final bin). The correction itself is documented here rather than in the manuscript.</w:t>
      </w:r>
    </w:p>
    <w:p w14:paraId="08170FD4" w14:textId="77777777" w:rsidR="001F7CC2" w:rsidRPr="009A3D7F" w:rsidRDefault="00000000">
      <w:pPr>
        <w:spacing w:after="280"/>
        <w:ind w:left="216"/>
        <w:rPr>
          <w:lang w:val="fr-FR"/>
        </w:rPr>
      </w:pPr>
      <w:r w:rsidRPr="009A3D7F">
        <w:rPr>
          <w:b/>
          <w:color w:val="C05000"/>
          <w:lang w:val="fr-FR"/>
        </w:rPr>
        <w:t xml:space="preserve">[NOTE INTERNE — ne pas envoyer telle quelle] </w:t>
      </w:r>
      <w:r w:rsidRPr="009A3D7F">
        <w:rPr>
          <w:color w:val="C05000"/>
          <w:lang w:val="fr-FR"/>
        </w:rPr>
        <w:t>Vérifier avant envoi que l'archive OSF a bien été mise à jour avec les exports corrigés du 19/08 (PMA_rate_resp_JASP.csv et PMA_rate_rs_JASP.csv) : la phrase ci-dessus l'affirme au rapporteur. Sur le Mac, les fichiers du 05/08 sont conservés dans data/86cbw-osfstorage-archive/analysis_PMA/data/_superseded_aug5/.</w:t>
      </w:r>
    </w:p>
    <w:sectPr w:rsidR="001F7CC2" w:rsidRPr="009A3D7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12881511">
    <w:abstractNumId w:val="8"/>
  </w:num>
  <w:num w:numId="2" w16cid:durableId="813448170">
    <w:abstractNumId w:val="6"/>
  </w:num>
  <w:num w:numId="3" w16cid:durableId="121460874">
    <w:abstractNumId w:val="5"/>
  </w:num>
  <w:num w:numId="4" w16cid:durableId="862858875">
    <w:abstractNumId w:val="4"/>
  </w:num>
  <w:num w:numId="5" w16cid:durableId="1885290319">
    <w:abstractNumId w:val="7"/>
  </w:num>
  <w:num w:numId="6" w16cid:durableId="475608565">
    <w:abstractNumId w:val="3"/>
  </w:num>
  <w:num w:numId="7" w16cid:durableId="74984906">
    <w:abstractNumId w:val="2"/>
  </w:num>
  <w:num w:numId="8" w16cid:durableId="1598250837">
    <w:abstractNumId w:val="1"/>
  </w:num>
  <w:num w:numId="9" w16cid:durableId="14819217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7CC2"/>
    <w:rsid w:val="0029639D"/>
    <w:rsid w:val="00326F90"/>
    <w:rsid w:val="003A3AF0"/>
    <w:rsid w:val="009A3D7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905D5C"/>
  <w14:defaultImageDpi w14:val="300"/>
  <w15:docId w15:val="{FF26DA0B-BA82-5E4B-8B1A-8C67AF4A4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5128</Words>
  <Characters>28207</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GAJDOS PREUSS Thibault</cp:lastModifiedBy>
  <cp:revision>2</cp:revision>
  <dcterms:created xsi:type="dcterms:W3CDTF">2026-08-26T21:35:00Z</dcterms:created>
  <dcterms:modified xsi:type="dcterms:W3CDTF">2026-08-26T21:35:00Z</dcterms:modified>
  <cp:category/>
</cp:coreProperties>
</file>