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spacing w:after="160"/>
      </w:pPr>
      <w:r>
        <w:rPr>
          <w:b w:val="0"/>
          <w:i/>
        </w:rPr>
        <w:t>Achard, Gajdos Preuss &amp; Servant — “Graded Motor-Preparatory Dynamics Preserve Perceptual Decisions over Short Delays” (Journal of Neuroscience, R1)</w:t>
      </w:r>
    </w:p>
    <w:p>
      <w:pPr>
        <w:spacing w:after="160"/>
      </w:pPr>
      <w:r>
        <w:rPr>
          <w:b/>
          <w:i w:val="0"/>
        </w:rPr>
        <w:t>DRAFT — internal working copy, not yet formatted for submission.</w:t>
      </w:r>
    </w:p>
    <w:p>
      <w:pPr>
        <w:pStyle w:val="Heading1"/>
      </w:pPr>
      <w:r>
        <w:t>Note pour les auteurs — à lire avant envoi</w:t>
      </w:r>
    </w:p>
    <w:p>
      <w:r>
        <w:rPr>
          <w:color w:val="1F4E9E"/>
        </w:rPr>
        <w:t>Ce document est un brouillon complet de la lettre de réponse, point par point, construit à partir de la section « Point-by-point response to the reviews » de note4.tex, croisée avec ce qui a effectivement été intégré dans le manuscrit au fil des passes 1 à 7. Chaque réponse ci-dessous est rédigée comme si elle allait être envoyée aux rapporteurs. Les points suivants ne sont PAS pleinement traités et méritent une décision avant l'envoi — ils sont aussi repérés en couleur directement à l'endroit concerné dans la lettre (« NOTE INTERNE »).</w:t>
      </w:r>
    </w:p>
    <w:p>
      <w:pPr>
        <w:pStyle w:val="ListBullet"/>
      </w:pPr>
      <w:r>
        <w:rPr>
          <w:b/>
          <w:i w:val="0"/>
          <w:color w:val="1F4E9E"/>
        </w:rPr>
        <w:t xml:space="preserve">C1.2 (organisation des Résultats) — </w:t>
      </w:r>
      <w:r>
        <w:rPr>
          <w:b w:val="0"/>
          <w:i w:val="0"/>
          <w:color w:val="1F4E9E"/>
        </w:rPr>
        <w:t>Traité depuis. La section Résultats a été entièrement réorganisée par fenêtre d’analyse (Behavior, Stimulus-locked, Delay-locked, RS-locked, Response-locked), chaque fenêtre étant scindée en « Theoretical predictions », « Empirical results » et, lorsqu’elle existe, « Simulation validation ». Cette puce, qui indiquait un traitement partiel, était périmée et a été mise à jour ; le drapeau NOTE INTERNE correspondant a été retiré du corps de la lettre.</w:t>
      </w:r>
    </w:p>
    <w:p>
      <w:pPr>
        <w:pStyle w:val="ListBullet"/>
      </w:pPr>
      <w:r>
        <w:rPr>
          <w:b/>
          <w:i w:val="0"/>
          <w:color w:val="1F4E9E"/>
        </w:rPr>
        <w:t xml:space="preserve">C2.2 (ordre spécifique de la Fig. 1) — </w:t>
      </w:r>
      <w:r>
        <w:rPr>
          <w:b w:val="0"/>
          <w:i w:val="0"/>
          <w:color w:val="1F4E9E"/>
        </w:rPr>
        <w:t>Traité depuis. La réponse donne maintenant l'argument quantitatif (0.0702 vs 0.0694 contre θ = 0.0707 ; 99 % et 94 % des essais atteignent le seuil), recalculé au point de calibration comportementale actuel, et le relie à l'argument de saturation désormais présent dans les Résultats (Delay-locked &gt; Theoretical predictions).</w:t>
      </w:r>
    </w:p>
    <w:p>
      <w:pPr>
        <w:pStyle w:val="ListBullet"/>
      </w:pPr>
      <w:r>
        <w:rPr>
          <w:b/>
          <w:color w:val="1F4E9E"/>
        </w:rPr>
        <w:t xml:space="preserve">C2.4 (renommer « second accumulation phase ») — </w:t>
      </w:r>
      <w:r>
        <w:rPr>
          <w:color w:val="1F4E9E"/>
        </w:rPr>
        <w:t>Volontairement NON traité, sur votre décision explicite : vous jugez le rapporteur dans l'erreur sur ce point (il faut bien accumuler le signal de réponse perceptif, littérature à l'appui). La lettre de réponse ci-dessous défend donc la formulation actuelle plutôt que de la changer — à relire pour vérifier que l'argumentaire vous convient avant envoi.</w:t>
      </w:r>
    </w:p>
    <w:p>
      <w:pPr>
        <w:pStyle w:val="ListBullet"/>
      </w:pPr>
      <w:r>
        <w:rPr>
          <w:b/>
          <w:color w:val="1F4E9E"/>
        </w:rPr>
        <w:t xml:space="preserve">C2.6 (abréviations et emplacement du raisonnement) — </w:t>
      </w:r>
      <w:r>
        <w:rPr>
          <w:color w:val="1F4E9E"/>
        </w:rPr>
        <w:t>Traitement partiel : définitions au premier usage corrigées pour RS/PMA/LRP/MBL, une phrase de rappel ajoutée en tête de la section PMA rate. Le déplacement complet de la dérivation des prédictions des Méthodes vers les Résultats, suggéré par la note, n'a pas été fait.</w:t>
      </w:r>
    </w:p>
    <w:p>
      <w:pPr>
        <w:pStyle w:val="ListBullet"/>
      </w:pPr>
      <w:r>
        <w:rPr>
          <w:b/>
          <w:color w:val="1F4E9E"/>
        </w:rPr>
        <w:t xml:space="preserve">C2.7 (autres formats sensoriels) — </w:t>
      </w:r>
      <w:r>
        <w:rPr>
          <w:color w:val="1F4E9E"/>
        </w:rPr>
        <w:t>Traitement partiel : le volet « animal work » est couvert (Cisek &amp; Kalaska, 2005, décisions d'atteinte chez le singe). Le volet « autres formats sensoriels » (accumulation de preuves auditives, tactiles, etc.) n'est PAS traité — aucune référence identifiée dans le temps imparti.</w:t>
      </w:r>
    </w:p>
    <w:p>
      <w:pPr>
        <w:pStyle w:val="ListBullet"/>
      </w:pPr>
      <w:r>
        <w:rPr>
          <w:b/>
          <w:color w:val="1F4E9E"/>
        </w:rPr>
        <w:t xml:space="preserve">C1.7 (détail « α fonction du délai ») — </w:t>
      </w:r>
      <w:r>
        <w:rPr>
          <w:color w:val="1F4E9E"/>
        </w:rPr>
        <w:t>La demande principale (montrer le build-up pour différents délais) est traitée par la citation à Achard et al. (2025). Le point plus fin de la note — que cela fait du taux de préparation une fonction de la longueur du délai, à énoncer explicitement comme condition de portée — n'est pas formulé dans ces termes précis.</w:t>
      </w:r>
    </w:p>
    <w:p>
      <w:pPr>
        <w:pStyle w:val="ListBullet"/>
      </w:pPr>
      <w:r>
        <w:rPr>
          <w:b/>
          <w:color w:val="1F4E9E"/>
        </w:rPr>
      </w:r>
      <w:r>
        <w:rPr>
          <w:b/>
          <w:color w:val="1F4E9E"/>
        </w:rPr>
        <w:t xml:space="preserve">Table S6 (compléments techniques de _estim_body.tex) — </w:t>
      </w:r>
      <w:r>
        <w:rPr>
          <w:color w:val="1F4E9E"/>
        </w:rPr>
        <w:t>Non repris : la distinction des trois estimandes (contraste linéaire brut vs régression de Poisson log-linéaire vs vraisemblance du processus ponctuel, avec le désaccord d'échelle en période stimulus) et la mise en garde sur le biais du facteur de rétention des clusters. Ce sont des approfondissements de robustesse statistique, pas des points soulevés par les rapporteurs — à ajouter seulement si un rapporteur statisticien insiste.</w:t>
      </w:r>
    </w:p>
    <w:p>
      <w:pPr>
        <w:pStyle w:val="ListBullet"/>
      </w:pPr>
      <w:r>
        <w:rPr>
          <w:b/>
          <w:color w:val="1F4E9E"/>
        </w:rPr>
        <w:t xml:space="preserve">Restructuration (Passe 10) — </w:t>
      </w:r>
      <w:r>
        <w:rPr>
          <w:color w:val="1F4E9E"/>
        </w:rPr>
        <w:t>C1.1, C1.8, C2.1, C2.3 réécrits pour refléter la suppression du calibrage nine-family/Appendice B et le passage des statistiques de tendance en primaire dans les Résultats ; l'ancien point « Volunteered 3 » (constantes héritées non retrouvées par le calibrage nine-family) a été retiré car son fondement dans le manuscrit a disparu avec l'Appendice B, et « Volunteered 4 » a été renuméroté « Volunteered 3 ». Tous les champs « Manuscript location » de la lettre ont été relus contre manuscript_restructure.docx ; ceux qui renvoyaient à l'Appendice B ou à la sous-section « second-stage » ont été corrigés.</w:t>
      </w:r>
    </w:p>
    <w:p>
      <w:pPr>
        <w:pStyle w:val="ListBullet"/>
      </w:pPr>
      <w:r>
        <w:rPr>
          <w:b/>
          <w:color w:val="1F4E9E"/>
        </w:rPr>
        <w:t xml:space="preserve">Mise à jour (Passe 11) — </w:t>
      </w:r>
      <w:r>
        <w:rPr>
          <w:color w:val="1F4E9E"/>
        </w:rPr>
        <w:t>C1.1 renforcée : Table 2 et Tables S2–S4 (texte principal et Supplemental) ont été mises à jour pour reporter directement les statistiques de tendance en primaire, en cohérence avec les Résultats et l'Appendix B (renvois à jour dans la réponse ci-dessous). Numérotation des annexes ajustée dans toute la lettre : l'ancienne Appendix C (tables B1–B12) est devenue Appendix B — la numérotation des annexes du manuscrit a été resserrée (A, B, C sans trou) après la suppression complète de l'ancienne Appendix B (calibrage nine-family), elle-même supprimée du texte plutôt que laissée barrée, son contenu n'ayant jamais fait partie de la soumission originale examinée par les rapporteurs (cf. note de tête du manuscrit).</w:t>
      </w:r>
    </w:p>
    <w:p>
      <w:pPr>
        <w:pStyle w:val="ListBullet"/>
      </w:pPr>
      <w:r>
        <w:t>Mise à jour (Passe 27, réorganisation du manuscrit) — Un point « Volunteered 4 » a été ajouté ci-dessous : il documente la correction post-soumission de deux fichiers EMG exportés (taux d'activations partielles, période Response : F(1,21) = 0.011, p = .919 sans la correction, contre F(1,21) = 7.61, p = .012, ηp² = 0.266 avec), retirée du corps du manuscrit à la demande explicite de l'auteur mais conservée ici. Le renvoi « Appendix B4 » dans Volunteered 2 a également été corrigé en « Table S4; Table S5 », l'Annexe B ayant été entièrement fusionnée dans les tables Supplémentaires S1-S6 (nouvelles Tables S5/S6) et le manuscrit réorganisé (Figures → Tables → Appendix A → References → Supplemental Material).</w:t>
      </w:r>
    </w:p>
    <w:p>
      <w:pPr>
        <w:pStyle w:val="ListBullet"/>
      </w:pPr>
      <w:r>
        <w:rPr>
          <w:b/>
          <w:color w:val="1F4E9E"/>
        </w:rPr>
        <w:t xml:space="preserve">Mise à jour (relecture critique, 26/08) — </w:t>
      </w:r>
      <w:r>
        <w:rPr>
          <w:b w:val="0"/>
          <w:color w:val="1F4E9E"/>
        </w:rPr>
        <w:t>Corrections apportées après une relecture externe qui a vérifié les chiffres et pas seulement la prose. (a) Degrés de liberté : toutes les lignes des Tables S2–S4 impliquant la cohérence rapportaient F(1,21) alors que les F et p provenaient de tests corrigés Greenhouse–Geisser — combinaison arithmétiquement impossible pour F(1,21) = 6.145, p = .007. Les Tables S2–S4 reproduisent désormais exactement la sortie de run_stats.R (GG appliqué à tout effet à plus d'un degré de liberté au numérateur) ; Table 2 et les statistiques inline des Résultats ont été mises en cohérence. Aucun seuil de significativité ne change. (b) C1.1 ne prétend plus que les trois analyses « concordent » : la pente brute et la pente log ne mesurent pas la même chose, et la différence est maintenant expliquée (elle va dans le sens de la saturation, pas de l'accumulation) ; la phrase correspondante de l'Abstract a été précisée. (c) Divulgation symétrique : l'effet MBL durée × temps, devenu significatif sous le critère de tendance (p = .046) alors qu'il ne l'était pas en omnibus (p = .136), est maintenant signalé dans C1.1 au même titre que l'effet cohérence qui a fait le chemin inverse. (d) C1.8 reconnaît explicitement que Model 2 emboîte Model 1 (comparaison sans pénalité de complexité) et que la platitude des pentes de Model 1 relève de son architecture ; le 26 % est désamorcé. (e) Volunteered 4 décrit l'erreur réellement présente dans les fichiers exportés (fenêtre de 0.3 s au lieu de 0.2 s, et calage sur l'onset EMG et non sur l'appui du bouton), après inspection des fichiers superseded — l'ancienne formulation (« le dernier bin était vide au lieu de contenir des données ») disait l'inverse de la vérité et contredisait les Méthodes. Le manuscrit n'a PAS été modifié sur ce point, à votre demande explicite. (f) C2.2 donne les chiffres de quasi-dégénérescence ; C2.4 perd sa dernière phrase terminologique ; C1.3 corrige le « 9,3 % » ; C1.5 décrit le nouvel intervalle within-subject de la Fig. 3.</w:t>
      </w:r>
    </w:p>
    <w:p>
      <w:pPr>
        <w:pStyle w:val="ListBullet"/>
      </w:pPr>
      <w:r>
        <w:rPr>
          <w:b/>
          <w:i w:val="0"/>
          <w:color w:val="1F4E9E"/>
        </w:rPr>
        <w:t xml:space="preserve">Refonte (balayage retiré, appendices formels, 27/08) — </w:t>
      </w:r>
      <w:r>
        <w:rPr>
          <w:b w:val="0"/>
          <w:i w:val="0"/>
          <w:color w:val="1F4E9E"/>
        </w:rPr>
        <w:t>Sur votre demande : (a) tout le balayage de paramètres a été retiré du manuscrit — Méthodes, Results Behavior, Results Delay-locked, et la note de bas de page sur le leak ; (b) chaque prédiction testée est désormais démontrée dans un appendice dédié, un par section de Results (Appendices A–E), l'ancienne Appendix A devenant C et les équations A1–A3 devenant C1–C3 ; (c) C2.1 et C2.3 répondent maintenant par ces démonstrations plutôt que par le balayage, ce qui est plus fort mais s'écarte de la lettre du commentaire du rapporteur 2 — à relire de ce point de vue ; (d) la calibration a été refaite sur un objectif explicite (accuracy, RT moyen, IQR du RT, et les proportions de réponses avant le signal, plus rapides que 0.2 s, et absentes à 4 s), avec agrégation en deux temps et standardisation par l'erreur type inter-participants ; (e) C1.8 et la Discussion expliquent maintenant pourquoi nous calibrons et ne fittons pas. Point à trancher : le modèle ne peut pas produire d'absence de réponse à 4 s (le second accumulateur a une dérive positive et aucun état d'échec), donc ce bloc de l'objectif porte une erreur irréductible ; il est conservé parce qu'il fait partie de ce que le modèle doit reproduire, mais c'est une limite du modèle qui mériterait une phrase dans la Discussion.</w:t>
      </w:r>
    </w:p>
    <w:p>
      <w:pPr>
        <w:spacing w:after="160"/>
      </w:pPr>
    </w:p>
    <w:p>
      <w:r>
        <w:rPr>
          <w:i/>
          <w:color w:val="1F4E9E"/>
        </w:rPr>
        <w:t>Tout le reste des commentaires C1.1–C1.9, C2.1–C2.7, la note éditoriale et les quatre points volontaires (« Additional changes made on our own initiative ») est traité intégralement dans le manuscrit, vérifié passage par passage contre le texte actuel de Achard_et_al_R1_v3_tracked-changes.docx (et non seulement contre les intentions de note4.tex). Les blocs C1.1, C1.3, C1.5, C1.8, C2.1, C2.2, C2.4 et Volunteered 4 ont été revérifiés lors de la relecture critique du 26/08 (voir la puce correspondante ci-dessus).</w:t>
      </w:r>
    </w:p>
    <w:p>
      <w:r>
        <w:br w:type="page"/>
      </w:r>
    </w:p>
    <w:p>
      <w:pPr>
        <w:pStyle w:val="Heading1"/>
      </w:pPr>
      <w:r>
        <w:t>Reviewer 1</w:t>
      </w:r>
    </w:p>
    <w:p>
      <w:pPr>
        <w:spacing w:after="80"/>
      </w:pPr>
      <w:r>
        <w:rPr>
          <w:b/>
          <w:i w:val="0"/>
        </w:rPr>
        <w:t>C1.1 — Slopes rather than bins.</w:t>
      </w:r>
    </w:p>
    <w:p>
      <w:pPr>
        <w:spacing w:after="160"/>
        <w:ind w:left="504"/>
      </w:pPr>
      <w:r>
        <w:rPr>
          <w:i/>
        </w:rPr>
        <w:t>“Although there is a nice cartoon figure for the hypotheses, the authors use a repeated measures ANOVA for their tests. I would prefer tests on the different slopes in the EMG and EEG instead of the arbitrary 0.1s bins. [...] Ln 324: ‘slope of this ramping activity’ → that is not what you ANOVA tested.”</w:t>
      </w:r>
    </w:p>
    <w:p>
      <w:pPr>
        <w:spacing w:after="80"/>
      </w:pPr>
      <w:r>
        <w:rPr>
          <w:b/>
          <w:i w:val="0"/>
          <w:color w:val="1F4E9E"/>
        </w:rPr>
        <w:t xml:space="preserve">Response. </w:t>
      </w:r>
      <w:r>
        <w:rPr>
          <w:b w:val="0"/>
          <w:i w:val="0"/>
          <w:color w:val="1F4E9E"/>
        </w:rPr>
        <w:t xml:space="preserve">We agree that the earlier phrasing overstated what an omnibus ANOVA on a nineteen-degree-of-freedom time-bin factor establishes, and have gone beyond correcting the language. </w:t>
      </w:r>
      <w:r>
        <w:rPr>
          <w:b w:val="0"/>
          <w:i w:val="0"/>
          <w:color w:val="1F4E9E"/>
        </w:rPr>
        <w:t>We now decompose the time-bin factor into orthogonal polynomial contrasts — the standard within-subjects contrast analysis — and report those as the primary statistics in the Results text for every measure and period where the decomposition applies (stimulus- and delay-period bins for PMA rate, MBL and LRP); Table 2 and Tables S2–S4 report them as primary as well. The linear contrast is reported throughout as the ordinary-least-squares slope against time, in units of the measure per second, which is the same contrast rescaled so that the coefficient reads as a rate of change; where a period’s profile is not monotone a quadratic contrast is reported alongside it. Each contrast is tested against its own error term rather than against an error term pooled across components, which is what makes a sphericity correction unnecessary for the time-bin component; Greenhouse–Geisser correction is applied throughout to the three-level coherence factor. No signal was reprocessed: the contrasts are weighted sums of the bin means already computed. We should add that the omnibus time-bin test the comment objects to is not merely uninformative about slope but poorly behaved here in its own right — its Greenhouse–Geisser epsilon is 0.14 on 19 degrees of freedom. The analysis script that produces the tables is deposited with the data.</w:t>
      </w:r>
      <w:r>
        <w:rPr>
          <w:b w:val="0"/>
          <w:i w:val="0"/>
          <w:color w:val="1F4E9E"/>
        </w:rPr>
        <w:t xml:space="preserve"> Two periods need no substitution: the response-signal period has only two time bins, so the omnibus and linear-trend tests coincide exactly, and the response period is analyzed on a single bin, so no trend decomposition applies there.</w:t>
        <w:br/>
        <w:t>Two consequences of the change are worth stating explicitly rather than leaving to be discovered, and they run in opposite directions. Mu–beta lateralization’s stimulus-period coherence × time effect is significant on the omnibus test but null as a full-window linear trend (p = .596), because the measure rises over roughly the first second and then flattens; Results now says so, and an a priori first-half/second-half split (Table S5) locates the coherence-dependent trend in the first half. Conversely, mu–beta lateralization’s stimulus-period duration × time effect was not significant on the omnibus test (p = .136) but is significant as a linear trend (p = .046) — a newly significant effect created by the change of criterion. Both are flagged in the note to Table 2 and reported in full in Table S4.</w:t>
        <w:br/>
        <w:t>Separately, for delay-period partial-activation rate — the one period where the theory predicts a genuine parametric ramp — we additionally estimated the log-rate slope directly from the exact onset time of each partial activation, via an unbinned, inhomogeneous-Poisson point-process analysis that removes the bin factor entirely (Table S6). Materials and Methods now explains why this unbinned analysis is restricted to the delay period, where the theory predicts a time-homogeneous intensity, and does not extend to the onset-locked (stimulus-period) rate, whose intensity is not stationary on the theory’s own terms.</w:t>
        <w:br/>
        <w:t>One point of interpretation needs stating precisely, because the binned and unbinned analyses appear at first to disagree about coherence during the delay: the raw-rate slope × coherence contrast is null (p = .567), whereas the log-rate slope × coherence effect is significant (p = .038). These are tests of different quantities, and the model predicts exactly this pattern. Equation (A3) makes the log-rate slope proportional to the standardized distance from the maintained level to the gate, so a cell with a higher rate necessarily has a shallower log-rate slope. The residual coherence dependence therefore runs in the direction saturation predicts — shallower at high coherence — and not in the direction continued motion-evidence accumulation would predict, so neither test implies that accumulation is still under way during the delay. Results now states this explicitly, and the Abstract’s delay-period claim has been made scale-specific accordingly (“no longer at a coherence-dependent build-up rate”).</w:t>
      </w:r>
    </w:p>
    <w:p>
      <w:pPr>
        <w:spacing w:after="280"/>
      </w:pPr>
      <w:r>
        <w:rPr>
          <w:b/>
          <w:i/>
        </w:rPr>
        <w:t xml:space="preserve">Manuscript location: </w:t>
      </w:r>
      <w:r>
        <w:rPr>
          <w:b w:val="0"/>
          <w:i/>
        </w:rPr>
        <w:t>Materials and Methods (“Statistical Analysis”); Results, Stimulus-locked and Delay-locked subsections (trend statistics now primary); Table 2 and Tables S2–S4 (trend statistics primary there too); Table S5 (MBL first-/second-half split); Table S6 (unbinned point-process analysis); Abstract (delay-period claim).</w:t>
      </w:r>
    </w:p>
    <w:p>
      <w:pPr>
        <w:spacing w:after="80"/>
      </w:pPr>
      <w:r>
        <w:rPr>
          <w:b/>
          <w:i w:val="0"/>
        </w:rPr>
        <w:t>C1.2 — Clearer statement of the hypotheses and of what each measure does.</w:t>
      </w:r>
    </w:p>
    <w:p>
      <w:pPr>
        <w:spacing w:after="160"/>
        <w:ind w:left="504"/>
      </w:pPr>
      <w:r>
        <w:rPr>
          <w:i/>
        </w:rPr>
        <w:t>“I would like a much clearer description of the hypotheses and how the different measures help unraveling. Now the EEG results are a bit of a hotch-potch.”</w:t>
      </w:r>
    </w:p>
    <w:p>
      <w:pPr>
        <w:spacing w:after="80"/>
      </w:pPr>
      <w:r>
        <w:rPr>
          <w:b/>
          <w:color w:val="1F4E9E"/>
        </w:rPr>
        <w:t>Response. Results has since been restructured further, by analysis window rather than by measure: Behavior, then Stimulus-locked, Delay-locked, RS-locked, and Response-locked, each split into “Theoretical predictions,” “Empirical results” (PMA rate, then MBL, then LRP), and, where available, “Simulation validation.” Within every window, the model-specific predictions are stated explicitly before any data are shown, rather than after. For the delay period — the window carrying the paper’s central discriminating prediction — “Theoretical predictions” derives the two models’ predictions explicitly (Model 1: a flat log-rate slope and no systematic change in LRP or MBL; Model 2: a positive, coherence-independent ramp in all three), and “Simulation validation” (“Model 2, not Model 1, predicts the observed delay-period ramp — at the calibrated point and across the broader parameter space”) reports the discrimination both at the single calibrated point and, since a later revision, across the broader sampled parameter space (see C1.8 and C2.1).</w:t>
      </w:r>
    </w:p>
    <w:p>
      <w:pPr>
        <w:spacing w:after="280"/>
      </w:pPr>
      <w:r>
        <w:rPr>
          <w:b/>
          <w:i/>
          <w:color w:val="1F4E9E"/>
        </w:rPr>
        <w:t>Manuscript location: Results, the five window subsections (Behavior, Stimulus-locked, Delay-locked, RS-locked, Response-locked), each split into “Theoretical predictions,” “Empirical results,” and “Simulation validation”; Delay-locked &gt; Simulation validation specifically for the model-discriminating claim.</w:t>
      </w:r>
    </w:p>
    <w:p>
      <w:pPr>
        <w:spacing w:after="80"/>
      </w:pPr>
      <w:r>
        <w:rPr>
          <w:b/>
          <w:i w:val="0"/>
        </w:rPr>
        <w:t>C1.3 — Muscle-activation onset procedure.</w:t>
      </w:r>
    </w:p>
    <w:p>
      <w:pPr>
        <w:spacing w:after="160"/>
        <w:ind w:left="504"/>
      </w:pPr>
      <w:r>
        <w:rPr>
          <w:i/>
        </w:rPr>
        <w:t>“Ln 119: please be more explicit about the EMG onset procedure. [...] p. 10, ll. 157-159: PMA should be more precisely defined. Specifically, how is it decided that a muscle activation detected by EMG does not ‘culminate in an overt response’?”</w:t>
      </w:r>
    </w:p>
    <w:p>
      <w:pPr>
        <w:spacing w:after="80"/>
      </w:pPr>
      <w:r>
        <w:rPr>
          <w:b/>
        </w:rPr>
        <w:t xml:space="preserve">Response. </w:t>
      </w:r>
      <w:r>
        <w:t xml:space="preserve">Materials and Methods now gives the full procedure: candidate bursts were detected at a threshold of seven baseline standard deviations on the rectified signal, with threshold-defined periods separated by less than 25 ms merged into a single candidate burst, an adaptive minimum-sample criterion applied to reject noise-driven detections, and burst boundaries refined with the integrated-profile method (Liu &amp; Liu, 2016; Santello &amp; McDonagh, 1998). We also state the procedure’s two consequences for how partial activations are counted: 27% of consecutive activation pairs in the exported event list remain separated by less than 25 ms despite the merge rule (this does not affect reported counts, since the refinement relocates but does not remove interval boundaries), and a partial muscle activation is defined as any detected interval other than the one immediately preceding the response — so </w:t>
      </w:r>
      <w:r>
        <w:t>18.5% of trials contain an activation ending within 25 ms of the response-related burst, and in 9.3% of trials that activation would be absorbed into the response burst under strict application of the merge rule</w:t>
      </w:r>
      <w:r>
        <w:t>. We note that response-period results should be read with this possibility of segmentation in mind.</w:t>
      </w:r>
    </w:p>
    <w:p>
      <w:pPr>
        <w:spacing w:after="280"/>
      </w:pPr>
      <w:r>
        <w:rPr>
          <w:b/>
          <w:i/>
        </w:rPr>
        <w:t xml:space="preserve">Manuscript location: </w:t>
      </w:r>
      <w:r>
        <w:rPr>
          <w:i/>
          <w:color w:val="1F4E9E"/>
        </w:rPr>
        <w:t xml:space="preserve">Materials and Methods, “EMG acquisition and preprocessing” </w:t>
      </w:r>
      <w:r>
        <w:rPr>
          <w:i/>
          <w:color w:val="1F4E9E"/>
        </w:rPr>
        <w:t>(now three paragraphs)</w:t>
      </w:r>
      <w:r>
        <w:rPr>
          <w:i/>
          <w:color w:val="1F4E9E"/>
        </w:rPr>
        <w:t>.</w:t>
      </w:r>
    </w:p>
    <w:p>
      <w:pPr>
        <w:spacing w:after="80"/>
      </w:pPr>
      <w:r>
        <w:rPr>
          <w:b/>
          <w:i w:val="0"/>
        </w:rPr>
        <w:t>C1.4 — Coherence range used by others.</w:t>
      </w:r>
    </w:p>
    <w:p>
      <w:pPr>
        <w:spacing w:after="160"/>
        <w:ind w:left="504"/>
      </w:pPr>
      <w:r>
        <w:rPr>
          <w:i/>
        </w:rPr>
        <w:t>“Ln 242: make explicit what range of coherences others have used.”</w:t>
      </w:r>
    </w:p>
    <w:p>
      <w:pPr>
        <w:spacing w:after="80"/>
      </w:pPr>
      <w:r>
        <w:rPr>
          <w:b/>
        </w:rPr>
        <w:t xml:space="preserve">Response. </w:t>
      </w:r>
      <w:r>
        <w:t>Added as a scope condition in the Discussion: our three-level coherence range (0%, 12%, 50%) is coarser than the five- or six-level logarithmic series more commonly used to characterize psychometric and chronometric functions in random-dot-motion studies (e.g., 3.2–51.2%: Roitman &amp; Shadlen, 2002; 6.4–51.2%: Kiani et al., 2008); sufficient to establish the coherence-dependent effects reported here, though not their full functional form.</w:t>
      </w:r>
    </w:p>
    <w:p>
      <w:pPr>
        <w:spacing w:after="280"/>
      </w:pPr>
      <w:r>
        <w:rPr>
          <w:b/>
          <w:i/>
        </w:rPr>
        <w:t xml:space="preserve">Manuscript location: </w:t>
      </w:r>
      <w:r>
        <w:rPr>
          <w:i/>
        </w:rPr>
        <w:t>Discussion, scope-conditions paragraph.</w:t>
      </w:r>
    </w:p>
    <w:p>
      <w:pPr>
        <w:spacing w:after="80"/>
      </w:pPr>
      <w:r>
        <w:rPr>
          <w:b/>
          <w:i w:val="0"/>
        </w:rPr>
        <w:t>C1.5 — Error bars and individual data.</w:t>
      </w:r>
    </w:p>
    <w:p>
      <w:pPr>
        <w:spacing w:after="160"/>
        <w:ind w:left="504"/>
      </w:pPr>
      <w:r>
        <w:rPr>
          <w:i/>
        </w:rPr>
        <w:t>“Fig 3: SEM is not a good measure on data constrained between 0 and 1 [...] In modern research it is custom to also show individual participant datapoints.”</w:t>
      </w:r>
    </w:p>
    <w:p>
      <w:pPr>
        <w:spacing w:after="80"/>
      </w:pPr>
      <w:r>
        <w:rPr>
          <w:b/>
          <w:i w:val="0"/>
        </w:rPr>
        <w:t xml:space="preserve">Response. </w:t>
      </w:r>
      <w:r>
        <w:rPr>
          <w:b w:val="0"/>
          <w:i w:val="0"/>
        </w:rPr>
        <w:t>Figure 3 has been regenerated. Each participant’s data now appear as faint connected points behind the group means in all four panels. For accuracy specifically — bounded in [0,1], where a symmetric standard error is not appropriate — the interval is now a 95% percentile bootstrap interval computed on the Cousineau–Morey-normalized values (10,000 resamples over participants, Morey-scaled), which is both a within-subjects interval, comparable to the ±1 within-subjects SEM shown for RT, PMET, and MET, and asymmetric where the data approach the bounds.</w:t>
      </w:r>
      <w:r>
        <w:rPr>
          <w:b w:val="0"/>
          <w:i w:val="0"/>
        </w:rPr>
      </w:r>
      <w:r>
        <w:rPr>
          <w:b w:val="0"/>
          <w:i w:val="0"/>
        </w:rPr>
        <w:t xml:space="preserve"> The figure legend describes both intervals.</w:t>
      </w:r>
    </w:p>
    <w:p>
      <w:pPr>
        <w:spacing w:after="280"/>
      </w:pPr>
      <w:r>
        <w:rPr>
          <w:b/>
          <w:i/>
        </w:rPr>
        <w:t xml:space="preserve">Manuscript location: </w:t>
      </w:r>
      <w:r>
        <w:rPr>
          <w:i/>
        </w:rPr>
        <w:t>Figure 3 and its legend.</w:t>
      </w:r>
    </w:p>
    <w:p>
      <w:pPr>
        <w:spacing w:after="80"/>
      </w:pPr>
      <w:r>
        <w:rPr>
          <w:b/>
          <w:i w:val="0"/>
        </w:rPr>
        <w:t>C1.6 — Reminder of MET and PMET.</w:t>
      </w:r>
    </w:p>
    <w:p>
      <w:pPr>
        <w:spacing w:after="160"/>
        <w:ind w:left="504"/>
      </w:pPr>
      <w:r>
        <w:rPr>
          <w:i/>
        </w:rPr>
        <w:t>“Ln 308: please refer back to fig 2 to reiterate what MET and PMET are.”</w:t>
      </w:r>
    </w:p>
    <w:p>
      <w:pPr>
        <w:spacing w:after="80"/>
      </w:pPr>
      <w:r>
        <w:rPr>
          <w:b/>
        </w:rPr>
        <w:t xml:space="preserve">Response. </w:t>
      </w:r>
      <w:r>
        <w:t>A cross-reference to Figure 2 is given at first mention of mean PMET and MET in the Results.</w:t>
      </w:r>
    </w:p>
    <w:p>
      <w:pPr>
        <w:spacing w:after="280"/>
      </w:pPr>
      <w:r>
        <w:rPr>
          <w:b/>
          <w:i/>
        </w:rPr>
        <w:t xml:space="preserve">Manuscript location: </w:t>
      </w:r>
      <w:r>
        <w:rPr>
          <w:i/>
        </w:rPr>
        <w:t>Results, “Motion coherence and duration both modulate mean PMET but not mean MET” (opening sentence).</w:t>
      </w:r>
    </w:p>
    <w:p>
      <w:pPr>
        <w:spacing w:after="80"/>
      </w:pPr>
      <w:r>
        <w:rPr>
          <w:b/>
          <w:i w:val="0"/>
        </w:rPr>
        <w:t>C1.7 — Different delays, to show build-up.</w:t>
      </w:r>
    </w:p>
    <w:p>
      <w:pPr>
        <w:spacing w:after="160"/>
        <w:ind w:left="504"/>
      </w:pPr>
      <w:r>
        <w:rPr>
          <w:i/>
        </w:rPr>
        <w:t>“Ln 485 [...] If you really want to hammer in this point, you should show build-up for different delays (even within the same trial, where the RS can come at for example 1.5 or 3.0 sec).”</w:t>
      </w:r>
    </w:p>
    <w:p>
      <w:pPr>
        <w:spacing w:after="80"/>
      </w:pPr>
      <w:r>
        <w:rPr>
          <w:b/>
        </w:rPr>
        <w:t xml:space="preserve">Response. </w:t>
      </w:r>
      <w:r>
        <w:t>Added as a second scope condition in the Discussion, citing a companion study (Achard et al., 2025) that directly manipulates delay length: the same delay-period build-up is preserved across 3–7 s delays when the response mapping is known in advance, but is largely absent when it is revealed only at the response signal.</w:t>
      </w:r>
    </w:p>
    <w:p>
      <w:pPr>
        <w:spacing w:after="280"/>
      </w:pPr>
      <w:r>
        <w:rPr>
          <w:b/>
          <w:i/>
        </w:rPr>
        <w:t xml:space="preserve">Manuscript location: </w:t>
      </w:r>
      <w:r>
        <w:rPr>
          <w:i/>
        </w:rPr>
        <w:t>Discussion, scope-conditions paragraph.</w:t>
      </w:r>
    </w:p>
    <w:p>
      <w:pPr>
        <w:spacing w:after="280"/>
        <w:ind w:left="216"/>
      </w:pPr>
      <w:r>
        <w:rPr>
          <w:b/>
          <w:color w:val="C05000"/>
        </w:rPr>
        <w:t xml:space="preserve">[NOTE INTERNE — ne pas envoyer telle quelle] </w:t>
      </w:r>
      <w:r>
        <w:rPr>
          <w:color w:val="C05000"/>
        </w:rPr>
        <w:t>Le point plus fin de la note (« cela fait de α une fonction du délai, à énoncer comme condition de portée ») n'est pas formulé dans ces termes précis — voir « Note pour les auteurs ».</w:t>
      </w:r>
    </w:p>
    <w:p>
      <w:pPr>
        <w:spacing w:after="80"/>
      </w:pPr>
      <w:r>
        <w:rPr>
          <w:b/>
          <w:i w:val="0"/>
        </w:rPr>
        <w:t>C1.8 — A quantitative model.</w:t>
      </w:r>
    </w:p>
    <w:p>
      <w:pPr>
        <w:spacing w:after="160"/>
        <w:ind w:left="504"/>
      </w:pPr>
      <w:r>
        <w:rPr>
          <w:i/>
        </w:rPr>
        <w:t>“Ln 505-506: here you hint at a quantitative model, which I believe would strengthen your data better. Now you use ANOVAs, and thus significances to rule out hypotheses that are only expressed in words or cartoons, but are never quantified based on the data.”</w:t>
      </w:r>
    </w:p>
    <w:p>
      <w:pPr>
        <w:spacing w:after="80"/>
      </w:pPr>
      <w:r>
        <w:rPr>
          <w:b/>
          <w:i w:val="0"/>
        </w:rPr>
        <w:t xml:space="preserve">Response. </w:t>
      </w:r>
      <w:r>
        <w:rPr>
          <w:b w:val="0"/>
          <w:i w:val="0"/>
        </w:rPr>
        <w:t>We agree that the paper needed a quantitative model, and it now has one — but we have tried to be careful about what we claim from it, because we think the natural move here, fitting the model to the data, would be the wrong instrument, and we would rather say so than quietly do something weaker under a stronger name.</w:t>
        <w:br/>
        <w:t>What the paper now rests on is derivation. Every prediction it tests is derived analytically from the model architecture and proved in an appendix, one per analysis window (Appendices A–E). That is what replaces the verbal and cartoon arguments the comment objects to: the claims are no longer expressed in words and then adjudicated by an ANOVA, they are theorems about the architecture, and the ANOVAs test them. Appendix A shows, for example, that because the second accumulation's drift is the same in every condition, coherence and duration can act on response time only through the level maintained at the end of the first stage; that because that level is capped at the internal threshold, the coherence effect on response time must shrink as duration grows; and that because the temporal-preparation window has a fixed length, no behavioral effect whatever can separate the two models.</w:t>
        <w:br/>
        <w:t xml:space="preserve">Alongside that we report a calibration, and we use that word rather than “fit” deliberately. Each model is brought to the aggregate data by searching for a single parameter vector that reproduces them as closely as its architecture allows. </w:t>
      </w:r>
      <w:r>
        <w:rPr>
          <w:b w:val="0"/>
          <w:i w:val="0"/>
          <w:color w:val="1F4E9E"/>
        </w:rPr>
        <w:t>Correct and incorrect responses are treated separately, following the response-time quantile method used by Dendauw et al. (2024) and originating with Ratcliff and Tuerlinckx (2002): in each of the six cells and for each response type, the .1/.3/.5/.7/.9 quantiles of the observed response times partition them into six bins holding, by construction, 10/20/20/20/20/10% of that response type's trials, and discrepancy is the G² statistic between those reference proportions and what the model's simulated response times give when passed through the same, data-defined bin edges — together with the proportion of correct versus incorrect responses itself. Premature, sub-0.2-s and no-response trials are excluded entirely rather than scored: correct plus incorrect proportions are set to one over valid trials only. Response proportions and correct-response quantiles are aggregated within participants and then across them (Vincentized, for the quantiles); incorrect-response quantiles are pooled across participants, since several participants have too few error trials at the higher coherence levels for a per-participant quantile to be meaningful. No electromyographic or electroencephalographic quantity enters the objective.</w:t>
      </w:r>
      <w:r>
        <w:rPr>
          <w:b w:val="0"/>
          <w:i w:val="0"/>
        </w:rPr>
        <w:br/>
        <w:t>The purpose of that exercise is to answer a question about the model, not about the participants: is there any setting of its parameters at which this architecture behaves quantitatively like the experiment? We do not treat the result as an estimate. No parameter is interpreted, no interval is placed on one, and no comparison between the two models rests on the objective's value. Fitting would be the wrong tool for three reasons, which we now state in the Discussion: the models are deliberately reduced, so several parameters are close to unidentifiable from behavior and a fitted value would describe the objective's shape rather than a participant; Model 2 contains Model 1 as the special case β = 0, so a better fit for Model 2 is guaranteed and therefore uninformative; and the predictions the paper tests are ordinal and hold at every admissible parameter setting, so nothing about them turns on which setting is optimal.</w:t>
        <w:br/>
        <w:t xml:space="preserve">What the calibration does establish is that both architectures reach the observed behavior at about the observed size, and do so about equally well (total discrepancy DISC1 for Model 1 against DISC2 for Model 2, </w:t>
      </w:r>
      <w:r>
        <w:rPr>
          <w:b w:val="0"/>
          <w:i w:val="0"/>
          <w:color w:val="1F4E9E"/>
        </w:rPr>
        <w:t>in G² units, summed over the six cells</w:t>
      </w:r>
      <w:r>
        <w:rPr>
          <w:b w:val="0"/>
          <w:i w:val="0"/>
        </w:rPr>
        <w:t>). That is the expected consequence of Appendix A's result that behavior cannot separate them, and it is what motivates the neurophysiological test. Simulated at those same parameters and evaluated on the delay-period partial-activation log-rate slope — a quantity neither calibration was permitted to see — the two diverge: Model 1's predicted slopes (SLOPE1) are indistinguishable from zero, Model 2's (SLOPE2) approach the observed range (+0.66 to +1.03 s⁻¹). We should be plain that this is less a competition than an isolation: Model 1 has no mechanism that can make the rate rise during a stimulus-free delay, so its flat slopes follow from its architecture rather than from an unlucky parameter setting. The force of the result is that the design isolates a quantity only one of the two architectures can generate at all, and that the muscle shows that quantity to be robustly non-zero. Each model is calibrated in its own right, so the size of the gap cannot be an artifact of one borrowing the other's parameters.</w:t>
      </w:r>
    </w:p>
    <w:p>
      <w:pPr>
        <w:spacing w:after="280"/>
      </w:pPr>
      <w:r>
        <w:rPr>
          <w:b/>
          <w:i/>
        </w:rPr>
        <w:t xml:space="preserve">Manuscript location: </w:t>
      </w:r>
      <w:r>
        <w:rPr>
          <w:b w:val="0"/>
          <w:i/>
        </w:rPr>
        <w:t>Appendices A–E (the derivations); Materials and Methods, Theory — the two paragraphs on what simulation is used for and why calibration is not fitting, and “Calibration of the models to the aggregate data” (the objective, stated in full); Results, Behavior &gt; Simulation validation and Delay-locked &gt; Simulation validation; Discussion, the paragraph on why the models are calibrated rather than fitted.</w:t>
      </w:r>
    </w:p>
    <w:p>
      <w:pPr>
        <w:spacing w:after="80"/>
      </w:pPr>
      <w:r>
        <w:rPr>
          <w:b/>
          <w:i w:val="0"/>
        </w:rPr>
        <w:t>C1.9 — Statistics in the text.</w:t>
      </w:r>
    </w:p>
    <w:p>
      <w:pPr>
        <w:spacing w:after="160"/>
        <w:ind w:left="504"/>
      </w:pPr>
      <w:r>
        <w:rPr>
          <w:i/>
        </w:rPr>
        <w:t>“In J Neurosci it is customary to present statistics in the results text instead of everything in a table.”</w:t>
      </w:r>
    </w:p>
    <w:p>
      <w:pPr>
        <w:spacing w:after="80"/>
      </w:pPr>
      <w:r>
        <w:rPr>
          <w:b/>
        </w:rPr>
        <w:t xml:space="preserve">Response. </w:t>
      </w:r>
      <w:r>
        <w:t>Exact test statistics (F, df, p, ηp²) are now reported inline in the Results text throughout, in addition to the summary tables.</w:t>
      </w:r>
    </w:p>
    <w:p>
      <w:pPr>
        <w:spacing w:after="280"/>
      </w:pPr>
      <w:r>
        <w:rPr>
          <w:b/>
          <w:i/>
        </w:rPr>
        <w:t xml:space="preserve">Manuscript location: </w:t>
      </w:r>
      <w:r>
        <w:rPr>
          <w:i/>
        </w:rPr>
        <w:t>Results, throughout.</w:t>
      </w:r>
    </w:p>
    <w:p>
      <w:r>
        <w:br w:type="page"/>
      </w:r>
    </w:p>
    <w:p>
      <w:pPr>
        <w:pStyle w:val="Heading1"/>
      </w:pPr>
      <w:r>
        <w:t>Reviewer 2</w:t>
      </w:r>
    </w:p>
    <w:p>
      <w:pPr>
        <w:spacing w:after="80"/>
      </w:pPr>
      <w:r>
        <w:rPr>
          <w:b/>
          <w:i w:val="0"/>
        </w:rPr>
        <w:t>C2.1 — Simulate the model; show the predictions hold across parameters.</w:t>
      </w:r>
    </w:p>
    <w:p>
      <w:pPr>
        <w:spacing w:after="160"/>
        <w:ind w:left="504"/>
      </w:pPr>
      <w:r>
        <w:rPr>
          <w:i/>
        </w:rPr>
        <w:t>“the predictions in Fig. 1 are qualitative rather than quantitative and seem to be based on simple drawings of hypothetical scenarios rather than simulations of actual models. This does not hold up to the standards of the field of decision neuroscience. The authors should implement and simulate their extended model and show that the main qualitative predictions hold across a range of parameters.”</w:t>
      </w:r>
    </w:p>
    <w:p>
      <w:pPr>
        <w:spacing w:after="80"/>
      </w:pPr>
      <w:r>
        <w:rPr>
          <w:b/>
          <w:i w:val="0"/>
        </w:rPr>
        <w:t xml:space="preserve">Response. </w:t>
      </w:r>
      <w:r>
        <w:rPr>
          <w:b w:val="0"/>
          <w:i w:val="0"/>
        </w:rPr>
        <w:t>Figure 1 no longer schematizes the hypotheses: it shows actual simulated dynamics of the two models. On the second half of the comment — that the qualitative predictions should be shown to hold across a range of parameters — we have gone further than the sweep we first implemented, and we think in a better direction.</w:t>
        <w:br/>
        <w:t>That sweep is gone from the manuscript. In its place, each prediction the paper tests is now derived analytically from the model architecture and proved in a dedicated appendix, one per analysis window (Appendices A–E). A proof that an ordering follows from the architecture establishes it at every admissible parameter setting, which is strictly more than a demonstration that it held at 250 sampled ones; and it makes visible exactly which structural feature each prediction depends on. Appendix A shows, for instance, that the response-time ordering follows from the second accumulation having a condition-independent drift, so that coherence and duration can act on response time only through the level maintained at the end of the first stage; and that the temporal-preparation window has a fixed length independent of stimulus duration, from which it follows that no behavioral effect whatever can distinguish the two models. Appendix B isolates the one prediction outside the delay period on which they do disagree.</w:t>
        <w:br/>
        <w:t>We have tried to be candid in these appendices about what is proved and what is argued. Several propositions are exact (accuracy is exactly one half at zero coherence whatever the duration; the final response-locked bin is empty by definition; the coherence effect on response time vanishes in the long-duration limit). Others are monotonicity arguments without a closed form, and are labeled as such. After the response signal the criterion becomes an absorbing barrier and the Gaussian structure the delay-period derivation relies on is destroyed, so the RS- and response-locked predictions are qualitative; we say so rather than implying more.</w:t>
      </w:r>
    </w:p>
    <w:p>
      <w:pPr>
        <w:spacing w:after="280"/>
      </w:pPr>
      <w:r>
        <w:rPr>
          <w:b/>
          <w:i/>
        </w:rPr>
        <w:t xml:space="preserve">Manuscript location: </w:t>
      </w:r>
      <w:r>
        <w:rPr>
          <w:b w:val="0"/>
          <w:i/>
        </w:rPr>
        <w:t>Figure 1; Appendices A–E (one per Results section, each stating the predictions of that section as propositions with proofs); Results, the “Theoretical predictions” subsection of each window, which states in words what the corresponding appendix proves.</w:t>
      </w:r>
    </w:p>
    <w:p>
      <w:pPr>
        <w:spacing w:after="80"/>
      </w:pPr>
      <w:r>
        <w:rPr>
          <w:b/>
          <w:i w:val="0"/>
        </w:rPr>
        <w:t>C2.2 — The specific ordering in Fig. 1.</w:t>
      </w:r>
    </w:p>
    <w:p>
      <w:pPr>
        <w:spacing w:after="160"/>
        <w:ind w:left="504"/>
      </w:pPr>
      <w:r>
        <w:rPr>
          <w:i/>
        </w:rPr>
        <w:t>“the slopes of the accumulator dynamics for the two motion coherence conditions are unknown, only their ordering can be safely assumed. Thus, it is not clear whether a long low-coherence stimulus yields a larger cumulative signal than a short high-coherence stimulus, as indicated in Fig. 1.”</w:t>
      </w:r>
    </w:p>
    <w:p>
      <w:pPr>
        <w:spacing w:after="80"/>
      </w:pPr>
      <w:r>
        <w:rPr>
          <w:b/>
          <w:i w:val="0"/>
        </w:rPr>
        <w:t xml:space="preserve">Response. </w:t>
      </w:r>
      <w:r>
        <w:rPr>
          <w:b w:val="0"/>
          <w:i w:val="0"/>
        </w:rPr>
        <w:t>Figure 1 has been replaced: it now shows the calibrated models’ actual simulated trajectories rather than a schematic ordering. But the reviewer’s point is not fully answered by replacing a drawing with a simulation, since that only relocates the assumption into one parameter vector, and we would rather give the quantitative answer directly. At the calibrated parameters the mean maintained level is 0.0702 after a long 12% stimulus and 0.0694 after a short 50% one, against an internal threshold of θ = 0.0707 — so the ordering drawn in the original Figure 1 does hold, but barely, and for an instructive reason: 99% of long 12% trials and 94% of short 50% trials reach threshold, so both are close to being pinned at θ and the ordering is nearly an equality. The right reply to the reviewer is therefore not that the ordering can be assumed, but that it is a near-tie produced by saturation of the maintained level — and that saturation is itself a testable property of the account, which the manuscript now derives (Results, Delay-locked &gt; Theoretical predictions, “Saturation bounds the coherence effect, and reverses the expected interaction”) and tests against the delay-period data, where it correctly predicts the direction of the coherence effect on PMET and RT and incorrectly predicts it for delay-period partial-activation rate (Volunteered 3 below). Nothing in the paper’s conclusions depends on the near-degenerate ordering that the reviewer questioned.</w:t>
      </w:r>
    </w:p>
    <w:p>
      <w:pPr>
        <w:spacing w:after="280"/>
      </w:pPr>
      <w:r>
        <w:rPr>
          <w:b/>
          <w:i/>
        </w:rPr>
        <w:t xml:space="preserve">Manuscript location: </w:t>
      </w:r>
      <w:r>
        <w:rPr>
          <w:i/>
        </w:rPr>
        <w:t>Figure 1 and its legend.</w:t>
      </w:r>
    </w:p>
    <w:p>
      <w:pPr>
        <w:spacing w:after="280"/>
        <w:ind w:left="216"/>
      </w:pPr>
      <w:r>
        <w:rPr>
          <w:b/>
          <w:i w:val="0"/>
          <w:color w:val="1F4E9E"/>
        </w:rPr>
        <w:t xml:space="preserve">[NOTE INTERNE — ne pas envoyer telle quelle] </w:t>
      </w:r>
      <w:r>
        <w:rPr>
          <w:b w:val="0"/>
          <w:i w:val="0"/>
          <w:color w:val="1F4E9E"/>
        </w:rPr>
        <w:t>Résolu : la justification quantitative (0.0702 après un stimulus long à 12 %, 0.0694 après un stimulus court à 50 %, contre θ = 0.0707 ; 99 % et 94 % des essais atteignent le seuil) est désormais donnée dans la réponse ci-dessus. Chiffres recalculés au point de calibration comportementale survivant (fitb_model2.json, 40 000 essais par cellule), et non repris tels quels de note4.tex, qui les donnait pour l'ancien calibrage à neuf familles.</w:t>
      </w:r>
    </w:p>
    <w:p>
      <w:pPr>
        <w:spacing w:after="80"/>
      </w:pPr>
      <w:r>
        <w:rPr>
          <w:b/>
          <w:i w:val="0"/>
        </w:rPr>
        <w:t>C2.3 — Leak.</w:t>
      </w:r>
    </w:p>
    <w:p>
      <w:pPr>
        <w:spacing w:after="160"/>
        <w:ind w:left="504"/>
      </w:pPr>
      <w:r>
        <w:rPr>
          <w:i/>
        </w:rPr>
        <w:t>“This is even more true once a non-zero leak is introduced in the integrator, as in generalized diffusion models.”</w:t>
      </w:r>
    </w:p>
    <w:p>
      <w:pPr>
        <w:spacing w:after="80"/>
      </w:pPr>
      <w:r>
        <w:rPr>
          <w:b/>
          <w:i w:val="0"/>
        </w:rPr>
        <w:t xml:space="preserve">Response. </w:t>
      </w:r>
      <w:r>
        <w:rPr>
          <w:b w:val="0"/>
          <w:i w:val="0"/>
        </w:rPr>
        <w:t>The reviewer is right, and the point is now answered structurally rather than by a robustness check. Adding a leak to either accumulator changes none of the derivations in Appendices A–E, because none of them depends on the accumulator being leak-free. What the behavioral propositions require is that the second accumulation's drift be the same in every condition, so that coherence and duration can act on response time only through the maintained level, and that the maintained level be capped at the internal threshold; a common leak alters the mapping from coherence to the maintained level but leaves both properties intact, and therefore leaves every ordering unchanged. We had also run the three leak rates the comment suggests (0.25, 0.50 and 1.00 s⁻¹) through the earlier parameter sweep, and no directional prediction changed at any of them; since the sweep has been removed from the manuscript we mention that result here rather than reporting it there.</w:t>
        <w:br/>
        <w:t>It is worth adding, as the reviewer implicitly does, that the architecture already contains a first-order filter between accumulator and muscle, which is a leak on the transmitted signal. What the comment asks for is a leak on the accumulator itself, and that is the one we have addressed.</w:t>
      </w:r>
    </w:p>
    <w:p>
      <w:pPr>
        <w:spacing w:after="280"/>
      </w:pPr>
      <w:r>
        <w:rPr>
          <w:b/>
          <w:i/>
        </w:rPr>
        <w:t xml:space="preserve">Manuscript location: </w:t>
      </w:r>
      <w:r>
        <w:rPr>
          <w:b w:val="0"/>
          <w:i/>
        </w:rPr>
        <w:t>Appendix A (Setup and notation, and Propositions A.1–A.5, none of which uses leak-freeness); the leak rates themselves are reported here rather than in the manuscript.</w:t>
      </w:r>
    </w:p>
    <w:p>
      <w:pPr>
        <w:spacing w:after="80"/>
      </w:pPr>
      <w:r>
        <w:rPr>
          <w:b/>
          <w:i w:val="0"/>
        </w:rPr>
        <w:t>C2.4 — What is accumulated in the second phase.</w:t>
      </w:r>
    </w:p>
    <w:p>
      <w:pPr>
        <w:spacing w:after="160"/>
        <w:ind w:left="504"/>
      </w:pPr>
      <w:r>
        <w:rPr>
          <w:i/>
        </w:rPr>
        <w:t>“the response signal is unambiguous and presented at fixation, leaving no sensory evidence to be accumulated before it can be detected even in the presence of strong internal noise. This aspect should be unpacked.”</w:t>
      </w:r>
    </w:p>
    <w:p>
      <w:pPr>
        <w:spacing w:after="80"/>
      </w:pPr>
      <w:r>
        <w:rPr>
          <w:b/>
        </w:rPr>
        <w:t xml:space="preserve">Response. </w:t>
      </w:r>
      <w:r>
        <w:t>We considered renaming this stage but have kept “second accumulation phase.” The reviewer is right that the response signal itself carries no directional evidence to resolve, but we intend the second phase as accumulation of the perceptual evidence that the signal is present and has been detected — a well-established construct in the one-choice/detection literature (e.g., Ratcliff &amp; Van Dongen, 2011; Smith, 1995), and distinct from the motion-discrimination accumulation of the first phase. The model uses exactly two properties of this stage: the drive is condition-independent, which places all condition effects on PMET into the starting point, and its increments are independent, which is what makes MET invariant across conditions. Nothing in the model or the fit depends on the signal carrying directional evidence, so the reviewer’s objection bears on the name we gave this stage, not on the mechanism itself, which would be unchanged under any label.</w:t>
      </w:r>
      <w:r/>
    </w:p>
    <w:p>
      <w:pPr>
        <w:spacing w:after="280"/>
      </w:pPr>
      <w:r>
        <w:rPr>
          <w:b/>
          <w:i/>
        </w:rPr>
        <w:t xml:space="preserve">Manuscript location: </w:t>
      </w:r>
      <w:r>
        <w:rPr>
          <w:i/>
        </w:rPr>
        <w:t>Introduction; Materials and Methods, model description (response-signal accumulator).</w:t>
      </w:r>
    </w:p>
    <w:p>
      <w:pPr>
        <w:spacing w:after="280"/>
        <w:ind w:left="216"/>
      </w:pPr>
      <w:r>
        <w:rPr>
          <w:b/>
          <w:color w:val="C05000"/>
        </w:rPr>
        <w:t xml:space="preserve">[NOTE INTERNE — ne pas envoyer telle quelle] </w:t>
      </w:r>
      <w:r>
        <w:rPr>
          <w:color w:val="C05000"/>
        </w:rPr>
        <w:t>Décision explicite de l'utilisateur de NE PAS renommer — la réponse ci-dessus défend la formulation actuelle. À relire pour vérifier que l'argumentaire vous convient avant envoi.</w:t>
      </w:r>
    </w:p>
    <w:p>
      <w:pPr>
        <w:spacing w:after="80"/>
      </w:pPr>
      <w:r>
        <w:rPr>
          <w:b/>
          <w:i w:val="0"/>
        </w:rPr>
        <w:t>C2.5 — Scholarship: motor and premotor circuits.</w:t>
      </w:r>
    </w:p>
    <w:p>
      <w:pPr>
        <w:spacing w:after="160"/>
        <w:ind w:left="504"/>
      </w:pPr>
      <w:r>
        <w:rPr>
          <w:i/>
        </w:rPr>
        <w:t>“studies from the lab of Karel Svoboda have consistently identified a ‘ramping mode’ of non-selective drive of mouse (pre)motor cortex [...] both the Svoboda work in mice as well as work in monkey indicate that effector-selective motor preparatory activity and activity driving motor execution ‘live’ in different subspaces.”</w:t>
      </w:r>
    </w:p>
    <w:p>
      <w:pPr>
        <w:spacing w:after="80"/>
      </w:pPr>
      <w:r>
        <w:rPr>
          <w:b/>
        </w:rPr>
        <w:t xml:space="preserve">Response. </w:t>
      </w:r>
      <w:r>
        <w:t>The Introduction already related the model’s architecture to this literature: a selective maintained level that carries the choice and does not by itself trigger movement, and a non-selective drive released at the response signal — corresponding, respectively, to the non-selective ramping mode reported in mouse motor circuits and to the output-null/output-potent subspace separation described in primate motor cortex (Inagaki et al., 2022; Churchland &amp; Shenoy, 2024). We have now added a sentence in the Discussion making this correspondence explicit at the point where the EMG evidence for it is presented: the effector-selective PMAs sustained through the delay, followed by a non-selective, response-signal-triggered drive to response, are the empirical counterpart of that architecture.</w:t>
      </w:r>
    </w:p>
    <w:p>
      <w:pPr>
        <w:spacing w:after="280"/>
      </w:pPr>
      <w:r>
        <w:rPr>
          <w:b/>
          <w:i/>
        </w:rPr>
        <w:t xml:space="preserve">Manuscript location: </w:t>
      </w:r>
      <w:r>
        <w:rPr>
          <w:i/>
        </w:rPr>
        <w:t>Introduction (model-architecture paragraph); Discussion (PMA-architecture paragraph).</w:t>
      </w:r>
    </w:p>
    <w:p>
      <w:pPr>
        <w:spacing w:after="80"/>
      </w:pPr>
      <w:r>
        <w:rPr>
          <w:b/>
          <w:i w:val="0"/>
        </w:rPr>
        <w:t>C2.6 — Writing: abbreviations and placement of the reasoning.</w:t>
      </w:r>
    </w:p>
    <w:p>
      <w:pPr>
        <w:spacing w:after="160"/>
        <w:ind w:left="504"/>
      </w:pPr>
      <w:r>
        <w:rPr>
          <w:i/>
        </w:rPr>
        <w:t>“the text contains a large number of abbreviations, many of which are non-standard [...] much of the key reasoning underlying the hypotheses is folded into the EMG part of the Methods section.”</w:t>
      </w:r>
    </w:p>
    <w:p>
      <w:pPr>
        <w:spacing w:after="80"/>
      </w:pPr>
      <w:r>
        <w:rPr>
          <w:b/>
        </w:rPr>
        <w:t xml:space="preserve">Response. </w:t>
      </w:r>
      <w:r>
        <w:t>We have defined every heavily used abbreviation (RS, PMA, LRP, MBL) at its true first occurrence in the running text; several had previously been used well before being spelled out, including PMA, which was not introduced as an abbreviation anywhere in the body text despite being used from its first Results subheading onward. We have not removed these abbreviations, since RS, PMA, PMET, MET, MBL, and LRP each occur between 13 and 94 times and are standard shorthand in this literature; spelling them out throughout would add length without adding clarity. On placement of the reasoning: we have added a sentence at the start of the PMA-rate Results subsection that restates, at the point the reader needs it, the theoretical justification for treating PMA rate as a readout of the motor-preparatory signal (previously stated only in Methods).</w:t>
      </w:r>
    </w:p>
    <w:p>
      <w:pPr>
        <w:spacing w:after="280"/>
      </w:pPr>
      <w:r>
        <w:rPr>
          <w:b/>
          <w:i/>
          <w:color w:val="1F4E9E"/>
        </w:rPr>
        <w:t>Manuscript location: Introduction (“a response-signal (RS) variant”); Materials and Methods, “EMG-derived measures” (“Partial muscle activations (PMAs)”) and “Measurement of motor preparation EEG signals” (“(LRP)” and “(MBL)”).</w:t>
      </w:r>
    </w:p>
    <w:p>
      <w:pPr>
        <w:spacing w:after="280"/>
        <w:ind w:left="216"/>
      </w:pPr>
      <w:r>
        <w:rPr>
          <w:b/>
          <w:color w:val="C05000"/>
        </w:rPr>
        <w:t xml:space="preserve">[NOTE INTERNE — ne pas envoyer telle quelle] </w:t>
      </w:r>
      <w:r>
        <w:rPr>
          <w:color w:val="C05000"/>
        </w:rPr>
        <w:t>Traitement partiel — le déplacement complet de la dérivation des prédictions vers les Résultats, suggéré par la note, n'a pas été fait. Voir « Note pour les auteurs ».</w:t>
      </w:r>
    </w:p>
    <w:p>
      <w:pPr>
        <w:spacing w:after="80"/>
      </w:pPr>
      <w:r>
        <w:rPr>
          <w:b/>
          <w:i w:val="0"/>
        </w:rPr>
        <w:t>C2.7 — Broader evidence on selective motor preparation.</w:t>
      </w:r>
    </w:p>
    <w:p>
      <w:pPr>
        <w:spacing w:after="160"/>
        <w:ind w:left="504"/>
      </w:pPr>
      <w:r>
        <w:rPr>
          <w:i/>
        </w:rPr>
        <w:t>“p. 21, l. 418 [...] I suggest to extend it by also incorporating the accumulation of sensory evidence in other formats and to animal work.”</w:t>
      </w:r>
    </w:p>
    <w:p>
      <w:pPr>
        <w:spacing w:after="80"/>
      </w:pPr>
      <w:r>
        <w:rPr>
          <w:b/>
        </w:rPr>
        <w:t xml:space="preserve">Response. </w:t>
      </w:r>
      <w:r>
        <w:t>We have added a citation to non-human-primate reaching decisions alongside the existing citations for evidence accumulation at the motor-preparatory level (Cisek &amp; Kalaska, 2005).</w:t>
      </w:r>
    </w:p>
    <w:p>
      <w:pPr>
        <w:spacing w:after="280"/>
      </w:pPr>
      <w:r>
        <w:rPr>
          <w:b/>
          <w:i/>
        </w:rPr>
        <w:t xml:space="preserve">Manuscript location: </w:t>
      </w:r>
      <w:r>
        <w:rPr>
          <w:i/>
        </w:rPr>
        <w:t>Discussion, PMA-architecture paragraph.</w:t>
      </w:r>
    </w:p>
    <w:p>
      <w:pPr>
        <w:spacing w:after="280"/>
        <w:ind w:left="216"/>
      </w:pPr>
      <w:r>
        <w:rPr>
          <w:b/>
          <w:color w:val="C05000"/>
        </w:rPr>
        <w:t xml:space="preserve">[NOTE INTERNE — ne pas envoyer telle quelle] </w:t>
      </w:r>
      <w:r>
        <w:rPr>
          <w:color w:val="C05000"/>
        </w:rPr>
        <w:t>Traitement partiel — seul le volet « animal work » est couvert. Le volet « autres formats sensoriels » (accumulation de preuves auditives, tactiles, etc.) n'est PAS traité. Voir « Note pour les auteurs ».</w:t>
      </w:r>
    </w:p>
    <w:p>
      <w:r>
        <w:br w:type="page"/>
      </w:r>
    </w:p>
    <w:p>
      <w:pPr>
        <w:pStyle w:val="Heading1"/>
      </w:pPr>
      <w:r>
        <w:t>Editorial Note</w:t>
      </w:r>
    </w:p>
    <w:p>
      <w:pPr>
        <w:spacing w:after="80"/>
      </w:pPr>
      <w:r>
        <w:rPr>
          <w:b/>
          <w:i w:val="0"/>
        </w:rPr>
        <w:t>Editorial note.</w:t>
      </w:r>
    </w:p>
    <w:p>
      <w:pPr>
        <w:spacing w:after="160"/>
        <w:ind w:left="504"/>
      </w:pPr>
      <w:r>
        <w:rPr>
          <w:i/>
        </w:rPr>
        <w:t>“in framing the dynamic regulation of action during working memory and decision making, the authors may also wish to consider other work by van Ede.”</w:t>
      </w:r>
    </w:p>
    <w:p>
      <w:pPr>
        <w:spacing w:after="80"/>
      </w:pPr>
      <w:r>
        <w:rPr>
          <w:b/>
        </w:rPr>
        <w:t xml:space="preserve">Response. </w:t>
      </w:r>
      <w:r>
        <w:t>Added a citation to van Ede &amp; Nobre (2023) in the Introduction, in the context of accounts of working memory as action-oriented.</w:t>
      </w:r>
    </w:p>
    <w:p>
      <w:pPr>
        <w:spacing w:after="280"/>
      </w:pPr>
      <w:r>
        <w:rPr>
          <w:b/>
          <w:i/>
        </w:rPr>
        <w:t xml:space="preserve">Manuscript location: </w:t>
      </w:r>
      <w:r>
        <w:rPr>
          <w:i/>
        </w:rPr>
        <w:t>Introduction, model-architecture paragraph.</w:t>
      </w:r>
    </w:p>
    <w:p>
      <w:r>
        <w:br w:type="page"/>
      </w:r>
    </w:p>
    <w:p>
      <w:pPr>
        <w:pStyle w:val="Heading1"/>
      </w:pPr>
      <w:r>
        <w:t>Additional changes made on our own initiative</w:t>
      </w:r>
    </w:p>
    <w:p>
      <w:pPr>
        <w:spacing w:after="160"/>
      </w:pPr>
      <w:r>
        <w:rPr>
          <w:b w:val="0"/>
          <w:i w:val="0"/>
        </w:rPr>
        <w:t>In preparing this revision we identified four further issues in the original submission, none of which either reviewer raised, but which we think are better disclosed here than left for a reader to discover independently — the data and analysis code are public.</w:t>
      </w:r>
    </w:p>
    <w:p>
      <w:pPr>
        <w:spacing w:after="80"/>
      </w:pPr>
      <w:r>
        <w:rPr>
          <w:b/>
          <w:i w:val="0"/>
        </w:rPr>
        <w:t>Volunteered 1 — an unremarked significant effect.</w:t>
      </w:r>
    </w:p>
    <w:p>
      <w:pPr>
        <w:spacing w:after="80"/>
      </w:pPr>
      <w:r>
        <w:rPr>
          <w:b/>
        </w:rPr>
        <w:t xml:space="preserve">Response. </w:t>
      </w:r>
      <w:r>
        <w:t>The main effect of duration on onset-locked (stimulus-period) partial-activation rate was significant with a large effect size and appeared in the summary tables, but no sentence of the original Results or Discussion referred to it. We have added a sentence reporting it; the theory explains it with no additional assumption, as the average counterpart of the duration × time interaction already discussed.</w:t>
      </w:r>
    </w:p>
    <w:p>
      <w:pPr>
        <w:spacing w:after="280"/>
      </w:pPr>
      <w:r>
        <w:rPr>
          <w:b/>
          <w:i/>
        </w:rPr>
        <w:t xml:space="preserve">Manuscript location: </w:t>
      </w:r>
      <w:r>
        <w:rPr>
          <w:i/>
        </w:rPr>
        <w:t>Results, PMA-rate stimulus-period paragraph.</w:t>
      </w:r>
    </w:p>
    <w:p>
      <w:pPr>
        <w:spacing w:after="80"/>
      </w:pPr>
      <w:r>
        <w:rPr>
          <w:b/>
          <w:i w:val="0"/>
        </w:rPr>
        <w:t>Volunteered 2 — a two-phase mu-beta lateralization buildup.</w:t>
      </w:r>
    </w:p>
    <w:p>
      <w:pPr>
        <w:spacing w:after="80"/>
      </w:pPr>
      <w:r>
        <w:rPr>
          <w:b/>
        </w:rPr>
        <w:t xml:space="preserve">Response. </w:t>
      </w:r>
      <w:r>
        <w:t>As originally written, the claim that mu-beta lateralization shows a coherence-dependent buildup rate across the whole stimulus period was not fully accurate: the coherence-dependent trend is present only in approximately the first second of stimulation and is extinguished thereafter, as coherence-dependent trajectories converge on a common sustained level. We have restated the finding in two phases and added a split-half analysis confirming the pattern directly; this is evidence for accumulation toward an internal threshold, not against it.</w:t>
      </w:r>
    </w:p>
    <w:p>
      <w:pPr>
        <w:spacing w:after="280"/>
      </w:pPr>
      <w:r>
        <w:rPr>
          <w:b/>
          <w:i/>
        </w:rPr>
        <w:t xml:space="preserve">Manuscript location: </w:t>
      </w:r>
      <w:r>
        <w:rPr>
          <w:i/>
        </w:rPr>
        <w:t>Results, MBL stimulus-period paragraph; Table S4; Table S5.</w:t>
      </w:r>
    </w:p>
    <w:p>
      <w:pPr>
        <w:spacing w:after="80"/>
      </w:pPr>
      <w:r>
        <w:rPr>
          <w:b/>
          <w:i w:val="0"/>
        </w:rPr>
        <w:t>Volunteered 3 — resolving a direction-of-effect tension.</w:t>
      </w:r>
    </w:p>
    <w:p>
      <w:pPr>
        <w:spacing w:after="80"/>
      </w:pPr>
      <w:r>
        <w:rPr>
          <w:b/>
        </w:rPr>
        <w:t xml:space="preserve">Response. </w:t>
      </w:r>
      <w:r>
        <w:t>The original submission’s Results and Discussion implicitly relied on two arguments that predict opposite directions for the same underlying quantity: coherence-related differences in the maintained level were said to shrink after a long stimulus (Results, for PMET and RT) and to grow after a long stimulus (Discussion, for delay-period PMA rate). The calibrated model resolves this: at every tested parameter setting compatible with observed accuracy, the coherence effect on delay-period PMA rate shrinks, not grows, after a long stimulus — the same direction as PMET and RT. We therefore now report the observed coherence × duration interaction on delay-period PMA rate as a genuine, unresolved disagreement between the model and the data, rather than as convergent evidence for the account.</w:t>
      </w:r>
    </w:p>
    <w:p>
      <w:pPr>
        <w:spacing w:after="280"/>
      </w:pPr>
      <w:r>
        <w:rPr>
          <w:b/>
          <w:i/>
          <w:color w:val="1F4E9E"/>
        </w:rPr>
        <w:t>Manuscript location: Results, Delay-locked &gt; Theoretical predictions (“Saturation bounds the coherence effect, and reverses the expected interaction” — the argument was moved here from Appendix A in the 2026-08-24 Results restructuring, which left Appendix A to the closed-form derivation alone); Discussion, PMA-dynamics paragraphs.</w:t>
      </w:r>
    </w:p>
    <w:p>
      <w:r>
        <w:rPr>
          <w:b/>
        </w:rPr>
        <w:t>Volunteered 4 — a post-submission correction to two exported data files.</w:t>
      </w:r>
    </w:p>
    <w:p>
      <w:r>
        <w:rPr>
          <w:b/>
          <w:i w:val="0"/>
        </w:rPr>
        <w:t xml:space="preserve">Response. </w:t>
      </w:r>
      <w:r>
        <w:rPr>
          <w:b w:val="0"/>
          <w:i w:val="0"/>
        </w:rPr>
        <w:t>After the original submission we found an error in the two exported electromyographic data files used for the response-signal and response periods, and all results reported for those periods reflect corrected exports. The error was in the export step, not in the recorded data or in the activation-detection procedure. Both files had been written with a 0.3-s window rather than the 0.2-s window specified in Materials and Methods, so each contained three 0.1-s bins per cell instead of two; and in the response-locked file the bins were referenced to the onset of the response-producing muscle burst rather than to the button press. The two bins actually analyzed in the original submission were consequently the second and third of those three, that is the interval from roughly 0.4 to 0.2 s before muscle-activation onset, rather than the 0.2 s immediately preceding the button press. The response-signal period was affected only by the window length and its results are essentially unchanged; the response period was affected by both, and its numbers change.</w:t>
        <w:br/>
        <w:t xml:space="preserve">The consequence for the response period is that the main effect of duration on partial-activation rate, null as originally analyzed (F(1,21) = 0.011, p = .919), is significant in the corrected export (F(1,21) = 7.61, p = .012, ηp² = 0.266), in the same direction as the response-signal period. A second consequence is structural rather than numerical, and explains why the manuscript now analyzes this period on one bin rather than two. Once the bins are correctly referenced to the button press, the final bin (−0.1 to 0 s) is exactly zero for every participant and every condition, and necessarily so: a partial muscle activation is by definition an activation preceding the response-producing burst, and that burst begins on average about 160 ms before the press. The manuscript states this as the structural fact it is, without recounting the correction; we describe the correction here so that a reader who re-runs the analysis from the originally deposited export, and obtains F = 0.011, can see why. </w:t>
      </w:r>
      <w:r>
        <w:rPr>
          <w:b w:val="0"/>
          <w:i w:val="0"/>
        </w:rPr>
        <w:t>No other period or dependent measure was affected, and the corrected exports replace the originals in the archive deposited with the paper.</w:t>
      </w:r>
    </w:p>
    <w:p>
      <w:r>
        <w:rPr>
          <w:b/>
          <w:i/>
        </w:rPr>
        <w:t xml:space="preserve">Manuscript location: </w:t>
      </w:r>
      <w:r>
        <w:rPr>
          <w:b w:val="0"/>
          <w:i/>
        </w:rPr>
        <w:t>Results, Response-locked &gt; Empirical results &gt; PMA rate; Materials and Methods, Statistical Analysis (final paragraph, the structurally empty final bin). The correction itself is documented here rather than in the manuscript.</w:t>
      </w:r>
    </w:p>
    <w:p>
      <w:pPr>
        <w:spacing w:after="280"/>
        <w:ind w:left="216"/>
      </w:pPr>
      <w:r>
        <w:rPr>
          <w:b/>
          <w:color w:val="C05000"/>
        </w:rPr>
        <w:t xml:space="preserve">[NOTE INTERNE — ne pas envoyer telle quelle] </w:t>
      </w:r>
      <w:r>
        <w:rPr>
          <w:color w:val="C05000"/>
        </w:rPr>
        <w:t>Vérifier avant envoi que l'archive OSF a bien été mise à jour avec les exports corrigés du 19/08 (PMA_rate_resp_JASP.csv et PMA_rate_rs_JASP.csv) : la phrase ci-dessus l'affirme au rapporteur. Sur le Mac, les fichiers du 05/08 sont conservés dans data/86cbw-osfstorage-archive/analysis_PMA/data/_superseded_aug5/.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