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600 draws, 4000 trials per cell per model per draw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and, across conditions, a delay-period partial-activation rate between 0.04 and 3 s⁻¹. The last criterion is stated at the level of a participant, since a draw of parameters stands for a hypothetical participant: it asks that the draw produce muscle activity at a rate the real participants span.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w:t>
      </w:r>
      <w:r>
        <w:rPr>
          <w:color w:val="1F4E9E"/>
        </w:rPr>
        <w:t>the partial-activation rate simulated at a representative admissible parameter vector under Model 2</w:t>
      </w:r>
      <w:r>
        <w:rPr>
          <w:color w:val="1F4E9E"/>
        </w:rPr>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color w:val="1F4E9E"/>
        </w:rPr>
        <w:t xml:space="preserve">whose ceiling </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w:r>
        <w:rPr>
          <w:color w:val="1F4E9E"/>
        </w:rPr>
        <w:t xml:space="preserve"> is never exceeded whatever the distance to the gate: </w:t>
      </w:r>
      <w:r>
        <w:rPr>
          <w:color w:val="1F4E9E"/>
        </w:rPr>
        <w:t>at the  needed for a rate</w:t>
      </w:r>
      <m:oMath>
        <m:r>
          <w:rPr>
            <w:rFonts w:ascii="Cambria Math" w:hAnsi="Cambria Math"/>
            <w:color w:val="1F4E9E"/>
          </w:rPr>
          <m:t>κ</m:t>
        </m:r>
      </m:oMath>
      <w:r>
        <w:rPr>
          <w:color w:val="1F4E9E"/>
        </w:rPr>
        <w:t xml:space="preserve"> still rising near the end of a 3-s delay (</w:t>
      </w:r>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t xml:space="preserve">), that ceiling is under </w:t>
      </w:r>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r>
      <w:r>
        <w:rPr>
          <w:color w:val="1F4E9E"/>
        </w:rPr>
        <w:t xml:space="preserve"> — evaluated at the least favorable λ in the range of Table A1, so that the bound holds throughout that range — well below the observed end-of-delay rate of about</w:t>
      </w:r>
      <w:r>
        <w:rPr>
          <w:color w:val="1F4E9E"/>
        </w:rPr>
        <w:t xml:space="preserve"> </w:t>
      </w:r>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t>.</w:t>
      </w:r>
      <w:r>
        <w:rPr>
          <w:color w:val="1F4E9E"/>
        </w:rPr>
        <w:t xml:space="preserve"> That bound is the transient one, not the stationary one, and this distinction matters at exactly this value of the mean-reversion rate: so slow a fluctuation is nowhere near stationary within the analyzed window — its variance is a quarter of the stationary value at the earliest point of that window and about seven-tenths of it at the latest — so its characteristic frequency, and with it the ceiling, is higher early in the window than the stationary expression above would give (0.33 s⁻¹). </w:t>
      </w:r>
      <w:r>
        <w:rPr>
          <w:color w:val="1F4E9E"/>
        </w:rPr>
        <w:t>Integrating the kernel of Appendix C directly</w:t>
      </w:r>
      <w:r>
        <w:rPr>
          <w:color w:val="1F4E9E"/>
        </w:rPr>
        <w:t xml:space="preserve">, without assuming stationarity, gives a ceiling of 0.65 s⁻¹ at the start of the analyzed window falling to 0.39 s⁻¹ at its end, and allowing in addition for the correlation between the fluctuation and its derivative that non-stationarity induces (0.14 at the start of the window, 0.04 at its end) does not raise that maximum. The stationary form used elsewhere in this section is exact to one part in 10⁹ </w:t>
      </w:r>
      <w:r>
        <w:rPr>
          <w:color w:val="1F4E9E"/>
        </w:rPr>
      </w:r>
      <w:r>
        <w:rPr>
          <w:color w:val="1F4E9E"/>
        </w:rPr>
        <w:t>at the fitted mean-reversion rate</w:t>
      </w:r>
      <w:r>
        <w:rPr>
          <w:color w:val="1F4E9E"/>
        </w:rPr>
        <w:t xml:space="preserve"> (Appendix C)</w:t>
      </w:r>
      <w:r>
        <w:rPr>
          <w:color w:val="1F4E9E"/>
        </w:rPr>
        <w:t xml:space="preserve"> but is deliberately not relied upon here.</w:t>
      </w:r>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maximizing over the distance to the gate and over the ranges of κ and λ in Table A1 and computing the moments from the kernel rather than from their stationary limits (Appendix C, C.6). At the lowest rate observed in any participant × condition cell, 0.085 s⁻¹, </w:t>
      </w:r>
      <w:r>
        <w:rPr>
          <w:b w:val="0"/>
          <w:i w:val="0"/>
          <w:color w:val="1F4E9E"/>
        </w:rPr>
        <w:t>Model 1 can reach a slope of +1.17 s⁻¹; at 0.2 s⁻¹ it can reach +0.55; at 0.3 s⁻¹, +0.26; at 0.4 s⁻¹, +0.08; at 0.5 s⁻¹, +0.02; and at the observed mean rate of 0.709 s⁻¹ it can reach +0.001 s⁻¹.</w:t>
      </w:r>
      <w:r>
        <w:rPr>
          <w:b w:val="0"/>
          <w:i w:val="0"/>
          <w:color w:val="1F4E9E"/>
        </w:rPr>
        <w:t xml:space="preserve"> The observed slope is +0.82 s⁻¹ at that rate. Model 1 is therefore not merely quantitatively short: </w:t>
      </w:r>
      <w:r>
        <w:rPr>
          <w:b w:val="0"/>
          <w:i w:val="0"/>
          <w:color w:val="1F4E9E"/>
        </w:rPr>
        <w:t xml:space="preserve">it can produce a ramp of the observed size only by producing partial activations at a fifth of the observed frequency </w:t>
      </w:r>
      <w:r>
        <w:rPr>
          <w:b w:val="0"/>
          <w:i w:val="0"/>
          <w:color w:val="1F4E9E"/>
        </w:rPr>
        <w:t>(0.140 s⁻¹ against 0.709 s⁻¹,</w:t>
      </w:r>
      <w:r>
        <w:rPr>
          <w:b w:val="0"/>
          <w:i w:val="0"/>
          <w:color w:val="1F4E9E"/>
        </w:rPr>
        <w:t xml:space="preserve"> the largest rate compatible with the observed slope anywhere in the sampled ranges)</w:t>
      </w:r>
      <w:r>
        <w:rPr>
          <w:b w:val="0"/>
          <w:i w:val="0"/>
          <w:color w:val="1F4E9E"/>
        </w:rPr>
        <w:t>, and it can produce activations at the observed frequency only by producing no ramp at all.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t>not a fitting failure</w:t>
      </w:r>
      <w:r>
        <w:rPr>
          <w:color w:val="1F4E9E"/>
        </w:rPr>
        <w:t xml:space="preserve"> that a different parameterization would resolve: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Two quantities have to be reproduced together in this window: the rate at which partial activations occur during the delay, and the slope of its logarithm. Taken separately neither is decisive, and the slope alone is the weaker of the two. Over the admissible draws Model 1’s slope is centered near zero (median −0.05 s⁻¹, 5th to 95th percentile −0.27 to +0.09) and Model 2’s is positive (median +0.16, −1.23 to +2.07); Model 2 produces all six cell slopes significantly positive in 68 of its 169 admissible draws and Model 1 in none of its 117, but a count of that kind depends on the sampling and is not by itself an argument. Requiring both quantities at once is decisive, and is what the frontier of the preceding section predicts. No draw of Model 1 reaches the observed slope range at any rate; 18 draws of Model 2 do, and 14 of those also produce a delay-period rate inside the range the participants span.</w:t>
      </w:r>
    </w:p>
    <w:p w14:paraId="3A644C8C" w14:textId="77777777" w:rsidR="00205CBC" w:rsidRDefault="00000000">
      <w:r>
        <w:rPr>
          <w:b w:val="0"/>
          <w:i w:val="0"/>
          <w:color w:val="1F4E9E"/>
        </w:rPr>
        <w:t>Figure S4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S5). That is a residual for Model 2, and it is the same residual the saturation argument above identifies from the other side.</w:t>
      </w:r>
    </w:p>
    <w:p w14:paraId="3A644C8C" w14:textId="77777777" w:rsidR="00205CBC" w:rsidRDefault="00000000">
      <w:r>
        <w:rPr>
          <w:b w:val="0"/>
          <w:i w:val="0"/>
          <w:color w:val="1F4E9E"/>
        </w:rPr>
        <w:t>Because the largest slope over a set of noisy draws is biased upward, the draws that came closest were re-simulated at twenty times the trial count, on three independent seeds each. The result separates the two ways a draw can fail. Model 1’s draws that produce a realistic activation rate (0.19 to 1.10 s⁻¹) have slopes between −0.007 and 0.000 s⁻¹, with Monte-Carlo standard errors of 0.004 or less: not a small ramp, but no ramp. Its draws that do produce a ramp — +0.10, +0.13 and +0.24 s⁻¹ — do so at rates of 0.040 to 0.051 s⁻¹, between fourteen and eighteen times below the observed mean and below the lowest rate observed in any participant × condition cell. Two draws whose first-pass slopes had looked positive (+0.18 and +0.22) fell to +0.01 and −0.03 on re-simulation, which is what the upward bias of a maximum looks like when it is checked. The sampled space and the closed-form frontier therefore agree, by independent routes, on where the boundary lies: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The spread across draws is a property of the architecture and not of the simulation. Re-simulating forty admissible draws per model on four independent seeds each and decomposing the variance of the delay-period slope gives, for Model 1, a total standard deviation of 0.099 s⁻¹ of which 0.055 is Monte-Carlo and 0.083 between draws, and for Model 2 a total of 1.18 s⁻¹ of which 0.057 is Monte-Carlo and 1.17 between draws. Model 1’s slope is thus not merely centered near zero but pinned there: the whole span of its admissible parameter space moves it about a tenth as much as Model 2’s space moves Model 2’s.</w:t>
      </w:r>
    </w:p>
    <w:p w14:paraId="168B8045" w14:textId="77777777" w:rsidR="00205CBC" w:rsidRDefault="00000000">
      <w:r>
        <w:rPr>
          <w:color w:val="1F4E9E"/>
        </w:rPr>
        <w:t xml:space="preserve">Figure S2 (delay panel) shows this discrimination directly at the level of the simulated rate curve: </w:t>
      </w:r>
      <w:r>
        <w:rPr>
          <w:color w:val="1F4E9E"/>
        </w:rPr>
        <w:t>Model 2, simulated at a representative admissible parameter vector and passed through</w:t>
      </w:r>
      <w:r>
        <w:rPr>
          <w:color w:val="1F4E9E"/>
        </w:rPr>
      </w:r>
      <w:r>
        <w:rPr>
          <w:color w:val="1F4E9E"/>
        </w:rPr>
        <w:t xml:space="preserve"> the same detection rules as the observed data, continues to climb across the delay as the data do, consistent with the log-rate-slope comparison above. The same panel also makes the saturation argument (above) numerical: the simulated model spreads the three coherence levels more widely after a short stimulus than the data support, the model's principal residual in this window.</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540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54012"/>
                    </a:xfrm>
                    <a:prstGeom prst="rect">
                      <a:avLst/>
                    </a:prstGeom>
                  </pic:spPr>
                </pic:pic>
              </a:graphicData>
            </a:graphic>
          </wp:inline>
        </w:drawing>
      </w:r>
      <w:r>
        <w:br/>
      </w:r>
      <w:r>
        <w:rPr>
          <w:noProof/>
        </w:rPr>
        <w:drawing>
          <wp:inline distT="0" distB="0" distL="0" distR="0" wp14:anchorId="68E4C781" wp14:editId="2BC68CE3">
            <wp:extent cx="5760720" cy="20540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54012"/>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t>Fig 1. Simulated mean dynamics under the two candidate models.</w:t>
      </w:r>
      <w:r>
        <w:rPr>
          <w:color w:val="1F4E9E"/>
        </w:rPr>
        <w:t xml:space="preserve"> </w:t>
      </w:r>
      <w:r>
        <w:rPr>
          <w:color w:val="1F4E9E"/>
        </w:rPr>
        <w:t>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time-locked</w:t>
      </w:r>
      <w:r>
        <w:rPr>
          <w:color w:val="1F4E9E"/>
        </w:rPr>
      </w:r>
      <w:r>
        <w:rPr>
          <w:color w:val="1F4E9E"/>
        </w:rPr>
        <w:t xml:space="preserve"> to the four trial events (stimulus onset, stimulus offset, response signal, response), with a one-standard-deviation band; each trial is censored at its own response.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51182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511822"/>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Panel B shows one simulated trial from </w:t>
      </w:r>
      <w:r>
        <w:rPr>
          <w:color w:val="1F4E9E"/>
        </w:rPr>
        <w:t>the fitted Model 2</w:t>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0.008–0.080 s (log-uniform)</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FF0000"/>
                <w:sz w:val="22"/>
                <w:szCs w:val="22"/>
              </w:rPr>
              <w:t xml:space="preserve">Derived as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FF0000"/>
                <w:sz w:val="22"/>
                <w:szCs w:val="22"/>
              </w:rPr>
              <w:t xml:space="preserve">, where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00474B13" w:rsidRPr="00474B13">
              <w:rPr>
                <w:rFonts w:eastAsiaTheme="minorEastAsia"/>
                <w:color w:val="FF0000"/>
                <w:sz w:val="22"/>
                <w:szCs w:val="22"/>
                <w:vertAlign w:val="subscript"/>
              </w:rPr>
              <w:t xml:space="preserve"> </w:t>
            </w:r>
            <w:r w:rsidR="00474B13">
              <w:rPr>
                <w:rFonts w:eastAsiaTheme="minorEastAsia"/>
                <w:color w:val="FF0000"/>
                <w:sz w:val="22"/>
                <w:szCs w:val="22"/>
                <w:vertAlign w:val="subscript"/>
              </w:rPr>
              <w:t xml:space="preserve"> </w:t>
            </w:r>
            <w:r w:rsidRPr="0099074B">
              <w:rPr>
                <w:color w:val="FF0000"/>
                <w:sz w:val="22"/>
                <w:szCs w:val="22"/>
              </w:rPr>
              <w:t>denotes the stationary standard deviation of the maintenance fluctuations and was sampled from  0.003–0.030</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Model 1: 0; Model 2: 0.0015–0.024</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rather than fixed at them — as were the response criterion r and the residual motor latency Lmotor, for the same reason.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The range for Lmotor brackets the electromechanical delay between muscle activation and the overt response. 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For the maintenance-noise process, the stationary standard deviation SDε was sampled rather than σε so that fluctuation amplitude could vary independently of κ.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At stationarity,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so Ż(t) is independent of </w:t>
      </w:r>
      <w:r>
        <w:rPr>
          <w:i/>
          <w:color w:val="1F4E9E"/>
        </w:rPr>
        <w:t>Z(t)</w:t>
      </w:r>
      <w:r>
        <w:rPr>
          <w:color w:val="1F4E9E"/>
        </w:rPr>
        <w:t xml:space="preserve"> and, writing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t xml:space="preserve"> for standard normal </w:t>
      </w:r>
      <w:r>
        <w:rPr>
          <w:i/>
          <w:color w:val="1F4E9E"/>
        </w:rPr>
        <w:t>ζ</w:t>
      </w:r>
      <w:r>
        <w:rPr>
          <w:color w:val="1F4E9E"/>
        </w:rPr>
        <w:t xml:space="preserve">, </w:t>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t xml:space="preserve">. Dividing through by </w:t>
      </w:r>
      <w:r>
        <w:rPr>
          <w:i/>
          <w:color w:val="1F4E9E"/>
        </w:rPr>
        <w:t>σ</w:t>
      </w:r>
      <w:r>
        <w:rPr>
          <w:color w:val="1F4E9E"/>
          <w:vertAlign w:val="subscript"/>
        </w:rPr>
        <w:t>V</w:t>
      </w:r>
      <w:r>
        <w:rPr>
          <w:color w:val="1F4E9E"/>
        </w:rPr>
        <w:t xml:space="preserve"> and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and </w:t>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gives</w:t>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gives: at a rate of at least 0.085 s⁻¹ — the lowest value observed in any participant × condition cell — </w:t>
      </w:r>
      <w:r>
        <w:rPr>
          <w:b w:val="0"/>
          <w:i w:val="0"/>
          <w:color w:val="1F4E9E"/>
        </w:rPr>
        <w:t>a slope of at most +1.17 s⁻¹; at 0.2 s⁻¹, at most +0.55; at 0.3, at most +0.26; at 0.4, at most +0.08; at 0.5, at most +0.02; and at the observed mean rate of 0.709 s⁻¹, at most +0.001 s⁻¹.</w:t>
      </w:r>
      <w:r>
        <w:rPr>
          <w:b w:val="0"/>
          <w:i w:val="0"/>
          <w:color w:val="1F4E9E"/>
        </w:rPr>
        <w:t xml:space="preserve"> The optimum lies at the smallest κ and the largest λ of the sampled ranges throughout, so the frontier is the most favorable one those ranges allow. The observed slope is +0.82 s⁻¹ at a rate of 0.71 s⁻¹, which is three orders of magnitude above the frontier at that rate; </w:t>
      </w:r>
      <w:r>
        <w:rPr>
          <w:b w:val="0"/>
          <w:i w:val="0"/>
          <w:color w:val="1F4E9E"/>
        </w:rPr>
        <w:t xml:space="preserve">The largest rate at which Model 1 attains the observed slope anywhere in the sampled ranges </w:t>
      </w:r>
      <w:r>
        <w:rPr>
          <w:b w:val="0"/>
          <w:i w:val="0"/>
          <w:color w:val="1F4E9E"/>
        </w:rPr>
        <w:t>is 0.140 s⁻¹ (at κ = 0.20, λ = 50, a = 1.75)</w:t>
      </w:r>
      <w:r>
        <w:rPr>
          <w:b w:val="0"/>
          <w:i w:val="0"/>
          <w:color w:val="1F4E9E"/>
        </w:rPr>
        <w:t>, a fifth of the observed mean and below the first percentile of the observed distribution of participant × condition rates.</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485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48596"/>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w:t>
      </w:r>
      <w:r>
        <w:rPr>
          <w:i/>
          <w:color w:val="1F4E9E"/>
        </w:rPr>
        <w:t>simulated at a representative admissible parameter vector — the sampled draw closest to the coordinate-wise median of the parameters of the draws admissible in both models, with the ramp magnitude β at the median of the values admissible under Model 2 (Materials and Methods), with the detection rules</w:t>
      </w:r>
      <w:r>
        <w:rPr>
          <w:i/>
          <w:color w:val="1F4E9E"/>
        </w:rPr>
      </w:r>
      <w:r>
        <w:rPr>
          <w:i/>
          <w:color w:val="1F4E9E"/>
        </w:rPr>
        <w:t xml:space="preserve"> applied to the simulated signal. Left, stimulus period; right, delay period (discussed further in Delay-locked, below). The delay panel shows the model's main residual: it spreads the three coherence levels far more widely after a short stimulus than the data support — the saturation argument (Delay-locked, above) made numerical.</w:t>
      </w:r>
    </w:p>
    <w:p w14:paraId="0E67158D" w14:textId="77777777" w:rsidR="00205CBC" w:rsidRDefault="00000000">
      <w:r>
        <w:rPr>
          <w:noProof/>
        </w:rPr>
        <w:drawing>
          <wp:inline distT="0" distB="0" distL="0" distR="0" wp14:anchorId="3BA9A8DD" wp14:editId="76BFECA4">
            <wp:extent cx="5486400" cy="19022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23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t>Fig S4. The ramp–rate frontier, with the sampled parameter space on it. Horizontal axis, the delay-period partial-activation rate (logarithmic); vertical axis, the slope of its logarithm. The red curve is the largest slope Model 1 can attain at each rate, computed in closed form from the kernel over the ranges of Table A1 (Appendix C, C.5–C.6); the shaded region above it is unreachable by that architecture. Open circles are the admissible draws of each model, filled diamonds the Model 1 draws re-simulated at 40 000 trials per cell on three seeds, and the star the observation, with the horizontal bar spanning the observed participant × condition rates and the grey band the observed slope range.</w:t>
      </w:r>
    </w:p>
    <w:p w14:paraId="23B269A3" w14:textId="77777777" w:rsidR="00205CBC" w:rsidRDefault="00000000">
      <w:r>
        <w:rPr>
          <w:b w:val="0"/>
          <w:i w:val="0"/>
          <w:color w:val="1F4E9E"/>
        </w:rPr>
        <w:t>Fig S5. The delay-period rate curve, observed against each architecture, restricted to admissible draws whose mean rate brackets the observed 0.709 s⁻¹. The restriction is what makes the comparison meaningful: over the whole admissible set the levels differ by two orders of magnitude, and a percentile envelope taken bin by bin would mix profiles that are not comparable. Points, observed rate per 0.1 s bin with Poisson standard errors; line and band, the median and the 5th–95th percentile across the selected draws.</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