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and coherence effects on response time; the duration effect on the stimulus-period partial-activation rate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(Proposition C.3); and the delay-period log-rate slope. A model whose range excludes the observed value is quantitatively inadequate on that effect whatever the sign of its prediction. Figure S5 shows all eight.</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 xml:space="preserve">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w:t>
      </w:r>
      <w:r>
        <w:rPr>
          <w:b w:val="0"/>
          <w:i w:val="0"/>
          <w:color w:val="1F4E9E"/>
        </w:rPr>
        <w:t>it was 0.075 ± 0.014 in the data, against ranges of 0.012 to 0.197 for Model 1 and 0.020 to 0.208 for Model 2. The duration effect on response time was 49 ± 6 ms, against 2 to 86 ms and 1 to 92 ms; the coherence effect was 33 ± 6 ms, against 1 to 75 ms and 1 to 82 ms. Each of these effects carries the observed sign in 99% of the admissible settings of each model.</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The direction is the one Proposition B.2 gives for Model 2 and the reverse of the one it gives for Model 1, and the parameter-space evaluation below turns that into a test.</w:t>
      </w:r>
    </w:p>
    <w:p w14:paraId="3B1E680C" w14:textId="77777777" w:rsidR="00205CBC" w:rsidRDefault="00000000">
      <w:r>
        <w:rPr>
          <w:b w:val="0"/>
          <w:i w:val="0"/>
          <w:color w:val="1F4E9E"/>
        </w:rPr>
        <w:t>The parameter-space evaluation turns this into an exclusion of Model 1, and it is worth being exact about what it does and does not establish. The duration effect on the stimulus-period partial-activation rate — the rate after the 0.3 s stimulus minus the rate after the 2 s stimulus, over the same 0 to 2 s window used for the data — was +0.057 ± 0.015 s⁻¹. Model 1 produces a negative effect at 99% of its admissible settings (5th to 95th percentile −0.324 to −0.004 s⁻¹), which is what Proposition B.2 predicts for it and what makes the observation incompatible with that architecture, on the stimulus period alone and before any delay-period quantity is examined. Model 2 produces the observed sign at 45% of its settings (−0.214 to +0.036 s⁻¹): temporal preparation opposes the level effect, as B.2 says, but does not generally overturn it, because the ramp’s size and the distance to the gate are independent parameters.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A second, independent exclusion follows from the same calculation, and it does not require Model 1 to reach the observed slope at all — only to produce a ramp. Under Model 1 the ramp is a relaxation, so its rate of rise must decay across the window: the relative rate of variance growth is (1/τ)·v/(e^v − 1) with v = 2κτ, bounded above by 1/τ whatever κ, and the standardized distance to the gate falls as the variance fills, which steepens the decay further. Over the ranges of Table A1 the ratio of the local log-rate slope early in the window to that late in it is never below 15 (Appendix C, C.11). Model 2 is under no such constraint — its slope is proportional to a distance the ramp reduces linearly, so the ratio can be as low as about 1.1. The observed profile does not decelerate at all: the per-participant log-rate slopes in the four quarters of the window are +0.58, +0.94, +0.72 and +0.62 s⁻¹, a first-to-last ratio of 0.94. A rise that holds a nearly constant proportional rate for two seconds is not something a variance transient can produce, at any parameter setting and at any rate; and unlike the frontier, this statement does not depend on how large the ramp is, only on its shape.</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the observed sign appears in 90% of Model 2’s settings and 31% of Model 1’s, and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 xml:space="preserve">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w:t>
      </w:r>
      <w:r>
        <w:rPr>
          <w:b w:val="0"/>
          <w:i w:val="0"/>
          <w:color w:val="1F4E9E"/>
        </w:rPr>
        <w:t>the observed value is +0.107 ± 0.051 s⁻¹, whereas the admissible draws give −0.764 to +0.001 s⁻¹ for Model 1 and −0.741 to +0.017 s⁻¹ for Model 2. Neither range reaches the observation, and the observed sign appears in 5% and 9% of admissible settings respectively.</w:t>
      </w:r>
      <w:r>
        <w:rPr>
          <w:b w:val="0"/>
          <w:i w:val="0"/>
          <w:color w:val="1F4E9E"/>
        </w:rPr>
        <w:t xml:space="preserve"> The disagreement is therefore not a matter of parameter choice that a different setting would repair: it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Both architectures produce the premotor effect (Model 1, 3 to 108 ms; Model 2, 2 to 126 ms) and both leave the motor component nearly alone (−46 to 0 ms and −62 to −1 ms). The dissociation is therefore reproduced.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but one-sidedly). Under Model 1 the stimulus-locked rate is higher after the long stimulus than after the short one, at every admissible parameter setting. Under Model 2 temporal preparation opposes that ordering and can reverse it, but does not do so throughout the admissible space. Proof. The stimulus-locked window runs from motion onset to 2 s. Under Model 1, β = 0 and the window contains no ramp at either duration, so the only duration dependence left is that the long stimulus has accumulated more evidence by the end of the window, giving a larger |y|, a smaller a, and hence a higher rate after the long stimulus. Under Model 2, temporal preparation begins at toffset = D + Lmotion and so occupies 2 − D − Lmotion of the window: about three-quarters of it when D = 0.3 s and none of it when D = 2 s. The ramp therefore reduces a inside the window in the short condition only, which pushes the duration effect in the opposite direction from the level effect. Whether it overturns it depends on the ramp’s size relative to the distance to the gate, and the two are independent parameters, so the reversal cannot be established for the whole space. Evaluated over the ranges of Table A1 it occurs at 45% of Model 2’s admissible settings and at 1% of Model 1’s. What is therefore established is a one-sided test: an observed rate higher after the short stimulus is incompatible with Model 1 and compatible with Model 2, and cannot be turned round into a positive prediction for Model 2.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 Its one-sidedness is worth keeping in view: outside the delay period the design can refute Model 1 but cannot confirm Model 2, and it is only in the delay period that Model 2 makes a prediction of its own.</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4BF0E229" w14:textId="77777777" w:rsidR="00205CBC" w:rsidRDefault="00000000">
      <w:r>
        <w:rPr>
          <w:b w:val="0"/>
          <w:i w:val="0"/>
          <w:color w:val="1F4E9E"/>
        </w:rPr>
        <w:t>Corollary C.11 (Model 1 cannot hold its ramp to the response signal). Under Model 1 the log-rate slope must fall by more than an order of magnitude across the analysis window, at every admissible parameter setting. Proof. With α = 0 and the maintenance variance written s(τ) = SDε²(1 − e^{−2κτ}), the relative rate of variance growth has the closed form s′/s = (1/τ)·v/(e^v − 1) with v = 2κτ. Since v/(e^v − 1) is decreasing, s′/s is decreasing in κ and bounded above by its limit 1/τ, so no choice of κ makes the log-rate slope decay more slowly than 1/τ — which alone imposes a factor of τ₁/τ₀ = 3.5 across the window. The realised decay is steeper than that for two further reasons: the prefactor term is negative and grows in relative importance as the transient dies, and the standardized distance a(τ) = d/√s(τ) itself falls as the variance fills, so the factor a²/2 multiplying s′/s shrinks too. Evaluated from the kernel over the ranges of Table A1, among all settings whose slope is positive at both ends of the window, the ratio of the local log-rate slope at 0.8 s to that at 2.8 s is never below 15 — from 15 to 3400 over the box, and no lower than 13.7 even if κ is allowed two further orders of magnitude below its sampled floor. Model 2, whose slope is k·a(τ) with a falling linearly, is under no such constraint: its ratio runs from about 1.1 upward. ∎</w:t>
      </w:r>
    </w:p>
    <w:p w14:paraId="4BF0E229" w14:textId="77777777" w:rsidR="00205CBC" w:rsidRDefault="00000000">
      <w:r>
        <w:rPr>
          <w:b w:val="0"/>
          <w:i w:val="0"/>
          <w:color w:val="1F4E9E"/>
        </w:rPr>
        <w:t>Remark C.12. The bound of C.11 survives the two objections that matter. Mixing over the maintained level does not flatten it: a uniform mixture over standardized distances {1.5, 2.0, 2.5} lowers the ratio from 16.5 to 13.0 at κ = 0.02, and a wider spread makes the pooled slope negative outright. And the measurement effect that depresses the end of the window — the burst preceding the response is scored as the response, in the data and in the simulation alike — acts on the observed profile too, so it makes the observation look more decelerating than it is, which is the conservative direction. The observed per-participant log-rate slopes in the four quarters of the window are +0.58, +0.94, +0.72 and +0.62 s⁻¹: their first-to-last ratio is 0.94, and Model 1 requires at least 15.</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382621"/>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382621"/>
                    </a:xfrm>
                    <a:prstGeom prst="rect"/>
                  </pic:spPr>
                </pic:pic>
              </a:graphicData>
            </a:graphic>
          </wp:inline>
        </w:drawing>
      </w:r>
    </w:p>
    <w:p w14:paraId="23B269A3" w14:textId="77777777" w:rsidR="00205CBC" w:rsidRDefault="00000000">
      <w:r>
        <w:rPr>
          <w:b w:val="0"/>
          <w:i w:val="0"/>
          <w:color w:val="1F4E9E"/>
        </w:rPr>
        <w:t>Fig S5. Effect sizes each architecture can produce, against the observed value, for the ten directional predictions the Results test.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range that does not reach the observed value. The percentage at the right of each bar is the proportion of admissible sets whose effect carries the observed sign, computed over the sets whose effect is non-zero. Two effects separate the architectures — B.2, where Model 1 has the observed sign at 1% of its settings against Model 2’s 45%, and C.2, at 31% against 90%. One is missed by both, the C.3 interaction (5% and 9%). The remaining seven follow from the machinery the two models share and are reproduced by both at 96% or above, which is what Remark A.0 requires.</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