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CA1C"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06F9372B" w14:textId="77777777"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lang w:val="fr-FR" w:eastAsia="ja-JP"/>
        </w:rPr>
        <w:t xml:space="preserve">Johan </w:t>
      </w:r>
      <w:r w:rsidR="00161431">
        <w:rPr>
          <w:rFonts w:eastAsia="SimSun"/>
          <w:color w:val="000000"/>
          <w:lang w:val="fr-FR" w:eastAsia="ja-JP"/>
        </w:rPr>
        <w:t xml:space="preserve">A. </w:t>
      </w:r>
      <w:r w:rsidRPr="004E24C4">
        <w:rPr>
          <w:rFonts w:eastAsia="SimSun"/>
          <w:lang w:val="fr-FR" w:eastAsia="ja-JP"/>
        </w:rPr>
        <w:t>Achard</w:t>
      </w:r>
      <w:r w:rsidRPr="004E24C4">
        <w:rPr>
          <w:rFonts w:eastAsia="SimSun"/>
          <w:color w:val="000000"/>
          <w:vertAlign w:val="superscript"/>
          <w:lang w:val="fr-FR" w:eastAsia="ja-JP"/>
        </w:rPr>
        <w:t>1</w:t>
      </w:r>
      <w:r w:rsidRPr="004E24C4">
        <w:rPr>
          <w:rFonts w:eastAsia="SimSun"/>
          <w:lang w:val="fr-FR" w:eastAsia="ja-JP"/>
        </w:rPr>
        <w:t xml:space="preserve">, Thibault </w:t>
      </w:r>
      <w:proofErr w:type="spellStart"/>
      <w:r w:rsidRPr="004E24C4">
        <w:rPr>
          <w:rFonts w:eastAsia="SimSun"/>
          <w:lang w:val="fr-FR" w:eastAsia="ja-JP"/>
        </w:rPr>
        <w:t>Gajdos</w:t>
      </w:r>
      <w:proofErr w:type="spellEnd"/>
      <w:r w:rsidRPr="004E24C4">
        <w:rPr>
          <w:rFonts w:eastAsia="SimSun"/>
          <w:lang w:val="fr-FR" w:eastAsia="ja-JP"/>
        </w:rPr>
        <w:t xml:space="preserve"> Preuss</w:t>
      </w:r>
      <w:r w:rsidR="00AF7F8F" w:rsidRPr="004E24C4">
        <w:rPr>
          <w:rFonts w:eastAsia="SimSun"/>
          <w:color w:val="000000"/>
          <w:vertAlign w:val="superscript"/>
          <w:lang w:val="fr-FR" w:eastAsia="ja-JP"/>
        </w:rPr>
        <w:t>2</w:t>
      </w:r>
      <w:r w:rsidRPr="004E24C4">
        <w:rPr>
          <w:rFonts w:eastAsia="SimSun"/>
          <w:lang w:val="fr-FR" w:eastAsia="ja-JP"/>
        </w:rPr>
        <w:t>, Mathieu Servant</w:t>
      </w:r>
      <w:r w:rsidRPr="004E24C4">
        <w:rPr>
          <w:rFonts w:eastAsia="SimSun"/>
          <w:color w:val="000000"/>
          <w:vertAlign w:val="superscript"/>
          <w:lang w:val="fr-FR" w:eastAsia="ja-JP"/>
        </w:rPr>
        <w:t>1</w:t>
      </w:r>
    </w:p>
    <w:p w14:paraId="21C6196E" w14:textId="77777777" w:rsidR="00D77EF5" w:rsidRPr="004E24C4" w:rsidRDefault="00D77EF5" w:rsidP="00D77EF5">
      <w:pPr>
        <w:spacing w:after="0"/>
        <w:jc w:val="center"/>
        <w:rPr>
          <w:rFonts w:eastAsia="SimSun"/>
          <w:color w:val="000000"/>
          <w:lang w:val="fr-FR" w:eastAsia="ja-JP"/>
        </w:rPr>
      </w:pPr>
    </w:p>
    <w:p w14:paraId="47CA5C44"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lang w:val="fr-FR" w:eastAsia="ja-JP"/>
        </w:rPr>
        <w:t>Laboratoire de Recherches Intégratives en Neurosciences et Psychologie Cognitive, Institut National de la Santé et de la Recherche Médicale, Université Marie et Louis Pasteur</w:t>
      </w:r>
    </w:p>
    <w:p w14:paraId="3942653C" w14:textId="77777777"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vertAlign w:val="superscript"/>
          <w:lang w:val="fr-FR" w:eastAsia="ja-JP"/>
        </w:rPr>
        <w:t xml:space="preserve"> </w:t>
      </w:r>
      <w:r w:rsidR="00D77EF5" w:rsidRPr="00D77EF5">
        <w:rPr>
          <w:rFonts w:eastAsia="SimSun"/>
          <w:lang w:val="fr-FR" w:eastAsia="ja-JP"/>
        </w:rPr>
        <w:t>Centre de Recherche en Psychologie et Neuroscience, Centre National de la Recherche Scientifique, Aix-Marseille Université</w:t>
      </w:r>
    </w:p>
    <w:p w14:paraId="4332820B" w14:textId="77777777" w:rsidR="00E47408" w:rsidRPr="00D77EF5" w:rsidRDefault="00E47408" w:rsidP="003F39C0">
      <w:pPr>
        <w:rPr>
          <w:lang w:val="fr-FR"/>
        </w:rPr>
      </w:pPr>
    </w:p>
    <w:p w14:paraId="03B3B245" w14:textId="77777777" w:rsidR="00911A18" w:rsidRPr="00EF0399" w:rsidRDefault="00911A18" w:rsidP="00973A6A">
      <w:pPr>
        <w:spacing w:after="0" w:line="240" w:lineRule="auto"/>
        <w:rPr>
          <w:lang w:val="fr-FR"/>
        </w:rPr>
      </w:pPr>
    </w:p>
    <w:p w14:paraId="1FCAC57A" w14:textId="77777777" w:rsidR="00662A1C" w:rsidRDefault="00E3156B" w:rsidP="00662A1C">
      <w:pPr>
        <w:spacing w:after="120" w:line="240" w:lineRule="auto"/>
      </w:pPr>
      <w:r w:rsidRPr="00514D69">
        <w:t>Abbreviated title:</w:t>
      </w:r>
      <w:r w:rsidR="00060629">
        <w:t xml:space="preserve"> </w:t>
      </w:r>
    </w:p>
    <w:p w14:paraId="4106ACF1" w14:textId="77777777" w:rsidR="00CF20D1" w:rsidRDefault="005B0941" w:rsidP="00662A1C">
      <w:pPr>
        <w:spacing w:after="120" w:line="240" w:lineRule="auto"/>
      </w:pPr>
      <w:r>
        <w:t>Perceptual Decisions over</w:t>
      </w:r>
      <w:r w:rsidR="00CF20D1" w:rsidRPr="00CF20D1">
        <w:t xml:space="preserve"> Short Delays</w:t>
      </w:r>
    </w:p>
    <w:p w14:paraId="3825684D" w14:textId="77777777" w:rsidR="00CF20D1" w:rsidRDefault="00CF20D1" w:rsidP="00662A1C">
      <w:pPr>
        <w:spacing w:after="120" w:line="240" w:lineRule="auto"/>
      </w:pPr>
    </w:p>
    <w:p w14:paraId="0E1F2825" w14:textId="77777777"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5C53C292" w14:textId="77777777" w:rsidR="00E47408" w:rsidRDefault="00E47408" w:rsidP="00E47408">
      <w:pPr>
        <w:pStyle w:val="Sansinterligne"/>
      </w:pPr>
      <w:r>
        <w:t>Number of pages:</w:t>
      </w:r>
      <w:r w:rsidR="002A741D">
        <w:t xml:space="preserve"> 43</w:t>
      </w:r>
    </w:p>
    <w:p w14:paraId="145C3E8C" w14:textId="77777777" w:rsidR="00E47408" w:rsidRDefault="00E47408" w:rsidP="00E47408">
      <w:pPr>
        <w:pStyle w:val="Sansinterligne"/>
      </w:pPr>
      <w:r>
        <w:rPr>
          <w:color w:val="1F4E9E"/>
        </w:rPr>
        <w:t>Number of figures: 4 (plus 3 supplementary)</w:t>
      </w:r>
    </w:p>
    <w:p w14:paraId="31D83CBA" w14:textId="77777777" w:rsidR="00E47408" w:rsidRDefault="00E47408" w:rsidP="00E47408">
      <w:pPr>
        <w:pStyle w:val="Sansinterligne"/>
      </w:pPr>
      <w:r>
        <w:rPr>
          <w:color w:val="1F4E9E"/>
        </w:rPr>
        <w:t>Number of tables: 2 (plus 1 appendix table and 6 supplementary)</w:t>
      </w:r>
    </w:p>
    <w:p w14:paraId="4F9E8A6E" w14:textId="77777777" w:rsidR="00E47408" w:rsidRDefault="00E47408" w:rsidP="00E47408">
      <w:pPr>
        <w:pStyle w:val="Sansinterligne"/>
      </w:pPr>
      <w:r w:rsidRPr="00E47408">
        <w:t>Number of multimedia and 3D models:</w:t>
      </w:r>
      <w:r w:rsidR="00911A18">
        <w:t xml:space="preserve"> 0</w:t>
      </w:r>
    </w:p>
    <w:p w14:paraId="10317628" w14:textId="77777777" w:rsidR="00E47408" w:rsidRDefault="00EF2883" w:rsidP="00E47408">
      <w:pPr>
        <w:pStyle w:val="Sansinterligne"/>
      </w:pPr>
      <w:r w:rsidRPr="00EF2883">
        <w:rPr>
          <w:color w:val="1F4E9E"/>
        </w:rPr>
        <w:t>Number of words for abstract: 248</w:t>
      </w:r>
    </w:p>
    <w:p w14:paraId="548E87FD" w14:textId="77777777" w:rsidR="00EF2883" w:rsidRDefault="00EF2883" w:rsidP="00E47408">
      <w:pPr>
        <w:pStyle w:val="Sansinterligne"/>
      </w:pPr>
      <w:r w:rsidRPr="00EF2883">
        <w:rPr>
          <w:color w:val="1F4E9E"/>
        </w:rPr>
        <w:t>Number of words for introduction: 648</w:t>
      </w:r>
    </w:p>
    <w:p w14:paraId="7B03DC3C" w14:textId="77777777" w:rsidR="00EF2883" w:rsidRDefault="00EF2883" w:rsidP="00E47408">
      <w:pPr>
        <w:pStyle w:val="Sansinterligne"/>
      </w:pPr>
      <w:r w:rsidRPr="00EF2883">
        <w:rPr>
          <w:color w:val="1F4E9E"/>
        </w:rPr>
        <w:t>Number of words for discussion: 1359</w:t>
      </w:r>
    </w:p>
    <w:p w14:paraId="5E24D624" w14:textId="77777777" w:rsidR="00EF2883" w:rsidRDefault="00EF2883" w:rsidP="00E47408">
      <w:pPr>
        <w:pStyle w:val="Sansinterligne"/>
      </w:pPr>
    </w:p>
    <w:p w14:paraId="463815F1" w14:textId="77777777"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70AEA9D8" w14:textId="77777777" w:rsidR="00EF2883" w:rsidRDefault="00EF2883" w:rsidP="00E47408">
      <w:pPr>
        <w:pStyle w:val="Sansinterligne"/>
      </w:pPr>
    </w:p>
    <w:p w14:paraId="77B6C7DD" w14:textId="77777777"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3A1E67FD" w14:textId="77777777" w:rsidR="00EF2883" w:rsidRDefault="00EF2883" w:rsidP="00E47408">
      <w:pPr>
        <w:pStyle w:val="Sansinterligne"/>
      </w:pPr>
    </w:p>
    <w:p w14:paraId="3B8834BE" w14:textId="77777777"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14:paraId="735C4313" w14:textId="77777777" w:rsidR="00205CBC" w:rsidRDefault="00000000">
      <w:r>
        <w:rPr>
          <w:b/>
          <w:color w:val="1F4E9E"/>
        </w:rPr>
        <w:lastRenderedPageBreak/>
        <w:t>Note on this working copy</w:t>
      </w:r>
    </w:p>
    <w:p w14:paraId="358618E1" w14:textId="77777777" w:rsidR="00205CBC" w:rsidRDefault="00000000">
      <w:r>
        <w:t>This version marks changes relative to Achard et al R1_v3.docx (the manuscript as it stood before the internal working-note integration passes). Text is colored black or red exactly as it was colored in that version, regardless of whether the passage has since been moved elsewhere in the document (red there generally marks a passage added in an earlier revision round, tracked by the authors at the time). Blue text is new: it does not appear anywhere in R1_v3.docx, whether because it was adapted from the internal working note “The extended evidence-accumulation model for delayed reports”, written as new connecting material, or is a corrected or updated value (for example in Table 2, Tables S2–S3 and Table A1). Red strikethrough marks text that was present in R1_v3.docx and that we propose to delete, kept visible here so that co-authors can see what is being removed; text introduced during these passes and later superseded has simply been deleted rather than struck. Color and strikethrough are direct character formatting, not Word revision marks, so this file will not open as a marked-up copy in Word’s reviewing pane; a clean copy, and a properly tracked copy if the journal requires one, will be produced separately at submission. This is a working draft for internal review, not the clean copy for resubmission.</w:t>
      </w:r>
    </w:p>
    <w:p w14:paraId="747535A5" w14:textId="77777777" w:rsidR="00205CBC" w:rsidRDefault="00205CBC"/>
    <w:p w14:paraId="4F97E6D6" w14:textId="77777777" w:rsidR="003F39C0" w:rsidRPr="00973A6A" w:rsidRDefault="001D3E97" w:rsidP="00973A6A">
      <w:pPr>
        <w:jc w:val="center"/>
        <w:rPr>
          <w:b/>
          <w:bCs/>
          <w:sz w:val="28"/>
        </w:rPr>
      </w:pPr>
      <w:r w:rsidRPr="001D3E97">
        <w:rPr>
          <w:b/>
          <w:sz w:val="28"/>
        </w:rPr>
        <w:t>Abstract</w:t>
      </w:r>
    </w:p>
    <w:p w14:paraId="117F8F2A" w14:textId="7777777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t>
      </w:r>
      <w:r w:rsidR="006F4AB6">
        <w:lastRenderedPageBreak/>
        <w:t xml:space="preserve">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xml:space="preserve">. Muscle activations that did not produce overt responses provided a peripheral readout of motor preparation: they were effector-selective, built up during stimulus presentation at a coherence-dependent rate, and </w:t>
      </w:r>
      <w:r w:rsidR="006F4AB6">
        <w:rPr>
          <w:color w:val="1F4E9E"/>
        </w:rPr>
        <w:t>continued to ramp during the stimulus-free delay, but no longer at a coherence-dependent build-up rate.</w:t>
      </w:r>
      <w:r w:rsidR="006F4AB6">
        <w:t xml:space="preserv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65A3F58E" w14:textId="77777777" w:rsidR="006E6BEA" w:rsidRDefault="006E6BEA" w:rsidP="00F760EF">
      <w:pPr>
        <w:pStyle w:val="NormalWeb"/>
      </w:pPr>
    </w:p>
    <w:p w14:paraId="5E10245F" w14:textId="77777777" w:rsidR="00F71D1E" w:rsidRDefault="00F71D1E" w:rsidP="003F39C0"/>
    <w:p w14:paraId="2C503DE9" w14:textId="77777777" w:rsidR="00973A6A" w:rsidRPr="00973A6A" w:rsidRDefault="001D3E97" w:rsidP="00973A6A">
      <w:pPr>
        <w:jc w:val="center"/>
        <w:rPr>
          <w:b/>
          <w:bCs/>
        </w:rPr>
      </w:pPr>
      <w:r w:rsidRPr="001D3E97">
        <w:rPr>
          <w:b/>
        </w:rPr>
        <w:t>Significance statement</w:t>
      </w:r>
    </w:p>
    <w:p w14:paraId="1D63CE9E" w14:textId="77777777" w:rsidR="003F39C0" w:rsidRPr="001D3E97" w:rsidRDefault="00C619E9" w:rsidP="00973A6A">
      <w:r>
        <w:tab/>
      </w:r>
      <w:r w:rsidR="00364EF7" w:rsidRPr="00E01843">
        <w:t xml:space="preserve">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w:t>
      </w:r>
      <w:r w:rsidR="00364EF7" w:rsidRPr="00E01843">
        <w:lastRenderedPageBreak/>
        <w:t>hidden preparatory states, offering a novel tool for studying how decisions are maintained and regulated before behavior.</w:t>
      </w:r>
    </w:p>
    <w:p w14:paraId="18FA3501" w14:textId="77777777" w:rsidR="003F39C0" w:rsidRDefault="003F39C0" w:rsidP="003F39C0"/>
    <w:p w14:paraId="51D02447" w14:textId="77777777" w:rsidR="003F39C0" w:rsidRDefault="003F39C0" w:rsidP="003F39C0"/>
    <w:p w14:paraId="390CAB7C" w14:textId="77777777" w:rsidR="003F39C0" w:rsidRDefault="003F39C0" w:rsidP="003F39C0"/>
    <w:p w14:paraId="361B78E8" w14:textId="77777777" w:rsidR="001D3E97" w:rsidRPr="001D3E97" w:rsidRDefault="001D3E97" w:rsidP="001D3E97"/>
    <w:p w14:paraId="56FA3359"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5790B9B8" w14:textId="77777777" w:rsidR="00D3407D" w:rsidRPr="000E5F17" w:rsidRDefault="00D3407D" w:rsidP="00AF4672">
      <w:pPr>
        <w:pStyle w:val="Titre1"/>
      </w:pPr>
      <w:r w:rsidRPr="00A32631">
        <w:lastRenderedPageBreak/>
        <w:t>Introduction</w:t>
      </w:r>
    </w:p>
    <w:p w14:paraId="6631A042" w14:textId="77777777"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18DDEAB5" w14:textId="77777777"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1481D65B" w14:textId="77777777" w:rsidR="006610DE" w:rsidRDefault="00FE794C">
      <w:pPr>
        <w:rPr>
          <w:color w:val="1F4E9E"/>
        </w:rPr>
      </w:pPr>
      <w:r w:rsidRPr="008C2D8F">
        <w:tab/>
      </w:r>
      <w:r w:rsidR="003D3D7F" w:rsidRPr="003D3D7F">
        <w:rPr>
          <w:color w:val="FF0000"/>
        </w:rPr>
        <w:t xml:space="preserve">To explain delayed-report behavior, we formalized an extension of recent evidence-accumulation models linking decision </w:t>
      </w:r>
      <w:r w:rsidR="003D3D7F">
        <w:rPr>
          <w:color w:val="FF0000"/>
        </w:rPr>
        <w:t>and motor processes</w:t>
      </w:r>
      <w:r w:rsidR="003D3D7F" w:rsidRPr="003D3D7F">
        <w:rPr>
          <w:color w:val="FF0000"/>
        </w:rPr>
        <w:t xml:space="preserve"> in immediate-report tasks.</w:t>
      </w:r>
      <w:r w:rsidR="00902EC4">
        <w:t xml:space="preserve"> </w:t>
      </w:r>
      <w:r w:rsidR="003F6179" w:rsidRPr="003F6179">
        <w:rPr>
          <w:color w:val="FF0000"/>
        </w:rPr>
        <w:t>Building on empirical evidence that accumulation can terminate at a bound before externally controlled stim</w:t>
      </w:r>
      <w:r w:rsidR="003F6179">
        <w:rPr>
          <w:color w:val="FF0000"/>
        </w:rPr>
        <w:t xml:space="preserve">ulus </w:t>
      </w:r>
      <w:r w:rsidR="003F6179" w:rsidRPr="003F6179">
        <w:rPr>
          <w:color w:val="FF0000"/>
        </w:rPr>
        <w:t xml:space="preserve">offset </w:t>
      </w:r>
      <w:r w:rsidR="003F6179" w:rsidRPr="003F6179">
        <w:rPr>
          <w:color w:val="1F4E9E"/>
        </w:rPr>
        <w:fldChar w:fldCharType="begin"/>
      </w:r>
      <w:r w:rsidR="003F6179" w:rsidRPr="003F6179">
        <w:rPr>
          <w:color w:val="1F4E9E"/>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1F4E9E"/>
        </w:rPr>
        <w:fldChar w:fldCharType="separate"/>
      </w:r>
      <w:r w:rsidR="003F6179" w:rsidRPr="003F6179">
        <w:rPr>
          <w:color w:val="FF0000"/>
        </w:rPr>
        <w:t>(Kiani et al., 2008)</w:t>
      </w:r>
      <w:r w:rsidR="003F6179" w:rsidRPr="003F6179">
        <w:rPr>
          <w:color w:val="1F4E9E"/>
        </w:rPr>
        <w:fldChar w:fldCharType="end"/>
      </w:r>
      <w:r w:rsidR="003F6179" w:rsidRPr="003F6179">
        <w:rPr>
          <w:color w:val="FF0000"/>
        </w:rPr>
        <w:t xml:space="preserve"> and on neural-integrator models in which accumulated information can persist </w:t>
      </w:r>
      <w:r w:rsidR="003F6179">
        <w:rPr>
          <w:color w:val="FF0000"/>
        </w:rPr>
        <w:t xml:space="preserve">over </w:t>
      </w:r>
      <w:r w:rsidR="003F6179" w:rsidRPr="003F6179">
        <w:rPr>
          <w:color w:val="FF0000"/>
        </w:rPr>
        <w:t xml:space="preserve">time </w:t>
      </w:r>
      <w:r w:rsidR="003F6179" w:rsidRPr="003F6179">
        <w:rPr>
          <w:color w:val="1F4E9E"/>
        </w:rPr>
        <w:fldChar w:fldCharType="begin"/>
      </w:r>
      <w:r w:rsidR="003F6179" w:rsidRPr="003F6179">
        <w:rPr>
          <w:color w:val="1F4E9E"/>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1F4E9E"/>
        </w:rPr>
        <w:fldChar w:fldCharType="separate"/>
      </w:r>
      <w:r w:rsidR="003F6179" w:rsidRPr="003F6179">
        <w:rPr>
          <w:color w:val="FF0000"/>
        </w:rPr>
        <w:t>(Mazurek et al., 2003)</w:t>
      </w:r>
      <w:r w:rsidR="003F6179" w:rsidRPr="003F6179">
        <w:rPr>
          <w:color w:val="1F4E9E"/>
        </w:rPr>
        <w:fldChar w:fldCharType="end"/>
      </w:r>
      <w:r w:rsidR="003F6179" w:rsidRPr="003F6179">
        <w:rPr>
          <w:color w:val="FF0000"/>
        </w:rPr>
        <w:t xml:space="preserve">, the model sustains the selected motor-preparatory state once an internal threshold is reached. When motion </w:t>
      </w:r>
      <w:r w:rsidR="003F6179" w:rsidRPr="003F6179">
        <w:rPr>
          <w:color w:val="FF0000"/>
        </w:rPr>
        <w:lastRenderedPageBreak/>
        <w:t xml:space="preserve">processing ends before threshold crossing, it instead sustains the graded state reached at that time. </w:t>
      </w:r>
      <w:r w:rsidR="004863FA" w:rsidRPr="004863FA">
        <w:rPr>
          <w:color w:val="FF0000"/>
        </w:rPr>
        <w:t xml:space="preserve">This account is consistent with recurrent-circuit theories linking evidence accumulation and working-memory </w:t>
      </w:r>
      <w:r w:rsidR="004863FA" w:rsidRPr="002F3CE4">
        <w:rPr>
          <w:color w:val="FF0000"/>
        </w:rPr>
        <w:t>maintenance</w:t>
      </w:r>
      <w:r w:rsidR="002F3CE4" w:rsidRPr="002F3CE4">
        <w:t xml:space="preserve"> </w:t>
      </w:r>
      <w:r w:rsidR="002F3CE4" w:rsidRPr="002F3CE4">
        <w:rPr>
          <w:color w:val="1F4E9E"/>
        </w:rPr>
        <w:fldChar w:fldCharType="begin"/>
      </w:r>
      <w:r w:rsidR="002F3CE4" w:rsidRPr="002F3CE4">
        <w:rPr>
          <w:color w:val="1F4E9E"/>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1F4E9E"/>
        </w:rPr>
        <w:fldChar w:fldCharType="separate"/>
      </w:r>
      <w:r w:rsidR="002F3CE4" w:rsidRPr="002F3CE4">
        <w:rPr>
          <w:color w:val="FF0000"/>
        </w:rPr>
        <w:t>(Wang, 2008)</w:t>
      </w:r>
      <w:r>
        <w:rPr>
          <w:color w:val="1F4E9E"/>
        </w:rPr>
        <w:t>, and more broadly with accounts of working memory as action-oriented (van Ede &amp; Nobre, 2023)</w:t>
      </w:r>
      <w:r w:rsidR="002F3CE4" w:rsidRPr="002F3CE4">
        <w:rPr>
          <w:color w:val="1F4E9E"/>
        </w:rPr>
        <w:fldChar w:fldCharType="end"/>
      </w:r>
      <w:r w:rsidR="003F6179" w:rsidRPr="002F3CE4">
        <w:rPr>
          <w:color w:val="1F4E9E"/>
        </w:rPr>
        <w:t xml:space="preserve">. </w:t>
      </w:r>
      <w:r w:rsidR="00335261" w:rsidRPr="00335261">
        <w:rPr>
          <w:color w:val="FF0000"/>
        </w:rPr>
        <w:t xml:space="preserve">During the delay, learned temporal regularities can </w:t>
      </w:r>
      <w:r w:rsidR="003338EC">
        <w:rPr>
          <w:color w:val="FF0000"/>
        </w:rPr>
        <w:t>progressively shape</w:t>
      </w:r>
      <w:r w:rsidR="00335261" w:rsidRPr="00335261">
        <w:rPr>
          <w:color w:val="FF0000"/>
        </w:rPr>
        <w:t xml:space="preserve"> motor preparation as an </w:t>
      </w:r>
      <w:r w:rsidR="00335261" w:rsidRPr="006D463E">
        <w:rPr>
          <w:color w:val="FF0000"/>
        </w:rPr>
        <w:t xml:space="preserve">anticipated opportunity to act approaches </w:t>
      </w:r>
      <w:r w:rsidR="00A374D5" w:rsidRPr="006D463E">
        <w:rPr>
          <w:color w:val="1F4E9E"/>
        </w:rPr>
        <w:fldChar w:fldCharType="begin"/>
      </w:r>
      <w:r w:rsidR="006D463E" w:rsidRPr="006D463E">
        <w:rPr>
          <w:color w:val="1F4E9E"/>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1F4E9E"/>
        </w:rPr>
        <w:fldChar w:fldCharType="separate"/>
      </w:r>
      <w:r w:rsidR="006D463E" w:rsidRPr="006D463E">
        <w:rPr>
          <w:color w:val="FF0000"/>
        </w:rPr>
        <w:t>(Heideman et al., 2018; Li et al., 2026; Ramayya et al., 2025)</w:t>
      </w:r>
      <w:r w:rsidR="00A374D5" w:rsidRPr="006D463E">
        <w:rPr>
          <w:color w:val="1F4E9E"/>
        </w:rPr>
        <w:fldChar w:fldCharType="end"/>
      </w:r>
      <w:r w:rsidR="00A374D5" w:rsidRPr="006D463E">
        <w:rPr>
          <w:color w:val="1F4E9E"/>
        </w:rPr>
        <w:t>.</w:t>
      </w:r>
      <w:r w:rsidR="00B57C31" w:rsidRPr="006D463E">
        <w:t xml:space="preserve"> </w:t>
      </w:r>
      <w:r w:rsidR="00341C5C" w:rsidRPr="00341C5C">
        <w:rPr>
          <w:color w:val="FF0000"/>
        </w:rPr>
        <w:t>We therefore considered two models: Model 1 includes only the maintained evidence-dependent motor state, whereas Model 2 additionally in</w:t>
      </w:r>
      <w:r w:rsidR="00341C5C">
        <w:rPr>
          <w:color w:val="FF0000"/>
        </w:rPr>
        <w:t>corporates temporal preparation</w:t>
      </w:r>
      <w:r w:rsidR="00A779C4" w:rsidRPr="00A779C4">
        <w:rPr>
          <w:color w:val="1F4E9E"/>
        </w:rPr>
        <w:t xml:space="preserve">. </w:t>
      </w:r>
      <w:r w:rsidR="00335261" w:rsidRPr="00335261">
        <w:rPr>
          <w:color w:val="FF0000"/>
        </w:rPr>
        <w:t xml:space="preserve">Downstream gating operates throughout the trial, preventing </w:t>
      </w:r>
      <w:r w:rsidR="00922471" w:rsidRPr="00922471">
        <w:rPr>
          <w:color w:val="FF0000"/>
        </w:rPr>
        <w:t xml:space="preserve">motor-preparatory activity </w:t>
      </w:r>
      <w:r w:rsidR="00335261" w:rsidRPr="00335261">
        <w:rPr>
          <w:color w:val="FF0000"/>
        </w:rPr>
        <w:t>from producing overt action</w:t>
      </w:r>
      <w:r w:rsidR="00335261">
        <w:t xml:space="preserve"> </w:t>
      </w:r>
      <w:r w:rsidR="006610DE" w:rsidRPr="00335261">
        <w:rPr>
          <w:color w:val="1F4E9E"/>
        </w:rPr>
        <w:fldChar w:fldCharType="begin"/>
      </w:r>
      <w:r w:rsidR="00FE1AE4">
        <w:rPr>
          <w:color w:val="1F4E9E"/>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1F4E9E"/>
        </w:rPr>
        <w:fldChar w:fldCharType="separate"/>
      </w:r>
      <w:r w:rsidR="00335261" w:rsidRPr="00335261">
        <w:rPr>
          <w:color w:val="FF0000"/>
        </w:rPr>
        <w:t>(Dendauw et al., 2024)</w:t>
      </w:r>
      <w:r w:rsidR="006610DE" w:rsidRPr="00335261">
        <w:rPr>
          <w:color w:val="1F4E9E"/>
        </w:rPr>
        <w:fldChar w:fldCharType="end"/>
      </w:r>
      <w:r w:rsidR="00644023" w:rsidRPr="00335261">
        <w:rPr>
          <w:color w:val="1F4E9E"/>
        </w:rPr>
        <w:t xml:space="preserve">. </w:t>
      </w:r>
      <w:r w:rsidR="009B1FFC" w:rsidRPr="009B1FFC">
        <w:rPr>
          <w:color w:val="FF0000"/>
        </w:rPr>
        <w:t>The RS engages a distinct stochastic process that accumulates noisy evidence that the signal is present</w:t>
      </w:r>
      <w:r w:rsidR="009B1FFC">
        <w:rPr>
          <w:color w:val="1F4E9E"/>
        </w:rPr>
        <w:t xml:space="preserve">. </w:t>
      </w:r>
      <w:r w:rsidR="00C314D0" w:rsidRPr="00C314D0">
        <w:rPr>
          <w:color w:val="FF0000"/>
        </w:rPr>
        <w:t xml:space="preserve">The plausibility of noisy temporal integration for an unambiguous signal is supported by accumulator accounts of one-choice </w:t>
      </w:r>
      <w:r w:rsidR="00C314D0" w:rsidRPr="00D10DAE">
        <w:rPr>
          <w:color w:val="FF0000"/>
        </w:rPr>
        <w:t>RT</w:t>
      </w:r>
      <w:r w:rsidR="009B1FFC" w:rsidRPr="00D10DAE">
        <w:t xml:space="preserve"> </w:t>
      </w:r>
      <w:r w:rsidR="009B1FFC" w:rsidRPr="00D10DAE">
        <w:rPr>
          <w:color w:val="1F4E9E"/>
        </w:rPr>
        <w:fldChar w:fldCharType="begin"/>
      </w:r>
      <w:r w:rsidR="00D10DAE" w:rsidRPr="00D10DAE">
        <w:rPr>
          <w:color w:val="1F4E9E"/>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1F4E9E"/>
        </w:rPr>
        <w:fldChar w:fldCharType="separate"/>
      </w:r>
      <w:r w:rsidR="00D10DAE" w:rsidRPr="00D10DAE">
        <w:rPr>
          <w:color w:val="FF0000"/>
        </w:rPr>
        <w:t>(Ratcliff &amp; Van Dongen, 2011; Smith, 1995)</w:t>
      </w:r>
      <w:r w:rsidR="009B1FFC" w:rsidRPr="00D10DAE">
        <w:rPr>
          <w:color w:val="1F4E9E"/>
        </w:rPr>
        <w:fldChar w:fldCharType="end"/>
      </w:r>
      <w:r w:rsidR="009B1FFC" w:rsidRPr="00D10DAE">
        <w:rPr>
          <w:color w:val="FF0000"/>
        </w:rPr>
        <w:t xml:space="preserve"> and by electroencephalographic (EEG) signatures of evidence </w:t>
      </w:r>
      <w:r w:rsidR="009B1FFC" w:rsidRPr="009B1FFC">
        <w:rPr>
          <w:color w:val="FF0000"/>
        </w:rPr>
        <w:t>accumulation under near-ceiling target-detection conditions</w:t>
      </w:r>
      <w:r w:rsidR="009B1FFC">
        <w:t xml:space="preserve"> </w:t>
      </w:r>
      <w:r w:rsidR="00864CF9" w:rsidRPr="00864CF9">
        <w:rPr>
          <w:color w:val="1F4E9E"/>
        </w:rPr>
        <w:fldChar w:fldCharType="begin"/>
      </w:r>
      <w:r w:rsidR="00864CF9" w:rsidRPr="00864CF9">
        <w:rPr>
          <w:color w:val="1F4E9E"/>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1F4E9E"/>
        </w:rPr>
        <w:fldChar w:fldCharType="separate"/>
      </w:r>
      <w:r w:rsidR="00864CF9" w:rsidRPr="00864CF9">
        <w:rPr>
          <w:color w:val="FF0000"/>
        </w:rPr>
        <w:t>(O’Connell et al., 2012)</w:t>
      </w:r>
      <w:r w:rsidR="00864CF9" w:rsidRPr="00864CF9">
        <w:rPr>
          <w:color w:val="1F4E9E"/>
        </w:rPr>
        <w:fldChar w:fldCharType="end"/>
      </w:r>
      <w:r w:rsidR="00644023" w:rsidRPr="00864CF9">
        <w:rPr>
          <w:color w:val="1F4E9E"/>
        </w:rPr>
        <w:t xml:space="preserve">. </w:t>
      </w:r>
      <w:r w:rsidR="00E7246A" w:rsidRPr="00E7246A">
        <w:rPr>
          <w:color w:val="FF0000"/>
        </w:rPr>
        <w:t>Continuous transmission of the accumulated evidence progressively increases the selected motor state until it overcomes the gate and triggers the response.</w:t>
      </w:r>
      <w:r w:rsidR="00E7246A">
        <w:t xml:space="preserve"> </w:t>
      </w:r>
      <w:r w:rsidR="006610DE" w:rsidRPr="006610DE">
        <w:rPr>
          <w:color w:val="FF0000"/>
        </w:rPr>
        <w:t>This distinction between maintaining and initiating a motor plan has plausible circuit-level analogues. In mice, subcortical control signals can reshape motor-planning dynamics and promote transitions toward movement</w:t>
      </w:r>
      <w:r w:rsidR="003D61C2">
        <w:rPr>
          <w:color w:val="FF0000"/>
        </w:rPr>
        <w:t xml:space="preserve"> execution </w:t>
      </w:r>
      <w:r w:rsidR="003D61C2" w:rsidRPr="003D61C2">
        <w:rPr>
          <w:color w:val="1F4E9E"/>
        </w:rPr>
        <w:fldChar w:fldCharType="begin"/>
      </w:r>
      <w:r w:rsidR="003D61C2" w:rsidRPr="003D61C2">
        <w:rPr>
          <w:color w:val="1F4E9E"/>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1F4E9E"/>
        </w:rPr>
        <w:fldChar w:fldCharType="separate"/>
      </w:r>
      <w:r w:rsidR="003D61C2" w:rsidRPr="003D61C2">
        <w:rPr>
          <w:color w:val="FF0000"/>
        </w:rPr>
        <w:t>(Inagaki et al., 2022)</w:t>
      </w:r>
      <w:r w:rsidR="003D61C2" w:rsidRPr="003D61C2">
        <w:rPr>
          <w:color w:val="1F4E9E"/>
        </w:rPr>
        <w:fldChar w:fldCharType="end"/>
      </w:r>
      <w:r w:rsidR="006610DE" w:rsidRPr="003D61C2">
        <w:rPr>
          <w:color w:val="1F4E9E"/>
        </w:rPr>
        <w:t xml:space="preserve">, </w:t>
      </w:r>
      <w:r w:rsidR="006610DE" w:rsidRPr="006610DE">
        <w:rPr>
          <w:color w:val="FF0000"/>
        </w:rPr>
        <w:t xml:space="preserve">whereas primate population studies indicate that </w:t>
      </w:r>
      <w:r w:rsidR="006610DE" w:rsidRPr="003D61C2">
        <w:rPr>
          <w:color w:val="FF0000"/>
        </w:rPr>
        <w:t>preparatory activity can occupy output-null dimensions that do not immediately drive mo</w:t>
      </w:r>
      <w:r w:rsidR="003D61C2" w:rsidRPr="003D61C2">
        <w:rPr>
          <w:color w:val="FF0000"/>
        </w:rPr>
        <w:t xml:space="preserve">tor output </w:t>
      </w:r>
      <w:r w:rsidR="003D61C2" w:rsidRPr="003D61C2">
        <w:rPr>
          <w:color w:val="1F4E9E"/>
        </w:rPr>
        <w:fldChar w:fldCharType="begin"/>
      </w:r>
      <w:r w:rsidR="003D61C2" w:rsidRPr="003D61C2">
        <w:rPr>
          <w:color w:val="1F4E9E"/>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1F4E9E"/>
        </w:rPr>
        <w:fldChar w:fldCharType="separate"/>
      </w:r>
      <w:r w:rsidR="003D61C2" w:rsidRPr="003D61C2">
        <w:rPr>
          <w:color w:val="FF0000"/>
        </w:rPr>
        <w:t>(Churchland &amp; Shenoy, 2024)</w:t>
      </w:r>
      <w:r w:rsidR="003D61C2" w:rsidRPr="003D61C2">
        <w:rPr>
          <w:color w:val="1F4E9E"/>
        </w:rPr>
        <w:fldChar w:fldCharType="end"/>
      </w:r>
      <w:r w:rsidR="006610DE" w:rsidRPr="003D61C2">
        <w:rPr>
          <w:color w:val="1F4E9E"/>
        </w:rPr>
        <w:t>.</w:t>
      </w:r>
      <w:r w:rsidR="0095290C" w:rsidRPr="003D61C2">
        <w:rPr>
          <w:color w:val="FF0000"/>
        </w:rPr>
        <w:t xml:space="preserve"> This </w:t>
      </w:r>
      <w:r w:rsidR="0095290C" w:rsidRPr="004D146B">
        <w:rPr>
          <w:color w:val="FF0000"/>
        </w:rPr>
        <w:t>organization can keep a selected action prepared without immediate execution, a separation our model represents in reduced form</w:t>
      </w:r>
      <w:r w:rsidR="0095290C" w:rsidRPr="004D146B">
        <w:rPr>
          <w:color w:val="1F4E9E"/>
        </w:rPr>
        <w:t>.</w:t>
      </w:r>
    </w:p>
    <w:p w14:paraId="5409282A" w14:textId="77777777" w:rsidR="00101709" w:rsidRDefault="00F94195">
      <w:r>
        <w:rPr>
          <w:color w:val="1F4E9E"/>
        </w:rPr>
        <w:t xml:space="preserve">Both models predict the same qualitative ordering of mean RT with motion coherence and with stimulus duration, because it follows directly from the shared architecture: the second </w:t>
      </w:r>
      <w:r>
        <w:rPr>
          <w:color w:val="1F4E9E"/>
        </w:rPr>
        <w:lastRenderedPageBreak/>
        <w:t>accumulation’s drift is fixed across conditions, so coherence and duration act on RT only through the level maintained at the end of the first stage, which both raise. Behavior alone therefore cannot distinguish the two models’ internal dynamics, and we used EEG measures of effector-selective motor preparation, alongside surface electromyographic (EMG) measures of muscle activation, as additional constraints.</w:t>
      </w:r>
    </w:p>
    <w:p w14:paraId="7E56BB8E" w14:textId="77777777" w:rsidR="005C639F" w:rsidRPr="005C639F" w:rsidRDefault="00473CA0" w:rsidP="00970F5F">
      <w:pPr>
        <w:pStyle w:val="Titre1"/>
        <w:spacing w:before="360"/>
      </w:pPr>
      <w:r w:rsidRPr="009C1EF3">
        <w:t>Materials and Methods</w:t>
      </w:r>
    </w:p>
    <w:p w14:paraId="606630CB" w14:textId="77777777" w:rsidR="00205CBC" w:rsidRDefault="00000000">
      <w:pPr>
        <w:pStyle w:val="Titre2"/>
      </w:pPr>
      <w:r>
        <w:rPr>
          <w:color w:val="1F4E9E"/>
        </w:rPr>
        <w:t>Experimental Procedures</w:t>
      </w:r>
    </w:p>
    <w:p w14:paraId="4B6ABF7A" w14:textId="77777777" w:rsidR="003A0E94" w:rsidRDefault="00546FAA" w:rsidP="003A0E94">
      <w:pPr>
        <w:pStyle w:val="Titre3"/>
      </w:pPr>
      <w:r>
        <w:t>Participants</w:t>
      </w:r>
      <w:r w:rsidR="005A1453">
        <w:t xml:space="preserve"> </w:t>
      </w:r>
    </w:p>
    <w:p w14:paraId="59407C17" w14:textId="77777777"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(Achard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r w:rsidRPr="00D70887">
        <w:t>Université Marie et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All were right-handed, had normal or corrected-to-normal vision, and 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19E57738" w14:textId="77777777" w:rsidR="003A0E94" w:rsidRDefault="00546FAA" w:rsidP="003A0E94">
      <w:pPr>
        <w:pStyle w:val="Titre3"/>
      </w:pPr>
      <w:r>
        <w:t>Experimental task</w:t>
      </w:r>
      <w:r w:rsidR="005A1453">
        <w:t xml:space="preserve"> </w:t>
      </w:r>
    </w:p>
    <w:p w14:paraId="131B524C" w14:textId="77777777" w:rsidR="00105DB3" w:rsidRDefault="009A5D76" w:rsidP="001721C3">
      <w:pPr>
        <w:ind w:firstLine="708"/>
      </w:pPr>
      <w:r>
        <w:t>Participants performed a</w:t>
      </w:r>
      <w:r w:rsidR="00C352DC">
        <w:rPr>
          <w:color w:val="1F4E9E"/>
        </w:rPr>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rPr>
          <w:color w:val="1F4E9E"/>
        </w:rPr>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w:t>
      </w:r>
      <w:r w:rsidR="00105DB3" w:rsidRPr="00105DB3">
        <w:lastRenderedPageBreak/>
        <w:t xml:space="preserve">coherence (0%, 12%, or 50%) varied factorially. The 0% condition contained no net directional evidence and therefore indexed chance-level choices; 12% and 50% coherence provided intermediate and high discriminability, respectively. </w:t>
      </w:r>
    </w:p>
    <w:p w14:paraId="1A30F4DE" w14:textId="77777777" w:rsidR="00251368" w:rsidRDefault="006B6A61" w:rsidP="001721C3">
      <w:pPr>
        <w:ind w:firstLine="708"/>
      </w:pPr>
      <w:r>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632EB885" w14:textId="77777777"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w:t>
      </w:r>
      <w:r w:rsidR="00A26D06" w:rsidRPr="002A27D6">
        <w:lastRenderedPageBreak/>
        <w:t>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1269B849" w14:textId="77777777" w:rsidR="003A0E94" w:rsidRPr="00AB4996" w:rsidRDefault="003F3AA7" w:rsidP="00902EC4">
      <w:pPr>
        <w:pStyle w:val="Titre3"/>
      </w:pPr>
      <w:r w:rsidRPr="00AB4996">
        <w:t>EM</w:t>
      </w:r>
      <w:r w:rsidR="00546FAA" w:rsidRPr="00AB4996">
        <w:t>G acquisition and preprocessing</w:t>
      </w:r>
    </w:p>
    <w:p w14:paraId="7CCF868F"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flexor pollicis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r w:rsidR="00ED7B10">
        <w:t>Ag</w:t>
      </w:r>
      <w:r w:rsidR="008915C4">
        <w:t>Cl electrodes placed</w:t>
      </w:r>
      <w:r w:rsidR="00F50678">
        <w:t xml:space="preserve"> 1 cm apart on the skin over</w:t>
      </w:r>
      <w:r w:rsidR="008915C4" w:rsidRPr="000871DE">
        <w:t xml:space="preserve"> the thenar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Two Mk2 biopotential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406A0513" w14:textId="77777777" w:rsidR="003E6341" w:rsidRPr="00A72D2C" w:rsidRDefault="008915C4" w:rsidP="00520F1C">
      <w:pPr>
        <w:ind w:firstLine="708"/>
        <w:rPr>
          <w:color w:val="1F4E9E"/>
        </w:rPr>
      </w:pPr>
      <w:r>
        <w:t>Muscle activation onsets</w:t>
      </w:r>
      <w:r w:rsidR="00A41379">
        <w:t xml:space="preserve"> and offsets</w:t>
      </w:r>
      <w:r>
        <w:t xml:space="preserve"> were detected using the three-step semi-automatic procedure described in Achard et al. (2025). </w:t>
      </w:r>
      <w:r w:rsidR="002C61C6" w:rsidRPr="002C61C6">
        <w:rPr>
          <w:color w:val="FF0000"/>
        </w:rPr>
        <w:t xml:space="preserve">For each trial and EMG channel, the mean and standard deviation of the full-wave rectified signal were computed during the 300-ms </w:t>
      </w:r>
      <w:proofErr w:type="spellStart"/>
      <w:r w:rsidR="002C61C6" w:rsidRPr="002C61C6">
        <w:rPr>
          <w:color w:val="FF0000"/>
        </w:rPr>
        <w:t>prestimulus</w:t>
      </w:r>
      <w:proofErr w:type="spellEnd"/>
      <w:r w:rsidR="002C61C6" w:rsidRPr="002C61C6">
        <w:rPr>
          <w:color w:val="FF0000"/>
        </w:rPr>
        <w:t xml:space="preserve"> period. Candidate muscle-activity periods were identified when signal amplitude exceeded the mean by seven standard deviations. </w:t>
      </w:r>
      <w:r w:rsidR="001A4D52" w:rsidRPr="001A4D52">
        <w:rPr>
          <w:color w:val="FF0000"/>
        </w:rPr>
        <w:t xml:space="preserve">At this initial detection stage, threshold-defined periods separated by less than 25 </w:t>
      </w:r>
      <w:proofErr w:type="spellStart"/>
      <w:r w:rsidR="001A4D52" w:rsidRPr="001A4D52">
        <w:rPr>
          <w:color w:val="FF0000"/>
        </w:rPr>
        <w:t>ms</w:t>
      </w:r>
      <w:proofErr w:type="spellEnd"/>
      <w:r w:rsidR="001A4D52" w:rsidRPr="001A4D52">
        <w:rPr>
          <w:color w:val="FF0000"/>
        </w:rPr>
        <w:t xml:space="preserve"> were merged into a single candidate burst to prevent brief within-burst drops below the conservative detection threshold from artificially splitting a single activation.</w:t>
      </w:r>
      <w:r w:rsidR="001A4D52">
        <w:t xml:space="preserve"> </w:t>
      </w:r>
      <w:r w:rsidR="00A41379" w:rsidRPr="00A41379">
        <w:rPr>
          <w:color w:val="FF0000"/>
        </w:rPr>
        <w:t xml:space="preserve">Candidate bursts were then filtered to limit false detections arising from background noise. Specifically, candidate bursts containing </w:t>
      </w:r>
      <w:r w:rsidR="00AE7CFA">
        <w:rPr>
          <w:color w:val="FF0000"/>
        </w:rPr>
        <w:t>at most</w:t>
      </w:r>
      <w:r w:rsidR="00A41379" w:rsidRPr="00A41379">
        <w:rPr>
          <w:color w:val="FF0000"/>
        </w:rPr>
        <w:t xml:space="preserve"> six above-threshold samples were counted</w:t>
      </w:r>
      <w:r w:rsidR="00AE7CFA">
        <w:rPr>
          <w:color w:val="FF0000"/>
        </w:rPr>
        <w:t xml:space="preserve"> across the epoch</w:t>
      </w:r>
      <w:r w:rsidR="00A41379" w:rsidRPr="00A41379">
        <w:rPr>
          <w:color w:val="FF0000"/>
        </w:rPr>
        <w:t>, and their occurrence rate per second was added to a base minimum of three</w:t>
      </w:r>
      <w:r w:rsidR="00AE7CFA">
        <w:rPr>
          <w:color w:val="FF0000"/>
        </w:rPr>
        <w:t xml:space="preserve"> above-threshold</w:t>
      </w:r>
      <w:r w:rsidR="00A41379" w:rsidRPr="00A41379">
        <w:rPr>
          <w:color w:val="FF0000"/>
        </w:rPr>
        <w:t xml:space="preserve"> samples. Candidate bursts not meeting this adaptive criterion were discarded.</w:t>
      </w:r>
      <w:r w:rsidR="00A41379">
        <w:t xml:space="preserve"> </w:t>
      </w:r>
      <w:r w:rsidR="00F776DE">
        <w:rPr>
          <w:color w:val="1F4E9E"/>
        </w:rPr>
        <w:t>T</w:t>
      </w:r>
      <w:r w:rsidR="00B31965" w:rsidRPr="00B31965">
        <w:rPr>
          <w:color w:val="FF0000"/>
        </w:rPr>
        <w:t xml:space="preserve">he onset and offset of each </w:t>
      </w:r>
      <w:r w:rsidR="00A41379">
        <w:rPr>
          <w:color w:val="FF0000"/>
        </w:rPr>
        <w:t xml:space="preserve">retained </w:t>
      </w:r>
      <w:r w:rsidR="00B31965" w:rsidRPr="00B31965">
        <w:rPr>
          <w:color w:val="FF0000"/>
        </w:rPr>
        <w:t xml:space="preserve">candidate burst were </w:t>
      </w:r>
      <w:r w:rsidR="00B31965" w:rsidRPr="00B31965">
        <w:rPr>
          <w:color w:val="FF0000"/>
        </w:rPr>
        <w:lastRenderedPageBreak/>
        <w:t>then refined using the integrated-profile method</w:t>
      </w:r>
      <w:r w:rsidR="00B31965">
        <w:t xml:space="preserve"> </w:t>
      </w:r>
      <w:r w:rsidR="00FE1AE4" w:rsidRPr="006B588A">
        <w:rPr>
          <w:color w:val="1F4E9E"/>
        </w:rPr>
        <w:fldChar w:fldCharType="begin"/>
      </w:r>
      <w:r w:rsidR="00FE1AE4" w:rsidRPr="006B588A">
        <w:rPr>
          <w:color w:val="1F4E9E"/>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1F4E9E"/>
        </w:rPr>
        <w:fldChar w:fldCharType="separate"/>
      </w:r>
      <w:r w:rsidR="00FE1AE4" w:rsidRPr="006B588A">
        <w:rPr>
          <w:color w:val="FF0000"/>
        </w:rPr>
        <w:t>(Liu &amp; Liu, 2016; Santello &amp; McDonagh, 1998)</w:t>
      </w:r>
      <w:r w:rsidR="00FE1AE4" w:rsidRPr="006B588A">
        <w:rPr>
          <w:color w:val="1F4E9E"/>
        </w:rPr>
        <w:fldChar w:fldCharType="end"/>
      </w:r>
      <w:r w:rsidR="00B31965">
        <w:rPr>
          <w:color w:val="1F4E9E"/>
        </w:rPr>
        <w:t>.</w:t>
      </w:r>
      <w:r w:rsidR="00F776DE">
        <w:t xml:space="preserve"> </w:t>
      </w:r>
      <w:r w:rsidR="00AE7CFA" w:rsidRPr="00AE7CFA">
        <w:rPr>
          <w:color w:val="FF0000"/>
        </w:rPr>
        <w:t xml:space="preserve">For each burst, the integrated profile was computed from the cumulative rectified EMG in a window encompassing the burst and adjacent background activity, supplemented with additional </w:t>
      </w:r>
      <w:r w:rsidR="00D835C9" w:rsidRPr="00AE7CFA">
        <w:rPr>
          <w:color w:val="FF0000"/>
        </w:rPr>
        <w:t>background</w:t>
      </w:r>
      <w:r w:rsidR="00D835C9" w:rsidRPr="00AE7CFA">
        <w:t xml:space="preserve"> </w:t>
      </w:r>
      <w:r w:rsidR="00AE7CFA" w:rsidRPr="00AE7CFA">
        <w:rPr>
          <w:color w:val="FF0000"/>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FF0000"/>
        </w:rPr>
        <w:t xml:space="preserve"> onset and offset, respectively</w:t>
      </w:r>
      <w:r w:rsidR="00AE7CFA" w:rsidRPr="00AE7CFA">
        <w:rPr>
          <w:color w:val="1F4E9E"/>
        </w:rPr>
        <w:t>.</w:t>
      </w:r>
      <w:r w:rsidR="00E86BD0">
        <w:t xml:space="preserve"> </w:t>
      </w:r>
      <w:r w:rsidR="00A41379" w:rsidRPr="00A41379">
        <w:rPr>
          <w:color w:val="FF0000"/>
        </w:rPr>
        <w:t>The search for the</w:t>
      </w:r>
      <w:r w:rsidR="00AE7CFA">
        <w:rPr>
          <w:color w:val="FF0000"/>
        </w:rPr>
        <w:t>se extrema</w:t>
      </w:r>
      <w:r w:rsidR="00A41379" w:rsidRPr="00A41379">
        <w:rPr>
          <w:color w:val="FF0000"/>
        </w:rPr>
        <w:t xml:space="preserve"> extended up to 50 </w:t>
      </w:r>
      <w:proofErr w:type="spellStart"/>
      <w:r w:rsidR="00A41379" w:rsidRPr="00A41379">
        <w:rPr>
          <w:color w:val="FF0000"/>
        </w:rPr>
        <w:t>ms</w:t>
      </w:r>
      <w:proofErr w:type="spellEnd"/>
      <w:r w:rsidR="00A41379" w:rsidRPr="00A41379">
        <w:rPr>
          <w:color w:val="FF0000"/>
        </w:rPr>
        <w:t xml:space="preserve"> before the threshold-defined onset and 50 </w:t>
      </w:r>
      <w:proofErr w:type="spellStart"/>
      <w:r w:rsidR="00A41379" w:rsidRPr="00A41379">
        <w:rPr>
          <w:color w:val="FF0000"/>
        </w:rPr>
        <w:t>ms</w:t>
      </w:r>
      <w:proofErr w:type="spellEnd"/>
      <w:r w:rsidR="00A41379" w:rsidRPr="00A41379">
        <w:rPr>
          <w:color w:val="FF0000"/>
        </w:rPr>
        <w:t xml:space="preserve"> aft</w:t>
      </w:r>
      <w:r w:rsidR="00A41379">
        <w:rPr>
          <w:color w:val="FF0000"/>
        </w:rPr>
        <w:t>er the threshold-defined offset</w:t>
      </w:r>
      <w:r w:rsidR="003A24A8" w:rsidRPr="003A24A8">
        <w:rPr>
          <w:color w:val="1F4E9E"/>
        </w:rPr>
        <w:t xml:space="preserve">. </w:t>
      </w:r>
      <w:r w:rsidR="00AE7CFA" w:rsidRPr="00AE7CFA">
        <w:rPr>
          <w:color w:val="FF0000"/>
        </w:rPr>
        <w:t>For neighboring candidate bursts, the search ranges were truncated at the midpoint of the interval between the threshold-defined offset of the first burst and the threshold-defined onset of the next, preventing overlap</w:t>
      </w:r>
      <w:r w:rsidR="003A24A8" w:rsidRPr="003A24A8">
        <w:rPr>
          <w:color w:val="1F4E9E"/>
        </w:rPr>
        <w:t xml:space="preserve">. </w:t>
      </w:r>
      <w:r w:rsidR="00CF307D" w:rsidRPr="00CF307D">
        <w:rPr>
          <w:color w:val="FF0000"/>
        </w:rPr>
        <w:t>The integrated-profile method improved the temporal localization of burst boundaries relative to the initial high-threshold detection, yielding more precis</w:t>
      </w:r>
      <w:r w:rsidR="00CF307D">
        <w:rPr>
          <w:color w:val="FF0000"/>
        </w:rPr>
        <w:t>e estimates of onset and offset</w:t>
      </w:r>
      <w:r w:rsidR="00EB33DD" w:rsidRPr="00EB33DD">
        <w:rPr>
          <w:color w:val="1F4E9E"/>
        </w:rPr>
        <w:t>.</w:t>
      </w:r>
      <w:r w:rsidR="00EB33DD">
        <w:t xml:space="preserve"> </w:t>
      </w:r>
      <w:r w:rsidR="00A72D2C" w:rsidRPr="00A72D2C">
        <w:rPr>
          <w:color w:val="FF0000"/>
        </w:rPr>
        <w:t>Finally, every trial was visually inspected and erroneous onset markers were manually corrected.</w:t>
      </w:r>
      <w:r w:rsidR="00A72D2C">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14:paraId="3E517DBF" w14:textId="77777777" w:rsidR="00205CBC" w:rsidRDefault="00000000">
      <w:r>
        <w:rPr>
          <w:color w:val="1F4E9E"/>
        </w:rPr>
        <w:t xml:space="preserve">Two further properties of this procedure matter for how partial muscle activations are counted and interpreted below. 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w:t>
      </w:r>
      <w:r>
        <w:rPr>
          <w:color w:val="1F4E9E"/>
        </w:rPr>
        <w:lastRenderedPageBreak/>
        <w:t>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5751EC0A" w14:textId="77777777" w:rsidR="003A0E94" w:rsidRDefault="001C7F43" w:rsidP="003A0E94">
      <w:pPr>
        <w:pStyle w:val="Titre3"/>
      </w:pPr>
      <w:r w:rsidRPr="001C7F43">
        <w:t>EMG-derived measures</w:t>
      </w:r>
    </w:p>
    <w:p w14:paraId="7CD92BCC" w14:textId="77777777" w:rsidR="001C7F43" w:rsidRPr="005B28F6" w:rsidRDefault="001C7F43" w:rsidP="00D3380F">
      <w:pPr>
        <w:ind w:firstLine="708"/>
        <w:rPr>
          <w:color w:val="1F4E9E"/>
        </w:rPr>
      </w:pPr>
      <w:r w:rsidRPr="0089074A">
        <w:rPr>
          <w:color w:val="FF0000"/>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FF0000"/>
        </w:rPr>
        <w:t xml:space="preserve">se measures provide strong constraints on models linking evidence accumulation to </w:t>
      </w:r>
      <w:r w:rsidR="001B4AFB">
        <w:rPr>
          <w:color w:val="FF0000"/>
        </w:rPr>
        <w:t>muscle activity</w:t>
      </w:r>
      <w:r w:rsidR="0089074A" w:rsidRPr="0089074A">
        <w:t xml:space="preserve"> </w:t>
      </w:r>
      <w:r w:rsidRPr="0089074A">
        <w:rPr>
          <w:color w:val="1F4E9E"/>
        </w:rPr>
        <w:fldChar w:fldCharType="begin"/>
      </w:r>
      <w:r w:rsidRPr="0089074A">
        <w:rPr>
          <w:color w:val="1F4E9E"/>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1F4E9E"/>
        </w:rPr>
        <w:fldChar w:fldCharType="separate"/>
      </w:r>
      <w:r w:rsidRPr="0089074A">
        <w:rPr>
          <w:color w:val="FF0000"/>
        </w:rPr>
        <w:t>(e.g., Dendauw et al., 2024, 2026)</w:t>
      </w:r>
      <w:r w:rsidRPr="0089074A">
        <w:rPr>
          <w:color w:val="1F4E9E"/>
        </w:rPr>
        <w:fldChar w:fldCharType="end"/>
      </w:r>
      <w:r w:rsidRPr="0089074A">
        <w:rPr>
          <w:color w:val="1F4E9E"/>
        </w:rPr>
        <w:t>.</w:t>
      </w:r>
      <w:r w:rsidR="0089074A" w:rsidRPr="0089074A">
        <w:t xml:space="preserve"> </w:t>
      </w:r>
      <w:r w:rsidR="004C536B">
        <w:rPr>
          <w:color w:val="FF0000"/>
        </w:rPr>
        <w:t>RT</w:t>
      </w:r>
      <w:r w:rsidR="0089074A" w:rsidRPr="0089074A">
        <w:rPr>
          <w:color w:val="FF0000"/>
        </w:rPr>
        <w:t xml:space="preserve"> was fractionated according to the onset of the muscle activation leading to the button press (</w:t>
      </w:r>
      <w:r w:rsidR="0089074A" w:rsidRPr="0089074A">
        <w:rPr>
          <w:color w:val="1F4E9E"/>
        </w:rPr>
        <w:t>Fig. 2</w:t>
      </w:r>
      <w:r w:rsidR="0089074A" w:rsidRPr="0089074A">
        <w:rPr>
          <w:color w:val="FF0000"/>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FF0000"/>
        </w:rPr>
        <w:t>Partial muscle activations (PMAs) were defined as discrete muscle-activation episodes whose onset occurred after stimulus onset and before the button press but that did not constitute the fi</w:t>
      </w:r>
      <w:r w:rsidR="008C0FDE">
        <w:rPr>
          <w:color w:val="FF0000"/>
        </w:rPr>
        <w:t>nal response-related activation</w:t>
      </w:r>
      <w:r w:rsidR="0089074A" w:rsidRPr="0089074A">
        <w:rPr>
          <w:color w:val="1F4E9E"/>
        </w:rPr>
        <w:t xml:space="preserve">. </w:t>
      </w:r>
      <w:r w:rsidR="00FA4412" w:rsidRPr="00FA4412">
        <w:rPr>
          <w:color w:val="FF0000"/>
        </w:rPr>
        <w:t xml:space="preserve">Because partial muscle activations are discrete events, temporal binning provides a simple way to characterize how their occurrence evolves over the course of a trial. </w:t>
      </w:r>
      <w:r w:rsidR="00C75EB9" w:rsidRPr="00C75EB9">
        <w:rPr>
          <w:color w:val="FF0000"/>
        </w:rPr>
        <w:t>Each partial muscle activation was assigned to a 0.1-s bin according to its onset, and we computed the mean number of partial muscle activations per bin for each participant, condition, and EMG channel.</w:t>
      </w:r>
      <w:r w:rsidR="00C75EB9">
        <w:rPr>
          <w:color w:val="1F4E9E"/>
        </w:rPr>
        <w:t xml:space="preserve"> T</w:t>
      </w:r>
      <w:r w:rsidR="00FA4412" w:rsidRPr="00FA4412">
        <w:rPr>
          <w:color w:val="FF0000"/>
        </w:rPr>
        <w:t>he 0.1-s bin width chosen as a compromise between temporal resolution and stability of the estimated event rate</w:t>
      </w:r>
      <w:r w:rsidR="0089074A" w:rsidRPr="00FA4412">
        <w:rPr>
          <w:color w:val="1F4E9E"/>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32722E17" w14:textId="77777777" w:rsidR="003A0E94" w:rsidRDefault="005C639F" w:rsidP="003A0E94">
      <w:pPr>
        <w:pStyle w:val="Titre3"/>
      </w:pPr>
      <w:r w:rsidRPr="005C639F">
        <w:t>EEG</w:t>
      </w:r>
      <w:r w:rsidR="00E15A9D">
        <w:t xml:space="preserve"> acquisition and preprocessing</w:t>
      </w:r>
    </w:p>
    <w:p w14:paraId="615F014B" w14:textId="77777777" w:rsidR="007941C3" w:rsidRDefault="009C131D" w:rsidP="00441592">
      <w:pPr>
        <w:spacing w:after="120"/>
        <w:ind w:firstLine="708"/>
      </w:pPr>
      <w:r w:rsidRPr="007E22F4">
        <w:lastRenderedPageBreak/>
        <w:t xml:space="preserve">EEG signals were recorded continuously during task performance from 64 active </w:t>
      </w:r>
      <w:r w:rsidR="00F07580">
        <w:t>Ag/</w:t>
      </w:r>
      <w:r w:rsidRPr="007E22F4">
        <w:t>AgCl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electro-oculogram</w:t>
      </w:r>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electro-oculogram</w:t>
      </w:r>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electro-oculogram</w:t>
      </w:r>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t xml:space="preserve">components and </w:t>
      </w:r>
      <w:r w:rsidR="00255AD8" w:rsidRPr="0095010D">
        <w:t>electro-oculogram</w:t>
      </w:r>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electro-oculogram</w:t>
      </w:r>
      <w:r w:rsidR="005C5694">
        <w:t xml:space="preserve"> </w:t>
      </w:r>
      <w:r w:rsidR="00F33797">
        <w:lastRenderedPageBreak/>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14C18B64" w14:textId="77777777" w:rsidR="003A0E94" w:rsidRDefault="00324970" w:rsidP="003A0E94">
      <w:pPr>
        <w:pStyle w:val="Titre3"/>
      </w:pPr>
      <w:r w:rsidRPr="00324970">
        <w:t>Measurement o</w:t>
      </w:r>
      <w:r w:rsidR="00E15A9D">
        <w:t>f motor preparation EEG signals</w:t>
      </w:r>
    </w:p>
    <w:p w14:paraId="600D3971" w14:textId="77777777"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(e.g., Eimer, 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FF0000"/>
        </w:rPr>
        <w:t xml:space="preserve">We </w:t>
      </w:r>
      <w:r w:rsidR="0031657A">
        <w:rPr>
          <w:color w:val="FF0000"/>
        </w:rPr>
        <w:t>used these tw</w:t>
      </w:r>
      <w:r w:rsidR="006866B3">
        <w:rPr>
          <w:color w:val="FF0000"/>
        </w:rPr>
        <w:t>o markers</w:t>
      </w:r>
      <w:r w:rsidR="0031657A" w:rsidRPr="0031657A">
        <w:t xml:space="preserve"> </w:t>
      </w:r>
      <w:r w:rsidR="006866B3">
        <w:rPr>
          <w:color w:val="FF0000"/>
        </w:rPr>
        <w:t>to provide additional</w:t>
      </w:r>
      <w:r w:rsidR="0031657A" w:rsidRPr="0031657A">
        <w:rPr>
          <w:color w:val="FF0000"/>
        </w:rPr>
        <w:t xml:space="preserve"> constraints on th</w:t>
      </w:r>
      <w:r w:rsidR="006866B3">
        <w:rPr>
          <w:color w:val="FF0000"/>
        </w:rPr>
        <w:t>e motor</w:t>
      </w:r>
      <w:r w:rsidR="00A8674E">
        <w:rPr>
          <w:color w:val="1F4E9E"/>
        </w:rPr>
        <w:t>-</w:t>
      </w:r>
      <w:r w:rsidR="006866B3">
        <w:rPr>
          <w:color w:val="FF0000"/>
        </w:rPr>
        <w:t>preparation stage of the</w:t>
      </w:r>
      <w:r w:rsidR="0031657A" w:rsidRPr="0031657A">
        <w:rPr>
          <w:color w:val="FF0000"/>
        </w:rPr>
        <w:t xml:space="preserve"> model.</w:t>
      </w:r>
    </w:p>
    <w:p w14:paraId="76619424" w14:textId="77777777"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lastRenderedPageBreak/>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proofErr w:type="gramStart"/>
      <w:r w:rsidR="00693A80">
        <w:t>C</w:t>
      </w:r>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14:paraId="187D1F18" w14:textId="77777777" w:rsidR="00205CBC" w:rsidRDefault="00000000">
      <w:r>
        <w:rPr>
          <w:color w:val="FF0000"/>
        </w:rPr>
        <w:t>The model specifies the neural drive transmitted to the response muscles, so the EMG-derived measures have explicit model counterparts; it does not specify a forward observation model relating its motor-preparatory variables to scalp potentials or spectral amplitude, so the EEG measures were used to constrain the temporal organization of motor preparation qualitatively rather than to classify parameterizations numerically.</w:t>
      </w:r>
    </w:p>
    <w:p w14:paraId="131E927F" w14:textId="77777777" w:rsidR="003A0E94" w:rsidRPr="00AA2B02" w:rsidRDefault="00E15A9D" w:rsidP="003A0E94">
      <w:pPr>
        <w:pStyle w:val="Titre3"/>
      </w:pPr>
      <w:r w:rsidRPr="00AA2B02">
        <w:t>Statistical Analysis</w:t>
      </w:r>
    </w:p>
    <w:p w14:paraId="16E6BD26" w14:textId="77777777" w:rsidR="006B503C" w:rsidRPr="006B503C" w:rsidRDefault="008029D3" w:rsidP="003D3C12">
      <w:pPr>
        <w:ind w:firstLine="708"/>
        <w:rPr>
          <w:color w:val="1F4E9E"/>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The spher</w:t>
      </w:r>
      <w:r w:rsidRPr="00AA2B02">
        <w:t>icity assumption was evaluated using</w:t>
      </w:r>
      <w:r w:rsidR="00DE3106" w:rsidRPr="00AA2B02">
        <w:t xml:space="preserve"> Mauchly’s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r w:rsidR="00DE3106" w:rsidRPr="00AA2B02">
        <w:t>Geisser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coherence and </w:t>
      </w:r>
      <w:r w:rsidR="00E8641E" w:rsidRPr="00AA2B02">
        <w:t xml:space="preserve">motion </w:t>
      </w:r>
      <w:r w:rsidR="005F072A" w:rsidRPr="00AA2B02">
        <w:t xml:space="preserve">duration as factors. </w:t>
      </w:r>
      <w:r w:rsidR="006B503C" w:rsidRPr="006B503C">
        <w:rPr>
          <w:color w:val="FF0000"/>
        </w:rPr>
        <w:t xml:space="preserve">ANOVAs on partial motor activation rate included </w:t>
      </w:r>
      <w:r w:rsidR="006B503C" w:rsidRPr="006B503C">
        <w:rPr>
          <w:color w:val="FF0000"/>
        </w:rPr>
        <w:lastRenderedPageBreak/>
        <w:t xml:space="preserve">motion coherence, motion duration, and time bin as factors </w:t>
      </w:r>
      <w:r w:rsidR="005F4EA9" w:rsidRPr="00AA2B02">
        <w:rPr>
          <w:color w:val="1F4E9E"/>
        </w:rPr>
        <w:t>and were conducted separately across four periods of interest, allowing each period to be assessed against the corresponding model prediction (Results).</w:t>
      </w:r>
      <w:r w:rsidR="00E8641E" w:rsidRPr="00AA2B02">
        <w:t xml:space="preserve">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FF0000"/>
        </w:rPr>
        <w:t xml:space="preserve">For consistency across neurophysiological measures, </w:t>
      </w:r>
      <w:r w:rsidR="005031EB" w:rsidRPr="005031EB">
        <w:rPr>
          <w:color w:val="FF0000"/>
        </w:rPr>
        <w:t>the lateralized readiness potential</w:t>
      </w:r>
      <w:r w:rsidR="006B503C" w:rsidRPr="006B503C">
        <w:t xml:space="preserve"> and </w:t>
      </w:r>
      <w:r w:rsidR="005031EB" w:rsidRPr="005031EB">
        <w:rPr>
          <w:color w:val="FF0000"/>
        </w:rPr>
        <w:t>mu–beta-band spectral amplitude lateralization</w:t>
      </w:r>
      <w:r w:rsidR="006B503C" w:rsidRPr="006B503C">
        <w:rPr>
          <w:color w:val="FF0000"/>
        </w:rPr>
        <w:t xml:space="preserve"> were analyzed using the same 0.1-s temporal grid, with mean signal amplitude as the dependent variable in each bin.</w:t>
      </w:r>
      <w:r w:rsidR="005031EB">
        <w:t xml:space="preserve"> </w:t>
      </w:r>
      <w:r w:rsidR="005031EB" w:rsidRPr="005031EB">
        <w:rPr>
          <w:color w:val="FF0000"/>
        </w:rPr>
        <w:t>For mu–beta-band spectral amplitude lateralization, spectral amplitude was estimated every 0.1 s using a 0.3-s sliding window, so the 0.1-s temporal grid preserved all available time points.</w:t>
      </w:r>
      <w:r w:rsidR="005031EB">
        <w:t xml:space="preserve"> </w:t>
      </w:r>
      <w:r w:rsidR="005031EB" w:rsidRPr="005031EB">
        <w:rPr>
          <w:color w:val="FF0000"/>
        </w:rPr>
        <w:t xml:space="preserve">For the </w:t>
      </w:r>
      <w:r w:rsidR="00C26B06" w:rsidRPr="00C26B06">
        <w:rPr>
          <w:color w:val="FF0000"/>
        </w:rPr>
        <w:t>lateralized readiness potential</w:t>
      </w:r>
      <w:r w:rsidR="005031EB" w:rsidRPr="005031EB">
        <w:rPr>
          <w:color w:val="FF0000"/>
        </w:rPr>
        <w:t>, averaging within 0.1-s bins reduced the native temporal resolution of the signal but retained a resolution substantially finer than the task periods examined here.</w:t>
      </w:r>
    </w:p>
    <w:p w14:paraId="2CF31853" w14:textId="77777777" w:rsidR="00205CBC" w:rsidRDefault="00000000">
      <w:r>
        <w:rPr>
          <w:color w:val="1F4E9E"/>
        </w:rPr>
        <w:t>Because the time-bin factor in these ANOVAs has as many as 20 levels, its F test establishes only that a measure differs across bins — not that the measure ramps, and still less that it ramps at a rate depending on coherence or duration. It is in any case a poorly behaved test here: the Greenhouse–Geisser epsilon for the time-bin factor is 0.14. We therefore decomposed that factor into orthogonal polynomial contrasts.</w:t>
      </w:r>
    </w:p>
    <w:p w14:paraId="04F8E081" w14:textId="77777777" w:rsidR="00205CBC" w:rsidRDefault="00000000">
      <w:r>
        <w:rPr>
          <w:color w:val="1F4E9E"/>
        </w:rPr>
        <w:t xml:space="preserve">For each participant and each of the six coherence × duration cells we computed a linear contrast on the bin means, reported throughout as the ordinary-least-squares slope of the </w:t>
      </w:r>
      <w:r>
        <w:rPr>
          <w:color w:val="1F4E9E"/>
        </w:rPr>
        <w:lastRenderedPageBreak/>
        <w:t>measure against time in units per second — the same contrast, rescaled so that the coefficient reads as a rate of change — and, wherever a period contained three or more bins, a quadratic contrast. Each contrast was entered as a single score into its own duration × coherence repeated-measures ANOVA, so that each is tested against its own error term rather than against an error term pooled across components. A one-degree-of-freedom contrast tested in this way needs no sphericity correction; Greenhouse–Geisser correction was applied to the three-level coherence factor throughout, which is why contrasts crossed with coherence carry fractional degrees of freedom in Tables S2–S3. The quadratic contrast is reported alongside the linear one because mu–beta lateralization during the stimulus period is non-monotone, rising over roughly the first second and then flattening, so a linear test alone would misclassify it as null. Full results for every measure and period are in Tables S2–S3; analyses were conducted in R using the afex and emmeans packages. For delay-period partial-activation rate specifically, this analysis is further complemented by a fully unbinned, point-process analysis of exact activation onset times (Table S5). That restriction to the delay is deliberate: the stimulus-period rate reflects the commitment-time distribution convolved with post-commitment dynamics rather than a stationary process, so a time-homogeneous point-process intensity is misspecified there on the theory's own terms, whereas the delay-period rate is not subject to this problem.</w:t>
      </w:r>
    </w:p>
    <w:p w14:paraId="5AC958C1" w14:textId="77777777" w:rsidR="00205CBC" w:rsidRDefault="00000000">
      <w:r>
        <w:rPr>
          <w:color w:val="1F4E9E"/>
        </w:rPr>
        <w:t>The response period's final 0.1-s bin (–0.1 to 0 s before the response) is, by construction,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w:t>
      </w:r>
    </w:p>
    <w:p w14:paraId="795EBE2D" w14:textId="77777777" w:rsidR="00064E47" w:rsidRPr="00EC6BF3" w:rsidRDefault="00064E47" w:rsidP="005A7DA5">
      <w:pPr>
        <w:spacing w:after="0"/>
        <w:rPr>
          <w:color w:val="1F4E9E"/>
        </w:rPr>
      </w:pPr>
    </w:p>
    <w:p w14:paraId="42B2AAED" w14:textId="77777777" w:rsidR="00205CBC" w:rsidRDefault="00000000">
      <w:pPr>
        <w:pStyle w:val="Titre2"/>
      </w:pPr>
      <w:r>
        <w:rPr>
          <w:color w:val="1F4E9E"/>
        </w:rPr>
        <w:lastRenderedPageBreak/>
        <w:t>Theory</w:t>
      </w:r>
    </w:p>
    <w:p w14:paraId="5B541333" w14:textId="77777777" w:rsidR="00CF7AC6" w:rsidRDefault="00C873DD" w:rsidP="00902EC4">
      <w:pPr>
        <w:rPr>
          <w:color w:val="1F4E9E"/>
        </w:rPr>
      </w:pPr>
      <w:r w:rsidRPr="00A0125B">
        <w:tab/>
      </w:r>
      <w:r w:rsidR="00CF7AC6" w:rsidRPr="00CF7AC6">
        <w:rPr>
          <w:color w:val="FF0000"/>
        </w:rPr>
        <w:t xml:space="preserve">We formalized the delayed-report account by extending recent evidence-accumulation models linking decision formation and motor preparation in immediate-report tasks </w:t>
      </w:r>
      <w:r w:rsidR="00CF7AC6" w:rsidRPr="00CF7AC6">
        <w:rPr>
          <w:color w:val="1F4E9E"/>
        </w:rPr>
        <w:fldChar w:fldCharType="begin"/>
      </w:r>
      <w:r w:rsidR="00FE1AE4">
        <w:rPr>
          <w:color w:val="1F4E9E"/>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1F4E9E"/>
        </w:rPr>
        <w:fldChar w:fldCharType="separate"/>
      </w:r>
      <w:r w:rsidR="00CF7AC6" w:rsidRPr="002E6538">
        <w:rPr>
          <w:color w:val="FF0000"/>
        </w:rPr>
        <w:t>(Balsdon et al., 2023; Dendauw et al., 2024; Verdonck et al., 2020)</w:t>
      </w:r>
      <w:r w:rsidR="00CF7AC6" w:rsidRPr="00CF7AC6">
        <w:rPr>
          <w:color w:val="1F4E9E"/>
        </w:rPr>
        <w:fldChar w:fldCharType="end"/>
      </w:r>
      <w:r w:rsidR="001A5A17" w:rsidRPr="002E6538">
        <w:rPr>
          <w:color w:val="1F4E9E"/>
        </w:rPr>
        <w:t>.</w:t>
      </w:r>
      <w:r w:rsidR="005C0DAE" w:rsidRPr="002E6538">
        <w:t xml:space="preserve"> </w:t>
      </w:r>
      <w:r w:rsidR="00052AD4" w:rsidRPr="00052AD4">
        <w:rPr>
          <w:color w:val="FF0000"/>
        </w:rPr>
        <w:t>We first present the architecture inherited from this class of models in the context of random-dot motion discrimination, before specifying the mechanisms added to accommodate delayed report.</w:t>
      </w:r>
      <w:r w:rsidR="00052AD4">
        <w:t xml:space="preserve"> </w:t>
      </w:r>
      <w:r w:rsidR="00052AD4" w:rsidRPr="00052AD4">
        <w:rPr>
          <w:color w:val="1F4E9E"/>
        </w:rPr>
        <w:t>Throughout t</w:t>
      </w:r>
      <w:r w:rsidR="00D348B6">
        <w:rPr>
          <w:color w:val="FF0000"/>
        </w:rPr>
        <w:t xml:space="preserve">he following description, time </w:t>
      </w:r>
      <w:r w:rsidR="00052AD4" w:rsidRPr="00052AD4">
        <w:rPr>
          <w:i/>
          <w:color w:val="1F4E9E"/>
        </w:rPr>
        <w:t>t</w:t>
      </w:r>
      <w:r w:rsidR="00052AD4" w:rsidRPr="00052AD4">
        <w:rPr>
          <w:color w:val="FF0000"/>
        </w:rPr>
        <w:t xml:space="preserve"> is measured from physical stimulus onset.</w:t>
      </w:r>
    </w:p>
    <w:p w14:paraId="437161D8" w14:textId="77777777" w:rsidR="00052AD4" w:rsidRDefault="00052AD4" w:rsidP="00902EC4">
      <w:pPr>
        <w:pStyle w:val="Titre3"/>
        <w:rPr>
          <w:color w:val="1F4E9E"/>
        </w:rPr>
      </w:pPr>
      <w:r w:rsidRPr="00052AD4">
        <w:rPr>
          <w:color w:val="FF0000"/>
        </w:rPr>
        <w:t>Architecture inherited from immediate-report models</w:t>
      </w:r>
    </w:p>
    <w:p w14:paraId="6FC37EE5" w14:textId="77777777" w:rsidR="005C0DAE" w:rsidRDefault="00052AD4" w:rsidP="00902EC4">
      <w:pPr>
        <w:rPr>
          <w:color w:val="1F4E9E"/>
        </w:rPr>
      </w:pPr>
      <w:r>
        <w:t xml:space="preserve"> </w:t>
      </w:r>
      <w:r>
        <w:tab/>
      </w:r>
      <w:r w:rsidRPr="00052AD4">
        <w:rPr>
          <w:color w:val="1F4E9E"/>
        </w:rPr>
        <w:t xml:space="preserve">In this class </w:t>
      </w:r>
      <w:r>
        <w:rPr>
          <w:color w:val="FF0000"/>
        </w:rPr>
        <w:t xml:space="preserve">of models, a decision variable </w:t>
      </w:r>
      <w:r w:rsidRPr="00052AD4">
        <w:rPr>
          <w:i/>
          <w:color w:val="1F4E9E"/>
        </w:rPr>
        <w:t>x(t)</w:t>
      </w:r>
      <w:r w:rsidRPr="00052AD4">
        <w:rPr>
          <w:color w:val="FF0000"/>
        </w:rPr>
        <w:t xml:space="preserve"> represents accumulated evidence for the two motion alternatives. Following a fi</w:t>
      </w:r>
      <w:r>
        <w:rPr>
          <w:color w:val="1F4E9E"/>
        </w:rPr>
        <w:t xml:space="preserve">xed </w:t>
      </w:r>
      <w:r w:rsidR="00E214A1">
        <w:t xml:space="preserve">motion-evidence </w:t>
      </w:r>
      <w:r w:rsidR="0066575E">
        <w:rPr>
          <w:color w:val="FF0000"/>
        </w:rPr>
        <w:t xml:space="preserve">encoding latency </w:t>
      </w:r>
      <w:r w:rsidR="004B30B9">
        <w:rPr>
          <w:color w:val="1F4E9E"/>
        </w:rPr>
        <w:t xml:space="preserve">(parameter </w:t>
      </w:r>
      <w:proofErr w:type="spellStart"/>
      <w:r w:rsidR="00F21870">
        <w:rPr>
          <w:i/>
          <w:color w:val="1F4E9E"/>
        </w:rPr>
        <w:t>L</w:t>
      </w:r>
      <w:r w:rsidR="0066575E" w:rsidRPr="008D3E7A">
        <w:rPr>
          <w:color w:val="1F4E9E"/>
          <w:vertAlign w:val="subscript"/>
        </w:rPr>
        <w:t>motion</w:t>
      </w:r>
      <w:proofErr w:type="spellEnd"/>
      <w:r w:rsidR="004B30B9">
        <w:rPr>
          <w:color w:val="1F4E9E"/>
        </w:rPr>
        <w:t>)</w:t>
      </w:r>
      <w:r w:rsidRPr="00052AD4">
        <w:rPr>
          <w:color w:val="FF0000"/>
        </w:rPr>
        <w:t>, it evolves according to</w:t>
      </w:r>
      <w:r>
        <w:rPr>
          <w:color w:val="1F4E9E"/>
        </w:rPr>
        <w:t>:</w:t>
      </w:r>
    </w:p>
    <w:p w14:paraId="39E818D1" w14:textId="77777777" w:rsidR="00052AD4" w:rsidRPr="00907F07" w:rsidRDefault="00000000" w:rsidP="00902EC4">
      <w:pPr>
        <w:rPr>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=(skc)dt+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m:t>
                  </m:r>
                </m:e>
              </m:d>
              <m:ctrlPr>
                <w:rPr>
                  <w:rFonts w:ascii="Cambria Math" w:eastAsia="Cambria" w:hAnsi="Cambria Math" w:cs="Cambria"/>
                  <w:i/>
                  <w:color w:val="1F4E9E"/>
                </w:rPr>
              </m:ctrlPr>
            </m:e>
          </m:eqArr>
        </m:oMath>
      </m:oMathPara>
    </w:p>
    <w:p w14:paraId="180CECE9" w14:textId="77777777" w:rsidR="00CF7AC6" w:rsidRDefault="00907F07" w:rsidP="00902EC4">
      <w:pPr>
        <w:rPr>
          <w:color w:val="1F4E9E"/>
        </w:rPr>
      </w:pPr>
      <w:r>
        <w:tab/>
      </w:r>
      <w:r w:rsidRPr="00907F07">
        <w:rPr>
          <w:color w:val="1F4E9E"/>
        </w:rPr>
        <w:t>where</w:t>
      </w:r>
      <w:r w:rsidRPr="00907F07">
        <w:t xml:space="preserve"> </w:t>
      </w:r>
      <w:r w:rsidRPr="00907F07">
        <w:rPr>
          <w:i/>
          <w:color w:val="1F4E9E"/>
        </w:rPr>
        <w:t>s</w:t>
      </w:r>
      <w:r w:rsidRPr="00907F07">
        <w:t xml:space="preserve"> </w:t>
      </w:r>
      <w:r w:rsidRPr="00907F07">
        <w:rPr>
          <w:rFonts w:ascii="Cambria Math" w:hAnsi="Cambria Math" w:cs="Cambria Math"/>
          <w:color w:val="1F4E9E"/>
        </w:rPr>
        <w:t>∈</w:t>
      </w:r>
      <w:r w:rsidRPr="00907F07">
        <w:rPr>
          <w:color w:val="1F4E9E"/>
        </w:rPr>
        <w:t xml:space="preserve"> {−</w:t>
      </w:r>
      <w:proofErr w:type="gramStart"/>
      <w:r w:rsidRPr="00907F07">
        <w:rPr>
          <w:color w:val="1F4E9E"/>
        </w:rPr>
        <w:t>1,+</w:t>
      </w:r>
      <w:proofErr w:type="gramEnd"/>
      <w:r w:rsidRPr="00907F07">
        <w:rPr>
          <w:color w:val="1F4E9E"/>
        </w:rPr>
        <w:t xml:space="preserve">1} </w:t>
      </w:r>
      <w:r w:rsidR="00D348B6">
        <w:rPr>
          <w:color w:val="1F4E9E"/>
        </w:rPr>
        <w:t xml:space="preserve">codes </w:t>
      </w:r>
      <w:r w:rsidRPr="00907F07">
        <w:t xml:space="preserve">motion direction, </w:t>
      </w:r>
      <w:r w:rsidRPr="00907F07">
        <w:rPr>
          <w:i/>
          <w:color w:val="1F4E9E"/>
        </w:rPr>
        <w:t>c</w:t>
      </w:r>
      <w:r w:rsidRPr="00907F07">
        <w:rPr>
          <w:color w:val="FF0000"/>
        </w:rPr>
        <w:t xml:space="preserve"> is motion coherence, </w:t>
      </w:r>
      <w:r w:rsidRPr="00907F07">
        <w:rPr>
          <w:i/>
          <w:color w:val="1F4E9E"/>
        </w:rPr>
        <w:t>k</w:t>
      </w:r>
      <w:r w:rsidRPr="00907F07">
        <w:rPr>
          <w:color w:val="1F4E9E"/>
        </w:rPr>
        <w:t xml:space="preserve"> sca</w:t>
      </w:r>
      <w:r w:rsidR="00D348B6">
        <w:rPr>
          <w:color w:val="FF0000"/>
        </w:rPr>
        <w:t>les coherence into the mean rate of evidence accumulation (drift rate</w:t>
      </w:r>
      <w:proofErr w:type="gramStart"/>
      <w:r w:rsidR="00D348B6">
        <w:rPr>
          <w:color w:val="FF0000"/>
        </w:rPr>
        <w:t>)</w:t>
      </w:r>
      <w:r>
        <w:rPr>
          <w:color w:val="1F4E9E"/>
        </w:rPr>
        <w:t>,</w:t>
      </w:r>
      <w:r w:rsidR="00D348B6">
        <w:t xml:space="preserve"> </w:t>
      </w:r>
      <w:r>
        <w:t xml:space="preserve"> </w:t>
      </w:r>
      <w:proofErr w:type="spellStart"/>
      <w:r w:rsidR="00D348B6" w:rsidRPr="00D348B6">
        <w:rPr>
          <w:i/>
          <w:color w:val="1F4E9E"/>
        </w:rPr>
        <w:t>σ</w:t>
      </w:r>
      <w:proofErr w:type="gramEnd"/>
      <w:r w:rsidR="00D348B6" w:rsidRPr="00D348B6">
        <w:rPr>
          <w:i/>
          <w:color w:val="1F4E9E"/>
          <w:vertAlign w:val="subscript"/>
        </w:rPr>
        <w:t>x</w:t>
      </w:r>
      <w:proofErr w:type="spellEnd"/>
      <w:r w:rsidR="00D348B6">
        <w:rPr>
          <w:color w:val="FF0000"/>
        </w:rPr>
        <w:t xml:space="preserve"> is the diffusion coefficient controlling the amplitude of within</w:t>
      </w:r>
      <w:r w:rsidR="00632C3C">
        <w:rPr>
          <w:color w:val="1F4E9E"/>
        </w:rPr>
        <w:t>-</w:t>
      </w:r>
      <w:r w:rsidR="00D348B6">
        <w:rPr>
          <w:color w:val="1F4E9E"/>
        </w:rPr>
        <w:t xml:space="preserve">trial noise, </w:t>
      </w:r>
      <w:r w:rsidRPr="00907F07">
        <w:rPr>
          <w:color w:val="1F4E9E"/>
        </w:rPr>
        <w:t xml:space="preserve">and </w:t>
      </w:r>
      <w:proofErr w:type="spellStart"/>
      <w:r w:rsidRPr="00D348B6">
        <w:rPr>
          <w:i/>
          <w:color w:val="1F4E9E"/>
        </w:rPr>
        <w:t>dW</w:t>
      </w:r>
      <w:proofErr w:type="spellEnd"/>
      <w:r w:rsidRPr="00D348B6">
        <w:rPr>
          <w:i/>
          <w:color w:val="1F4E9E"/>
        </w:rPr>
        <w:t>ₓ(t)</w:t>
      </w:r>
      <w:r w:rsidRPr="00907F07">
        <w:rPr>
          <w:color w:val="1F4E9E"/>
        </w:rPr>
        <w:t xml:space="preserve"> is a</w:t>
      </w:r>
      <w:r w:rsidR="00D348B6">
        <w:rPr>
          <w:color w:val="FF0000"/>
        </w:rPr>
        <w:t xml:space="preserve">n increment of a standard Wiener process. </w:t>
      </w:r>
      <w:r w:rsidR="0063434F" w:rsidRPr="0063434F">
        <w:rPr>
          <w:color w:val="1F4E9E"/>
        </w:rPr>
        <w:t>P</w:t>
      </w:r>
      <w:r w:rsidR="0063434F">
        <w:rPr>
          <w:color w:val="FF0000"/>
        </w:rPr>
        <w:t xml:space="preserve">ositive and negative values of </w:t>
      </w:r>
      <w:r w:rsidR="0063434F" w:rsidRPr="0063434F">
        <w:rPr>
          <w:i/>
          <w:color w:val="1F4E9E"/>
        </w:rPr>
        <w:t>x(t)</w:t>
      </w:r>
      <w:r w:rsidR="0063434F" w:rsidRPr="0063434F">
        <w:rPr>
          <w:color w:val="FF0000"/>
        </w:rPr>
        <w:t xml:space="preserve"> support rightward and leftward choices, respectively</w:t>
      </w:r>
      <w:r w:rsidR="0063434F">
        <w:rPr>
          <w:color w:val="FF0000"/>
        </w:rPr>
        <w:t xml:space="preserve"> (by arbitrary convention). </w:t>
      </w:r>
      <w:r w:rsidR="0063434F" w:rsidRPr="0063434F">
        <w:rPr>
          <w:color w:val="FF0000"/>
        </w:rPr>
        <w:t xml:space="preserve">At the neurophysiological level, this process can be interpreted as the temporal integration of the difference in activity between opposing populations of direction-sensitive neurons in area MT </w:t>
      </w:r>
      <w:r w:rsidR="0063434F" w:rsidRPr="0063434F">
        <w:rPr>
          <w:color w:val="1F4E9E"/>
        </w:rPr>
        <w:fldChar w:fldCharType="begin"/>
      </w:r>
      <w:r w:rsidR="0063434F" w:rsidRPr="0063434F">
        <w:rPr>
          <w:color w:val="1F4E9E"/>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1F4E9E"/>
        </w:rPr>
        <w:fldChar w:fldCharType="separate"/>
      </w:r>
      <w:r w:rsidR="0063434F" w:rsidRPr="0063434F">
        <w:rPr>
          <w:color w:val="FF0000"/>
        </w:rPr>
        <w:t>(Gold &amp; Shadlen, 2007; Mazurek et al., 2003)</w:t>
      </w:r>
      <w:r w:rsidR="0063434F" w:rsidRPr="0063434F">
        <w:rPr>
          <w:color w:val="1F4E9E"/>
        </w:rPr>
        <w:fldChar w:fldCharType="end"/>
      </w:r>
      <w:r w:rsidR="0063434F" w:rsidRPr="0063434F">
        <w:rPr>
          <w:color w:val="1F4E9E"/>
        </w:rPr>
        <w:t xml:space="preserve">. </w:t>
      </w:r>
      <w:r w:rsidR="0063434F">
        <w:rPr>
          <w:color w:val="1F4E9E"/>
        </w:rPr>
        <w:t>Equation (1) is a</w:t>
      </w:r>
      <w:r w:rsidR="0063434F" w:rsidRPr="0063434F">
        <w:rPr>
          <w:color w:val="FF0000"/>
        </w:rPr>
        <w:t xml:space="preserve"> diffusion process</w:t>
      </w:r>
      <w:r w:rsidR="0063434F">
        <w:rPr>
          <w:color w:val="1F4E9E"/>
        </w:rPr>
        <w:t>, and</w:t>
      </w:r>
      <w:r w:rsidR="0063434F" w:rsidRPr="0063434F">
        <w:rPr>
          <w:color w:val="FF0000"/>
        </w:rPr>
        <w:t xml:space="preserve"> provides a parsimonious impleme</w:t>
      </w:r>
      <w:r w:rsidR="0063434F">
        <w:rPr>
          <w:color w:val="FF0000"/>
        </w:rPr>
        <w:t>ntation of the decision stage</w:t>
      </w:r>
      <w:r w:rsidR="0063434F" w:rsidRPr="0063434F">
        <w:rPr>
          <w:color w:val="FF0000"/>
        </w:rPr>
        <w:t>, which could in principle incorporate other accumulation dynamics</w:t>
      </w:r>
      <w:r w:rsidR="00632C3C">
        <w:rPr>
          <w:color w:val="1F4E9E"/>
        </w:rPr>
        <w:t xml:space="preserve">, </w:t>
      </w:r>
      <w:r w:rsidR="0063434F" w:rsidRPr="0063434F">
        <w:rPr>
          <w:color w:val="FF0000"/>
        </w:rPr>
        <w:t>including leakage or mutual inhibition</w:t>
      </w:r>
      <w:r w:rsidR="004E1E78">
        <w:t xml:space="preserve"> </w:t>
      </w:r>
      <w:r w:rsidR="004E1E78" w:rsidRPr="004E1E78">
        <w:rPr>
          <w:color w:val="1F4E9E"/>
        </w:rPr>
        <w:fldChar w:fldCharType="begin"/>
      </w:r>
      <w:r w:rsidR="004E1E78" w:rsidRPr="004E1E78">
        <w:rPr>
          <w:color w:val="1F4E9E"/>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1F4E9E"/>
        </w:rPr>
        <w:fldChar w:fldCharType="separate"/>
      </w:r>
      <w:r w:rsidR="004E1E78" w:rsidRPr="004E1E78">
        <w:rPr>
          <w:color w:val="FF0000"/>
        </w:rPr>
        <w:t>(e.g., Servant et al., 2019; Usher &amp; McClelland, 2001)</w:t>
      </w:r>
      <w:r w:rsidR="004E1E78" w:rsidRPr="004E1E78">
        <w:rPr>
          <w:color w:val="1F4E9E"/>
        </w:rPr>
        <w:fldChar w:fldCharType="end"/>
      </w:r>
      <w:r w:rsidR="0063434F" w:rsidRPr="004E1E78">
        <w:rPr>
          <w:color w:val="1F4E9E"/>
        </w:rPr>
        <w:t xml:space="preserve">. </w:t>
      </w:r>
    </w:p>
    <w:p w14:paraId="42E95819" w14:textId="77777777" w:rsidR="002830F4" w:rsidRDefault="002830F4" w:rsidP="00902EC4">
      <w:pPr>
        <w:rPr>
          <w:color w:val="1F4E9E"/>
        </w:rPr>
      </w:pPr>
      <w:r>
        <w:tab/>
      </w:r>
      <w:r w:rsidR="009B207A">
        <w:rPr>
          <w:color w:val="FF0000"/>
        </w:rPr>
        <w:t xml:space="preserve">The decision variable </w:t>
      </w:r>
      <w:r w:rsidR="009B207A" w:rsidRPr="009B207A">
        <w:rPr>
          <w:i/>
          <w:color w:val="1F4E9E"/>
        </w:rPr>
        <w:t>x(t)</w:t>
      </w:r>
      <w:r w:rsidRPr="002830F4">
        <w:rPr>
          <w:color w:val="FF0000"/>
        </w:rPr>
        <w:t xml:space="preserve"> is continuously transmitted to motor-preparatory processes, repr</w:t>
      </w:r>
      <w:r w:rsidR="009B207A">
        <w:rPr>
          <w:color w:val="FF0000"/>
        </w:rPr>
        <w:t xml:space="preserve">esented by a distinct variable </w:t>
      </w:r>
      <w:r w:rsidR="009B207A" w:rsidRPr="009B207A">
        <w:rPr>
          <w:i/>
          <w:color w:val="1F4E9E"/>
        </w:rPr>
        <w:t>y(t)</w:t>
      </w:r>
      <w:r w:rsidRPr="002830F4">
        <w:rPr>
          <w:color w:val="1F4E9E"/>
        </w:rPr>
        <w:t>:</w:t>
      </w:r>
    </w:p>
    <w:p w14:paraId="0CE58C6E" w14:textId="77777777" w:rsidR="009B207A" w:rsidRDefault="00000000" w:rsidP="009B207A">
      <w:pPr>
        <w:ind w:left="-17" w:firstLine="11"/>
        <w:rPr>
          <w:color w:val="1F4E9E"/>
        </w:rPr>
      </w:pPr>
      <m:oMathPara>
        <m:oMath>
          <m:eqArr>
            <m:eqArrPr>
              <m:maxDist m:val="1"/>
              <m:ctrlPr>
                <w:rPr>
                  <w:rFonts w:ascii="Cambria Math" w:eastAsia="Cambria" w:hAnsi="Cambria Math" w:cs="Cambria"/>
                  <w:i/>
                  <w:color w:val="1F4E9E"/>
                </w:rPr>
              </m:ctrlPr>
            </m:eqArrPr>
            <m:e>
              <m:r>
                <w:rPr>
                  <w:rFonts w:ascii="Cambria Math" w:eastAsia="Cambria" w:hAnsi="Cambria Math" w:cs="Cambria"/>
                  <w:color w:val="1F4E9E"/>
                </w:rPr>
                <m:t>dy</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=λ</m:t>
              </m:r>
              <m:d>
                <m:dPr>
                  <m:begChr m:val="["/>
                  <m:endChr m:val="]"/>
                  <m:ctrlPr>
                    <w:rPr>
                      <w:rFonts w:ascii="Cambria Math" w:eastAsia="Cambria" w:hAnsi="Cambria Math" w:cs="Cambria"/>
                      <w:i/>
                      <w:color w:val="1F4E9E"/>
                    </w:rPr>
                  </m:ctrlPr>
                </m:dPr>
                <m:e>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-y</m:t>
                  </m:r>
                  <m:d>
                    <m:dPr>
                      <m:ctrlPr>
                        <w:rPr>
                          <w:rFonts w:ascii="Cambria Math" w:eastAsia="Cambria" w:hAnsi="Cambria Math" w:cs="Cambria"/>
                          <w:i/>
                          <w:color w:val="1F4E9E"/>
                        </w:rPr>
                      </m:ctrlPr>
                    </m:dPr>
                    <m:e>
                      <m:r>
                        <w:rPr>
                          <w:rFonts w:ascii="Cambria Math" w:eastAsia="Cambria" w:hAnsi="Cambria Math" w:cs="Cambria"/>
                          <w:color w:val="1F4E9E"/>
                        </w:rPr>
                        <m:t>t</m:t>
                      </m:r>
                    </m:e>
                  </m:d>
                </m:e>
              </m:d>
              <m:r>
                <w:rPr>
                  <w:rFonts w:ascii="Cambria Math" w:eastAsia="Cambria" w:hAnsi="Cambria Math" w:cs="Cambria"/>
                  <w:color w:val="1F4E9E"/>
                </w:rPr>
                <m:t>dt,   y</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eastAsia="Cambria" w:hAnsi="Cambria Math" w:cs="Cambria"/>
                  <w:color w:val="1F4E9E"/>
                </w:rPr>
                <m:t>.#</m:t>
              </m:r>
              <m:d>
                <m:dPr>
                  <m:ctrlPr>
                    <w:rPr>
                      <w:rFonts w:ascii="Cambria Math" w:eastAsia="Cambria" w:hAnsi="Cambria Math" w:cs="Cambria"/>
                      <w:i/>
                      <w:color w:val="1F4E9E"/>
                    </w:rPr>
                  </m:ctrlPr>
                </m:dPr>
                <m:e>
                  <m:r>
                    <w:rPr>
                      <w:rFonts w:ascii="Cambria Math" w:eastAsia="Cambria" w:hAnsi="Cambria Math" w:cs="Cambria"/>
                      <w:color w:val="1F4E9E"/>
                    </w:rPr>
                    <m:t>2</m:t>
                  </m:r>
                </m:e>
              </m:d>
            </m:e>
          </m:eqArr>
        </m:oMath>
      </m:oMathPara>
    </w:p>
    <w:p w14:paraId="5D49072A" w14:textId="77777777" w:rsidR="0063434F" w:rsidRDefault="009B207A" w:rsidP="00902EC4">
      <w:pPr>
        <w:rPr>
          <w:color w:val="1F4E9E"/>
        </w:rPr>
      </w:pPr>
      <w:r w:rsidRPr="009B207A">
        <w:rPr>
          <w:color w:val="FF0000"/>
        </w:rPr>
        <w:t>Equation 2 describes the continuous integration of decision-related input at the motor-preparation level.</w:t>
      </w:r>
      <w:r w:rsidR="002045F7">
        <w:t xml:space="preserve"> </w:t>
      </w:r>
      <w:r w:rsidR="002045F7" w:rsidRPr="002045F7">
        <w:rPr>
          <w:color w:val="1F4E9E"/>
        </w:rPr>
        <w:t>Conseque</w:t>
      </w:r>
      <w:r w:rsidR="002045F7">
        <w:rPr>
          <w:color w:val="FF0000"/>
        </w:rPr>
        <w:t xml:space="preserve">ntly, the mean buildup of </w:t>
      </w:r>
      <w:r w:rsidR="002045F7" w:rsidRPr="002045F7">
        <w:rPr>
          <w:i/>
          <w:color w:val="1F4E9E"/>
        </w:rPr>
        <w:t>y(t)</w:t>
      </w:r>
      <w:r w:rsidR="002045F7">
        <w:rPr>
          <w:color w:val="1F4E9E"/>
        </w:rPr>
        <w:t xml:space="preserve">, like that of </w:t>
      </w:r>
      <w:r w:rsidR="002045F7" w:rsidRPr="002045F7">
        <w:rPr>
          <w:i/>
          <w:color w:val="1F4E9E"/>
        </w:rPr>
        <w:t>x(t)</w:t>
      </w:r>
      <w:r w:rsidR="002045F7" w:rsidRPr="002045F7">
        <w:rPr>
          <w:color w:val="1F4E9E"/>
        </w:rPr>
        <w:t xml:space="preserve">, </w:t>
      </w:r>
      <w:r w:rsidR="003802A6" w:rsidRPr="003802A6">
        <w:rPr>
          <w:color w:val="FF0000"/>
        </w:rPr>
        <w:t>becomes slower as sensory-evidence strength decreases.</w:t>
      </w:r>
      <w:r w:rsidR="002045F7">
        <w:t xml:space="preserve"> </w:t>
      </w:r>
      <w:r w:rsidR="002045F7" w:rsidRPr="002045F7">
        <w:rPr>
          <w:color w:val="FF0000"/>
        </w:rPr>
        <w:t xml:space="preserve">The same equation </w:t>
      </w:r>
      <w:r w:rsidR="002045F7">
        <w:rPr>
          <w:color w:val="1F4E9E"/>
        </w:rPr>
        <w:t xml:space="preserve">also </w:t>
      </w:r>
      <w:r w:rsidR="002045F7" w:rsidRPr="002045F7">
        <w:rPr>
          <w:color w:val="FF0000"/>
        </w:rPr>
        <w:t>defines a first-order low-pass filter:</w:t>
      </w:r>
      <w:r w:rsidR="002045F7">
        <w:t xml:space="preserve"> </w:t>
      </w:r>
      <w:r w:rsidR="002045F7" w:rsidRPr="00161734">
        <w:rPr>
          <w:i/>
          <w:color w:val="1F4E9E"/>
        </w:rPr>
        <w:t>y(t)</w:t>
      </w:r>
      <w:r w:rsidR="002045F7" w:rsidRPr="002045F7">
        <w:rPr>
          <w:color w:val="FF0000"/>
        </w:rPr>
        <w:t xml:space="preserve"> follows the evolving decision variable while attenuating its rapid fluctuations, yielding a smoother and temporally</w:t>
      </w:r>
      <w:r w:rsidR="002045F7">
        <w:rPr>
          <w:color w:val="FF0000"/>
        </w:rPr>
        <w:t xml:space="preserve"> lagged representation of </w:t>
      </w:r>
      <w:r w:rsidR="002045F7" w:rsidRPr="002045F7">
        <w:rPr>
          <w:i/>
          <w:color w:val="1F4E9E"/>
        </w:rPr>
        <w:t>x(t)</w:t>
      </w:r>
      <w:r w:rsidR="002045F7">
        <w:rPr>
          <w:color w:val="1F4E9E"/>
        </w:rPr>
        <w:t xml:space="preserve">. </w:t>
      </w:r>
      <w:r w:rsidR="00713746" w:rsidRPr="00713746">
        <w:rPr>
          <w:color w:val="1F4E9E"/>
        </w:rPr>
        <w:t>The filter gain (</w:t>
      </w:r>
      <m:oMath>
        <m:r>
          <w:rPr>
            <w:rFonts w:ascii="Cambria Math" w:hAnsi="Cambria Math"/>
            <w:color w:val="1F4E9E"/>
          </w:rPr>
          <m:t>λ</m:t>
        </m:r>
      </m:oMath>
      <w:r w:rsidR="00713746">
        <w:rPr>
          <w:rFonts w:eastAsiaTheme="minorEastAsia"/>
        </w:rPr>
        <w:t xml:space="preserve"> </w:t>
      </w:r>
      <w:r w:rsidR="00713746" w:rsidRPr="00713746">
        <w:rPr>
          <w:color w:val="1F4E9E"/>
        </w:rPr>
        <w:t>&gt;</w:t>
      </w:r>
      <w:r w:rsidR="00713746">
        <w:t xml:space="preserve"> </w:t>
      </w:r>
      <w:r w:rsidR="003802A6">
        <w:rPr>
          <w:color w:val="FF0000"/>
        </w:rPr>
        <w:t xml:space="preserve">0) controls how rapidly </w:t>
      </w:r>
      <w:r w:rsidR="003802A6" w:rsidRPr="003802A6">
        <w:rPr>
          <w:i/>
          <w:color w:val="1F4E9E"/>
        </w:rPr>
        <w:t>y(t)</w:t>
      </w:r>
      <w:r w:rsidR="003802A6">
        <w:rPr>
          <w:color w:val="FF0000"/>
        </w:rPr>
        <w:t xml:space="preserve"> tracks changes in </w:t>
      </w:r>
      <w:r w:rsidR="003802A6" w:rsidRPr="003802A6">
        <w:rPr>
          <w:i/>
          <w:color w:val="1F4E9E"/>
        </w:rPr>
        <w:t>x(t)</w:t>
      </w:r>
      <w:r w:rsidR="001A6FFF" w:rsidRPr="001A6FFF">
        <w:rPr>
          <w:color w:val="FF0000"/>
        </w:rPr>
        <w:t>; lower values produce greater smoothing and a longer temporal lag.</w:t>
      </w:r>
      <w:r w:rsidR="00397EF0">
        <w:t xml:space="preserve"> </w:t>
      </w:r>
      <w:r w:rsidR="00397EF0" w:rsidRPr="00397EF0">
        <w:rPr>
          <w:color w:val="1F4E9E"/>
        </w:rPr>
        <w:t>P</w:t>
      </w:r>
      <w:r w:rsidR="00397EF0">
        <w:rPr>
          <w:color w:val="FF0000"/>
        </w:rPr>
        <w:t xml:space="preserve">ositive and negative values of </w:t>
      </w:r>
      <w:r w:rsidR="00397EF0" w:rsidRPr="00397EF0">
        <w:rPr>
          <w:i/>
          <w:color w:val="1F4E9E"/>
        </w:rPr>
        <w:t>y(t)</w:t>
      </w:r>
      <w:r w:rsidR="00397EF0" w:rsidRPr="00397EF0">
        <w:rPr>
          <w:color w:val="FF0000"/>
        </w:rPr>
        <w:t xml:space="preserve"> increase preparation for the right- and left-hand responses, respectively.</w:t>
      </w:r>
      <w:r w:rsidR="00397EF0">
        <w:t xml:space="preserve"> </w:t>
      </w:r>
      <w:r w:rsidR="00397EF0" w:rsidRPr="00397EF0">
        <w:rPr>
          <w:color w:val="FF0000"/>
        </w:rPr>
        <w:t>The filtering operation attenuates rapid fluctuations in the decision variable before they reach downstream motor circuitry, thereby increasing th</w:t>
      </w:r>
      <w:r w:rsidR="00397EF0">
        <w:rPr>
          <w:color w:val="FF0000"/>
        </w:rPr>
        <w:t>e stability of motor control</w:t>
      </w:r>
      <w:r w:rsidR="00397EF0" w:rsidRPr="00397EF0">
        <w:rPr>
          <w:color w:val="1F4E9E"/>
        </w:rPr>
        <w:t xml:space="preserve">. </w:t>
      </w:r>
      <w:r w:rsidR="00743B53" w:rsidRPr="00743B53">
        <w:rPr>
          <w:color w:val="FF0000"/>
        </w:rPr>
        <w:t xml:space="preserve">Support for this filtering operation comes from EEG evidence that the temporal lag between decision-related and motor-preparatory accumulation signals </w:t>
      </w:r>
      <w:r w:rsidR="00743B53" w:rsidRPr="00743B53">
        <w:rPr>
          <w:color w:val="1F4E9E"/>
        </w:rPr>
        <w:t>covaries</w:t>
      </w:r>
      <w:r w:rsidR="00743B53" w:rsidRPr="00743B53">
        <w:rPr>
          <w:color w:val="FF0000"/>
        </w:rPr>
        <w:t xml:space="preserve"> with the model-derived</w:t>
      </w:r>
      <w:r w:rsidR="00530C95">
        <w:rPr>
          <w:color w:val="FF0000"/>
        </w:rPr>
        <w:t xml:space="preserve"> degree of smoothing </w:t>
      </w:r>
      <w:r w:rsidR="00530C95" w:rsidRPr="00530C95">
        <w:rPr>
          <w:color w:val="1F4E9E"/>
        </w:rPr>
        <w:fldChar w:fldCharType="begin"/>
      </w:r>
      <w:r w:rsidR="00530C95" w:rsidRPr="00530C95">
        <w:rPr>
          <w:color w:val="1F4E9E"/>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1F4E9E"/>
        </w:rPr>
        <w:fldChar w:fldCharType="separate"/>
      </w:r>
      <w:r w:rsidR="00530C95" w:rsidRPr="00530C95">
        <w:rPr>
          <w:color w:val="FF0000"/>
        </w:rPr>
        <w:t>(Balsdon et al., 2023)</w:t>
      </w:r>
      <w:r w:rsidR="00530C95" w:rsidRPr="00530C95">
        <w:rPr>
          <w:color w:val="1F4E9E"/>
        </w:rPr>
        <w:fldChar w:fldCharType="end"/>
      </w:r>
      <w:r w:rsidR="00743B53" w:rsidRPr="00530C95">
        <w:rPr>
          <w:color w:val="1F4E9E"/>
        </w:rPr>
        <w:t xml:space="preserve">, and </w:t>
      </w:r>
      <w:r w:rsidR="00743B53" w:rsidRPr="00743B53">
        <w:rPr>
          <w:color w:val="FF0000"/>
        </w:rPr>
        <w:t>from behavioral–EMG modeling showing that the filtered architecture captures muscle dynamics, particularly the occurrence and timing of partial muscle activations—small EMG bursts that do not produce suffici</w:t>
      </w:r>
      <w:r w:rsidR="00743B53">
        <w:rPr>
          <w:color w:val="FF0000"/>
        </w:rPr>
        <w:t xml:space="preserve">ent force to generate a response </w:t>
      </w:r>
      <w:r w:rsidR="00743B53" w:rsidRPr="00743B53">
        <w:rPr>
          <w:color w:val="1F4E9E"/>
        </w:rPr>
        <w:fldChar w:fldCharType="begin"/>
      </w:r>
      <w:r w:rsidR="00FE1AE4">
        <w:rPr>
          <w:color w:val="1F4E9E"/>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1F4E9E"/>
        </w:rPr>
        <w:fldChar w:fldCharType="separate"/>
      </w:r>
      <w:r w:rsidR="00743B53" w:rsidRPr="00743B53">
        <w:rPr>
          <w:color w:val="FF0000"/>
        </w:rPr>
        <w:t>(Dendauw et al., 2024, 2026)</w:t>
      </w:r>
      <w:r w:rsidR="00743B53" w:rsidRPr="00743B53">
        <w:rPr>
          <w:color w:val="1F4E9E"/>
        </w:rPr>
        <w:fldChar w:fldCharType="end"/>
      </w:r>
      <w:r w:rsidR="00743B53" w:rsidRPr="00743B53">
        <w:rPr>
          <w:color w:val="1F4E9E"/>
        </w:rPr>
        <w:t>.</w:t>
      </w:r>
    </w:p>
    <w:p w14:paraId="55A4C0BB" w14:textId="77777777" w:rsidR="00CC4E99" w:rsidRDefault="00530C95" w:rsidP="00902EC4">
      <w:pPr>
        <w:rPr>
          <w:color w:val="1F4E9E"/>
        </w:rPr>
      </w:pPr>
      <w:r>
        <w:tab/>
      </w:r>
      <w:r w:rsidR="00CC4E99" w:rsidRPr="00CC4E99">
        <w:rPr>
          <w:color w:val="FF0000"/>
        </w:rPr>
        <w:t>Transmission from motor preparation to the muscles is also continuous but regulated by gating inhibition. The signed mo</w:t>
      </w:r>
      <w:r w:rsidR="00CC4E99">
        <w:rPr>
          <w:color w:val="FF0000"/>
        </w:rPr>
        <w:t xml:space="preserve">tor-preparation variable </w:t>
      </w:r>
      <w:r w:rsidR="00CC4E99" w:rsidRPr="00CC4E99">
        <w:rPr>
          <w:i/>
          <w:color w:val="1F4E9E"/>
        </w:rPr>
        <w:t>y(t)</w:t>
      </w:r>
      <w:r w:rsidR="00CC4E99">
        <w:t xml:space="preserve"> </w:t>
      </w:r>
      <w:r w:rsidR="00CC4E99" w:rsidRPr="00CC4E99">
        <w:rPr>
          <w:color w:val="FF0000"/>
        </w:rPr>
        <w:t>is transformed into separate nonnegative neural drives for the left and righ</w:t>
      </w:r>
      <w:r w:rsidR="00CC4E99">
        <w:rPr>
          <w:color w:val="1F4E9E"/>
        </w:rPr>
        <w:t xml:space="preserve">t response </w:t>
      </w:r>
      <w:r w:rsidR="00CC4E99" w:rsidRPr="00CC4E99">
        <w:rPr>
          <w:color w:val="1F4E9E"/>
        </w:rPr>
        <w:t>agonists:</w:t>
      </w:r>
    </w:p>
    <w:p w14:paraId="2C82A40C" w14:textId="77777777" w:rsidR="00530C95" w:rsidRPr="00CC4E99" w:rsidRDefault="00000000" w:rsidP="00902EC4">
      <w:pPr>
        <w:rPr>
          <w:rFonts w:eastAsiaTheme="minorEastAsia"/>
          <w:color w:val="1F4E9E"/>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2ADC193B" w14:textId="77777777" w:rsidR="00CC4E99" w:rsidRDefault="00CC4E99" w:rsidP="00902EC4">
      <w:pPr>
        <w:rPr>
          <w:color w:val="1F4E9E"/>
        </w:rPr>
      </w:pPr>
      <w:r>
        <w:rPr>
          <w:color w:val="1F4E9E"/>
        </w:rPr>
        <w:t>where</w:t>
      </w:r>
      <w:r>
        <w:t xml:space="preserve"> </w:t>
      </w:r>
      <w:r w:rsidRPr="00CC4E99">
        <w:rPr>
          <w:i/>
          <w:color w:val="1F4E9E"/>
        </w:rPr>
        <w:t>g</w:t>
      </w:r>
      <w:r w:rsidRPr="00CC4E99">
        <w:rPr>
          <w:color w:val="FF0000"/>
        </w:rPr>
        <w:t xml:space="preserve"> denotes the level of gating inhibition applied to motor-preparatory activity. Motor pre</w:t>
      </w:r>
      <w:r>
        <w:rPr>
          <w:color w:val="FF0000"/>
        </w:rPr>
        <w:t xml:space="preserve">paration must therefore exceed </w:t>
      </w:r>
      <w:r w:rsidRPr="00CC4E99">
        <w:rPr>
          <w:i/>
          <w:color w:val="1F4E9E"/>
        </w:rPr>
        <w:t>g</w:t>
      </w:r>
      <w:r w:rsidRPr="00CC4E99">
        <w:rPr>
          <w:color w:val="FF0000"/>
        </w:rPr>
        <w:t xml:space="preserve"> before generating neural drive to the corresponding muscle, pr</w:t>
      </w:r>
      <w:r>
        <w:rPr>
          <w:color w:val="FF0000"/>
        </w:rPr>
        <w:t xml:space="preserve">eventing small fluctuations in </w:t>
      </w:r>
      <w:r w:rsidRPr="00CC4E99">
        <w:rPr>
          <w:i/>
          <w:color w:val="1F4E9E"/>
        </w:rPr>
        <w:t>y(t)</w:t>
      </w:r>
      <w:r w:rsidRPr="00CC4E99">
        <w:rPr>
          <w:color w:val="FF0000"/>
        </w:rPr>
        <w:t xml:space="preserve"> from producing muscle activation. Muscle</w:t>
      </w:r>
      <w:r>
        <w:rPr>
          <w:color w:val="FF0000"/>
        </w:rPr>
        <w:t xml:space="preserve"> </w:t>
      </w:r>
      <w:r>
        <w:rPr>
          <w:color w:val="FF0000"/>
        </w:rPr>
        <w:lastRenderedPageBreak/>
        <w:t xml:space="preserve">activation begins when either </w:t>
      </w:r>
      <w:proofErr w:type="spellStart"/>
      <w:r w:rsidRPr="00CC4E99">
        <w:rPr>
          <w:i/>
          <w:color w:val="1F4E9E"/>
        </w:rPr>
        <w:t>z</w:t>
      </w:r>
      <w:r w:rsidRPr="00CC4E99">
        <w:rPr>
          <w:i/>
          <w:color w:val="1F4E9E"/>
          <w:vertAlign w:val="subscript"/>
        </w:rPr>
        <w:t>L</w:t>
      </w:r>
      <w:proofErr w:type="spellEnd"/>
      <w:r w:rsidRPr="00CC4E99">
        <w:rPr>
          <w:i/>
          <w:color w:val="1F4E9E"/>
        </w:rPr>
        <w:t>(t)</w:t>
      </w:r>
      <w:r>
        <w:rPr>
          <w:color w:val="1F4E9E"/>
        </w:rPr>
        <w:t xml:space="preserve"> or </w:t>
      </w:r>
      <w:proofErr w:type="spellStart"/>
      <w:r w:rsidRPr="00CC4E99">
        <w:rPr>
          <w:i/>
          <w:color w:val="1F4E9E"/>
        </w:rPr>
        <w:t>z</w:t>
      </w:r>
      <w:r w:rsidRPr="00CC4E99">
        <w:rPr>
          <w:i/>
          <w:color w:val="1F4E9E"/>
          <w:vertAlign w:val="subscript"/>
        </w:rPr>
        <w:t>R</w:t>
      </w:r>
      <w:proofErr w:type="spellEnd"/>
      <w:r w:rsidRPr="00CC4E99">
        <w:rPr>
          <w:i/>
          <w:color w:val="1F4E9E"/>
        </w:rPr>
        <w:t>(t)</w:t>
      </w:r>
      <w:r>
        <w:t xml:space="preserve"> </w:t>
      </w:r>
      <w:r w:rsidRPr="00CC4E99">
        <w:rPr>
          <w:color w:val="FF0000"/>
        </w:rPr>
        <w:t xml:space="preserve">becomes positive. </w:t>
      </w:r>
      <w:r w:rsidR="00AA60AD" w:rsidRPr="00AA60AD">
        <w:rPr>
          <w:color w:val="FF0000"/>
        </w:rPr>
        <w:t>The response is triggered when the corresponding neural drive reaches the response criterion</w:t>
      </w:r>
      <w:r>
        <w:t xml:space="preserve"> </w:t>
      </w:r>
      <w:r w:rsidRPr="00CC4E99">
        <w:rPr>
          <w:i/>
          <w:color w:val="1F4E9E"/>
        </w:rPr>
        <w:t>r</w:t>
      </w:r>
      <w:r w:rsidR="00AA60AD">
        <w:rPr>
          <w:color w:val="1F4E9E"/>
        </w:rPr>
        <w:t>.</w:t>
      </w:r>
      <w:r w:rsidRPr="00CC4E99">
        <w:rPr>
          <w:color w:val="FF0000"/>
        </w:rPr>
        <w:t xml:space="preserve"> If the neural drive returns to zero before </w:t>
      </w:r>
      <w:r>
        <w:rPr>
          <w:color w:val="1F4E9E"/>
        </w:rPr>
        <w:t xml:space="preserve">reaching </w:t>
      </w:r>
      <w:r w:rsidRPr="00CC4E99">
        <w:rPr>
          <w:i/>
          <w:color w:val="1F4E9E"/>
        </w:rPr>
        <w:t>r</w:t>
      </w:r>
      <w:r w:rsidRPr="00CC4E99">
        <w:rPr>
          <w:color w:val="FF0000"/>
        </w:rPr>
        <w:t>, the model predicts a partial muscle activation.</w:t>
      </w:r>
    </w:p>
    <w:p w14:paraId="58C0C11A" w14:textId="77777777" w:rsidR="00001A52" w:rsidRPr="00AB4996" w:rsidRDefault="00AB4996" w:rsidP="00902EC4">
      <w:pPr>
        <w:pStyle w:val="Titre3"/>
        <w:rPr>
          <w:color w:val="1F4E9E"/>
        </w:rPr>
      </w:pPr>
      <w:r w:rsidRPr="00AB4996">
        <w:rPr>
          <w:color w:val="FF0000"/>
        </w:rPr>
        <w:t>Extension to delayed report</w:t>
      </w:r>
    </w:p>
    <w:p w14:paraId="75BCE606" w14:textId="77777777" w:rsidR="00AD4CB7" w:rsidRDefault="001C0130" w:rsidP="00902EC4">
      <w:pPr>
        <w:rPr>
          <w:color w:val="1F4E9E"/>
        </w:rPr>
      </w:pPr>
      <w:r>
        <w:tab/>
      </w:r>
      <w:r w:rsidR="004B0AEA" w:rsidRPr="004B0AEA">
        <w:rPr>
          <w:color w:val="FF0000"/>
        </w:rPr>
        <w:t>For reference, all variables and parameters of both the inherited architecture and the delayed-report ext</w:t>
      </w:r>
      <w:r w:rsidR="004B0AEA">
        <w:rPr>
          <w:color w:val="1F4E9E"/>
        </w:rPr>
        <w:t>ension are summarized in Table A1</w:t>
      </w:r>
      <w:r w:rsidR="004B0AEA" w:rsidRPr="004B0AEA">
        <w:rPr>
          <w:color w:val="1F4E9E"/>
        </w:rPr>
        <w:t>.</w:t>
      </w:r>
      <w:r w:rsidR="004B0AEA">
        <w:t xml:space="preserve"> </w:t>
      </w:r>
      <w:r w:rsidR="0025318F" w:rsidRPr="0025318F">
        <w:rPr>
          <w:color w:val="FF0000"/>
        </w:rPr>
        <w:t xml:space="preserve">Four specifications define the maintenance component of the delayed-report extension: its locus, its onset, the value retained at onset, and its subsequent dynamics. </w:t>
      </w:r>
      <w:r w:rsidR="00AD2DAB" w:rsidRPr="00AD2DAB">
        <w:rPr>
          <w:color w:val="FF0000"/>
        </w:rPr>
        <w:t xml:space="preserve">We then describe how temporal preparation </w:t>
      </w:r>
      <w:r w:rsidR="00AD2DAB">
        <w:rPr>
          <w:color w:val="1F4E9E"/>
        </w:rPr>
        <w:t>may provide</w:t>
      </w:r>
      <w:r w:rsidR="00AD2DAB" w:rsidRPr="00AD2DAB">
        <w:rPr>
          <w:color w:val="FF0000"/>
        </w:rPr>
        <w:t xml:space="preserve"> an additional contribution to motor preparation and how RS processing ultimately drives the system toward </w:t>
      </w:r>
      <w:r w:rsidR="00B8443B">
        <w:rPr>
          <w:color w:val="1F4E9E"/>
        </w:rPr>
        <w:t xml:space="preserve">the </w:t>
      </w:r>
      <w:r w:rsidR="00AD2DAB" w:rsidRPr="00AD2DAB">
        <w:rPr>
          <w:color w:val="1F4E9E"/>
        </w:rPr>
        <w:t>respo</w:t>
      </w:r>
      <w:r w:rsidR="00B8443B">
        <w:rPr>
          <w:color w:val="1F4E9E"/>
        </w:rPr>
        <w:t>nse</w:t>
      </w:r>
      <w:r w:rsidR="0025318F" w:rsidRPr="0025318F">
        <w:rPr>
          <w:color w:val="1F4E9E"/>
        </w:rPr>
        <w:t>.</w:t>
      </w:r>
      <w:r w:rsidR="00792C7F" w:rsidRPr="00792C7F">
        <w:t xml:space="preserve"> </w:t>
      </w:r>
      <w:r w:rsidR="00792C7F" w:rsidRPr="00792C7F">
        <w:rPr>
          <w:color w:val="FF0000"/>
        </w:rPr>
        <w:t>The downstream gating and response mechanisms described above were left unchanged and remained active throughout the delayed-report trial.</w:t>
      </w:r>
    </w:p>
    <w:p w14:paraId="6AD15D60" w14:textId="77777777" w:rsidR="00CD7B04" w:rsidRDefault="00CD7B04" w:rsidP="00902EC4">
      <w:pPr>
        <w:rPr>
          <w:color w:val="1F4E9E"/>
        </w:rPr>
      </w:pPr>
      <w:r>
        <w:rPr>
          <w:i/>
          <w:color w:val="1F4E9E"/>
        </w:rPr>
        <w:t>L</w:t>
      </w:r>
      <w:r w:rsidR="0025318F" w:rsidRPr="0025318F">
        <w:rPr>
          <w:i/>
          <w:color w:val="FF0000"/>
        </w:rPr>
        <w:t xml:space="preserve">ocus of maintenance. </w:t>
      </w:r>
      <w:r w:rsidR="0025318F" w:rsidRPr="0025318F">
        <w:rPr>
          <w:color w:val="FF0000"/>
        </w:rPr>
        <w:t xml:space="preserve">Delayed report requires information established during motion processing to remain available until the RS. In principle, this information could be retained at the level of the decision variable </w:t>
      </w:r>
      <w:r w:rsidR="0025318F" w:rsidRPr="00CD7B04">
        <w:rPr>
          <w:i/>
          <w:color w:val="1F4E9E"/>
        </w:rPr>
        <w:t>x(t)</w:t>
      </w:r>
      <w:r w:rsidR="0025318F" w:rsidRPr="0025318F">
        <w:rPr>
          <w:color w:val="FF0000"/>
        </w:rPr>
        <w:t xml:space="preserve"> or downstream at the level of the motor-preparation variable </w:t>
      </w:r>
      <w:r w:rsidR="0025318F" w:rsidRPr="00CD7B04">
        <w:rPr>
          <w:i/>
          <w:color w:val="1F4E9E"/>
        </w:rPr>
        <w:t>y(t)</w:t>
      </w:r>
      <w:r w:rsidR="0025318F" w:rsidRPr="0025318F">
        <w:rPr>
          <w:color w:val="FF0000"/>
        </w:rPr>
        <w:t xml:space="preserve">. We implemented maintenance at the level of </w:t>
      </w:r>
      <w:r w:rsidR="0025318F" w:rsidRPr="00CD7B04">
        <w:rPr>
          <w:i/>
          <w:color w:val="1F4E9E"/>
        </w:rPr>
        <w:t>y(t)</w:t>
      </w:r>
      <w:r w:rsidR="0025318F" w:rsidRPr="0025318F">
        <w:rPr>
          <w:color w:val="1F4E9E"/>
        </w:rPr>
        <w:t xml:space="preserve">. </w:t>
      </w:r>
      <w:r w:rsidRPr="00CD7B04">
        <w:rPr>
          <w:color w:val="FF0000"/>
        </w:rPr>
        <w:t>This choice was motivated by EEG evidence that the centroparietal positivity, a candidate marker of an abstract decision 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t xml:space="preserve"> </w:t>
      </w:r>
      <w:r w:rsidRPr="00CD7B04">
        <w:rPr>
          <w:color w:val="1F4E9E"/>
        </w:rPr>
        <w:fldChar w:fldCharType="begin"/>
      </w:r>
      <w:r w:rsidRPr="00CD7B04">
        <w:rPr>
          <w:color w:val="1F4E9E"/>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1F4E9E"/>
        </w:rPr>
        <w:fldChar w:fldCharType="separate"/>
      </w:r>
      <w:r w:rsidRPr="00CD7B04">
        <w:rPr>
          <w:color w:val="FF0000"/>
        </w:rPr>
        <w:t>(Rogge et al., 2022; Twomey et al., 2016)</w:t>
      </w:r>
      <w:r w:rsidRPr="00CD7B04">
        <w:rPr>
          <w:color w:val="1F4E9E"/>
        </w:rPr>
        <w:fldChar w:fldCharType="end"/>
      </w:r>
      <w:r w:rsidRPr="00CD7B04">
        <w:rPr>
          <w:color w:val="1F4E9E"/>
        </w:rPr>
        <w:t xml:space="preserve">. </w:t>
      </w:r>
    </w:p>
    <w:p w14:paraId="7CF82CF9" w14:textId="77777777" w:rsidR="004B0AEA" w:rsidRDefault="00CD7B04" w:rsidP="0079438B">
      <w:pPr>
        <w:rPr>
          <w:color w:val="1F4E9E"/>
        </w:rPr>
      </w:pPr>
      <w:r w:rsidRPr="00CD7B04">
        <w:rPr>
          <w:i/>
          <w:color w:val="FF0000"/>
        </w:rPr>
        <w:t>Onset of maintenance.</w:t>
      </w:r>
      <w:r w:rsidRPr="00CD7B04">
        <w:rPr>
          <w:color w:val="FF0000"/>
        </w:rPr>
        <w:t xml:space="preserve"> We next specify when the model transitions from evidence accumulation to maintenance.</w:t>
      </w:r>
      <w:r w:rsidR="007662DA">
        <w:t xml:space="preserve"> </w:t>
      </w:r>
      <w:r w:rsidR="001C0130">
        <w:rPr>
          <w:color w:val="1F4E9E"/>
        </w:rPr>
        <w:t xml:space="preserve">For a </w:t>
      </w:r>
      <w:r w:rsidR="007662DA">
        <w:rPr>
          <w:color w:val="1F4E9E"/>
        </w:rPr>
        <w:t xml:space="preserve">motion </w:t>
      </w:r>
      <w:r w:rsidR="001C0130">
        <w:rPr>
          <w:color w:val="FF0000"/>
        </w:rPr>
        <w:t>stimulus presented from</w:t>
      </w:r>
      <w:r w:rsidR="001C0130" w:rsidRPr="001C0130">
        <w:rPr>
          <w:i/>
          <w:color w:val="1F4E9E"/>
        </w:rPr>
        <w:t xml:space="preserve"> t</w:t>
      </w:r>
      <w:r w:rsidR="0025318F">
        <w:rPr>
          <w:i/>
        </w:rPr>
        <w:t xml:space="preserve"> </w:t>
      </w:r>
      <w:r w:rsidR="001C0130">
        <w:rPr>
          <w:color w:val="1F4E9E"/>
        </w:rPr>
        <w:t>=</w:t>
      </w:r>
      <w:r w:rsidR="0025318F">
        <w:t xml:space="preserve"> </w:t>
      </w:r>
      <w:r w:rsidR="001C0130">
        <w:rPr>
          <w:color w:val="1F4E9E"/>
        </w:rPr>
        <w:t xml:space="preserve">0 to </w:t>
      </w:r>
      <w:r w:rsidR="001C0130" w:rsidRPr="001C0130">
        <w:rPr>
          <w:i/>
          <w:color w:val="1F4E9E"/>
        </w:rPr>
        <w:t>t</w:t>
      </w:r>
      <w:r w:rsidR="0025318F">
        <w:rPr>
          <w:i/>
        </w:rPr>
        <w:t xml:space="preserve"> </w:t>
      </w:r>
      <w:r w:rsidR="001C0130">
        <w:rPr>
          <w:color w:val="1F4E9E"/>
        </w:rPr>
        <w:t>=</w:t>
      </w:r>
      <w:r w:rsidR="0025318F">
        <w:t xml:space="preserve"> </w:t>
      </w:r>
      <w:r w:rsidR="001C0130" w:rsidRPr="001C0130">
        <w:rPr>
          <w:i/>
          <w:color w:val="1F4E9E"/>
        </w:rPr>
        <w:t>D</w:t>
      </w:r>
      <w:r w:rsidR="001C0130" w:rsidRPr="001C0130">
        <w:rPr>
          <w:color w:val="FF0000"/>
        </w:rPr>
        <w:t xml:space="preserve">, encoded motion evidence </w:t>
      </w:r>
      <w:r w:rsidR="0079438B">
        <w:rPr>
          <w:color w:val="1F4E9E"/>
        </w:rPr>
        <w:t>is potentially</w:t>
      </w:r>
      <w:r w:rsidR="001C0130" w:rsidRPr="001C0130">
        <w:rPr>
          <w:color w:val="1F4E9E"/>
        </w:rPr>
        <w:t xml:space="preserve"> availabl</w:t>
      </w:r>
      <w:r w:rsidR="007662DA">
        <w:rPr>
          <w:color w:val="FF0000"/>
        </w:rPr>
        <w:t>e to the decision process from</w:t>
      </w:r>
      <w:r w:rsidR="002924B2">
        <w:rPr>
          <w:i/>
        </w:rPr>
        <w:t xml:space="preserve"> </w:t>
      </w:r>
      <w:proofErr w:type="spellStart"/>
      <w:r w:rsidR="008D3E7A">
        <w:rPr>
          <w:i/>
          <w:color w:val="1F4E9E"/>
        </w:rPr>
        <w:t>L</w:t>
      </w:r>
      <w:r w:rsidR="008D3E7A" w:rsidRPr="008D3E7A">
        <w:rPr>
          <w:color w:val="1F4E9E"/>
          <w:vertAlign w:val="subscript"/>
        </w:rPr>
        <w:t>motion</w:t>
      </w:r>
      <w:proofErr w:type="spellEnd"/>
      <w:r w:rsidR="001C0130" w:rsidRPr="001C0130">
        <w:t xml:space="preserve"> </w:t>
      </w:r>
      <w:r w:rsidR="007662DA">
        <w:rPr>
          <w:color w:val="1F4E9E"/>
        </w:rPr>
        <w:t>to</w:t>
      </w:r>
      <w:r w:rsidR="001C0130" w:rsidRPr="001C0130">
        <w:t xml:space="preserve"> </w:t>
      </w:r>
      <w:proofErr w:type="spellStart"/>
      <w:r w:rsidR="008D3E7A">
        <w:rPr>
          <w:i/>
          <w:color w:val="1F4E9E"/>
        </w:rPr>
        <w:t>L</w:t>
      </w:r>
      <w:r w:rsidR="008D3E7A" w:rsidRPr="008D3E7A">
        <w:rPr>
          <w:color w:val="1F4E9E"/>
          <w:vertAlign w:val="subscript"/>
        </w:rPr>
        <w:t>motion</w:t>
      </w:r>
      <w:proofErr w:type="spellEnd"/>
      <w:r w:rsidR="0025318F">
        <w:rPr>
          <w:i/>
        </w:rPr>
        <w:t xml:space="preserve"> </w:t>
      </w:r>
      <w:r w:rsidR="001C0130" w:rsidRPr="001C0130">
        <w:rPr>
          <w:color w:val="1F4E9E"/>
        </w:rPr>
        <w:t>+</w:t>
      </w:r>
      <w:r w:rsidR="0025318F">
        <w:t xml:space="preserve"> </w:t>
      </w:r>
      <w:r w:rsidR="001C0130" w:rsidRPr="001C0130">
        <w:rPr>
          <w:i/>
          <w:color w:val="1F4E9E"/>
        </w:rPr>
        <w:t>D</w:t>
      </w:r>
      <w:r w:rsidR="00A73F8F" w:rsidRPr="00A73F8F">
        <w:rPr>
          <w:color w:val="1F4E9E"/>
        </w:rPr>
        <w:t xml:space="preserve">, where </w:t>
      </w:r>
      <w:proofErr w:type="spellStart"/>
      <w:r w:rsidR="008D3E7A">
        <w:rPr>
          <w:i/>
          <w:color w:val="1F4E9E"/>
        </w:rPr>
        <w:t>L</w:t>
      </w:r>
      <w:r w:rsidR="008D3E7A" w:rsidRPr="008D3E7A">
        <w:rPr>
          <w:color w:val="1F4E9E"/>
          <w:vertAlign w:val="subscript"/>
        </w:rPr>
        <w:t>motion</w:t>
      </w:r>
      <w:proofErr w:type="spellEnd"/>
      <w:r w:rsidR="00A73F8F">
        <w:rPr>
          <w:i/>
          <w:vertAlign w:val="subscript"/>
        </w:rPr>
        <w:t xml:space="preserve"> </w:t>
      </w:r>
      <w:r w:rsidR="00A73F8F">
        <w:rPr>
          <w:color w:val="FF0000"/>
        </w:rPr>
        <w:t>denotes the motion-evidence encoding latency</w:t>
      </w:r>
      <w:r w:rsidR="00A73F8F">
        <w:rPr>
          <w:i/>
          <w:vertAlign w:val="subscript"/>
        </w:rPr>
        <w:t xml:space="preserve"> </w:t>
      </w:r>
      <w:r w:rsidR="001C0130" w:rsidRPr="004B0AEA">
        <w:rPr>
          <w:color w:val="1F4E9E"/>
        </w:rPr>
        <w:fldChar w:fldCharType="begin"/>
      </w:r>
      <w:r w:rsidR="004B0AEA" w:rsidRPr="004B0AEA">
        <w:rPr>
          <w:color w:val="1F4E9E"/>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1F4E9E"/>
        </w:rPr>
        <w:fldChar w:fldCharType="separate"/>
      </w:r>
      <w:r w:rsidR="004B0AEA" w:rsidRPr="004B0AEA">
        <w:rPr>
          <w:color w:val="FF0000"/>
        </w:rPr>
        <w:t>(e.g., Resulaj et al., 2009)</w:t>
      </w:r>
      <w:r w:rsidR="001C0130" w:rsidRPr="004B0AEA">
        <w:rPr>
          <w:color w:val="1F4E9E"/>
        </w:rPr>
        <w:fldChar w:fldCharType="end"/>
      </w:r>
      <w:r w:rsidR="001C0130" w:rsidRPr="004B0AEA">
        <w:rPr>
          <w:color w:val="1F4E9E"/>
        </w:rPr>
        <w:t>.</w:t>
      </w:r>
      <w:r w:rsidR="0079438B" w:rsidRPr="004B0AEA">
        <w:t xml:space="preserve"> </w:t>
      </w:r>
      <w:r w:rsidR="004B0AEA" w:rsidRPr="004B0AEA">
        <w:rPr>
          <w:color w:val="FF0000"/>
        </w:rPr>
        <w:t xml:space="preserve">If the </w:t>
      </w:r>
      <w:r w:rsidR="004B0AEA" w:rsidRPr="004B0AEA">
        <w:rPr>
          <w:color w:val="FF0000"/>
        </w:rPr>
        <w:lastRenderedPageBreak/>
        <w:t xml:space="preserve">magnitude of motor preparation reached an internal threshold </w:t>
      </w:r>
      <w:r w:rsidR="004B0AEA" w:rsidRPr="004B0AEA">
        <w:rPr>
          <w:i/>
          <w:color w:val="1F4E9E"/>
        </w:rPr>
        <w:t>θ</w:t>
      </w:r>
      <w:r w:rsidR="004B0AEA" w:rsidRPr="004B0AEA">
        <w:rPr>
          <w:color w:val="FF0000"/>
        </w:rPr>
        <w:t xml:space="preserve"> during this interval, motion-evidence accumulation terminated at threshold crossing and maintenance began at that time,</w:t>
      </w:r>
      <w:r w:rsidR="004B0AEA">
        <w:t xml:space="preserve"> </w:t>
      </w:r>
      <w:r w:rsidR="004B0AEA" w:rsidRPr="004B0AEA">
        <w:rPr>
          <w:color w:val="1F4E9E"/>
        </w:rPr>
        <w:t xml:space="preserve">denoted </w:t>
      </w:r>
      <w:r w:rsidR="004B0AEA" w:rsidRPr="004B0AEA">
        <w:rPr>
          <w:i/>
          <w:color w:val="1F4E9E"/>
        </w:rPr>
        <w:t>τ</w:t>
      </w:r>
      <w:r w:rsidR="004B0AEA">
        <w:rPr>
          <w:color w:val="1F4E9E"/>
        </w:rPr>
        <w:t xml:space="preserve">. </w:t>
      </w:r>
      <w:r w:rsidR="002E1630" w:rsidRPr="002E1630">
        <w:rPr>
          <w:color w:val="FF0000"/>
        </w:rPr>
        <w:t>Allowing maintenance to begin before encoded motion evidence ceased was motivated by evidence that accumulation can terminate upon reaching a threshold even when stimulus duration is externally controlled</w:t>
      </w:r>
      <w:r w:rsidR="002E1630">
        <w:t xml:space="preserve"> </w:t>
      </w:r>
      <w:r w:rsidR="004B0AEA" w:rsidRPr="0079438B">
        <w:rPr>
          <w:color w:val="1F4E9E"/>
        </w:rPr>
        <w:fldChar w:fldCharType="begin"/>
      </w:r>
      <w:r w:rsidR="004B0AEA" w:rsidRPr="0079438B">
        <w:rPr>
          <w:color w:val="1F4E9E"/>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1F4E9E"/>
        </w:rPr>
        <w:fldChar w:fldCharType="separate"/>
      </w:r>
      <w:r w:rsidR="004B0AEA" w:rsidRPr="0079438B">
        <w:rPr>
          <w:color w:val="1F4E9E"/>
        </w:rPr>
        <w:t>(Kiani et al., 2008)</w:t>
      </w:r>
      <w:r w:rsidR="004B0AEA" w:rsidRPr="0079438B">
        <w:rPr>
          <w:color w:val="1F4E9E"/>
        </w:rPr>
        <w:fldChar w:fldCharType="end"/>
      </w:r>
      <w:r w:rsidR="004B0AEA" w:rsidRPr="0079438B">
        <w:rPr>
          <w:color w:val="1F4E9E"/>
        </w:rPr>
        <w:t>.</w:t>
      </w:r>
      <w:r w:rsidR="004B0AEA">
        <w:rPr>
          <w:color w:val="1F4E9E"/>
        </w:rPr>
        <w:t xml:space="preserve"> The</w:t>
      </w:r>
      <w:r w:rsidR="007D2511" w:rsidRPr="007D2511">
        <w:rPr>
          <w:color w:val="FF0000"/>
        </w:rPr>
        <w:t xml:space="preserve"> threshold was constrained to lie below gating inhibition (</w:t>
      </w:r>
      <w:r w:rsidR="007D2511" w:rsidRPr="007D2511">
        <w:rPr>
          <w:i/>
          <w:color w:val="1F4E9E"/>
        </w:rPr>
        <w:t>θ</w:t>
      </w:r>
      <w:r w:rsidR="007D2511" w:rsidRPr="007D2511">
        <w:rPr>
          <w:color w:val="1F4E9E"/>
        </w:rPr>
        <w:t xml:space="preserve"> &lt; </w:t>
      </w:r>
      <w:r w:rsidR="007D2511" w:rsidRPr="007D2511">
        <w:rPr>
          <w:i/>
          <w:color w:val="1F4E9E"/>
        </w:rPr>
        <w:t>g</w:t>
      </w:r>
      <w:r w:rsidR="007D2511">
        <w:rPr>
          <w:color w:val="1F4E9E"/>
        </w:rPr>
        <w:t>)</w:t>
      </w:r>
      <w:r w:rsidR="007D2511" w:rsidRPr="007D2511">
        <w:rPr>
          <w:color w:val="1F4E9E"/>
        </w:rPr>
        <w:t>.</w:t>
      </w:r>
      <w:r w:rsidR="007D2511">
        <w:t xml:space="preserve"> </w:t>
      </w:r>
      <w:r w:rsidR="004B0AEA" w:rsidRPr="004B0AEA">
        <w:rPr>
          <w:color w:val="1F4E9E"/>
        </w:rPr>
        <w:t xml:space="preserve">If </w:t>
      </w:r>
      <w:r w:rsidR="004B0AEA" w:rsidRPr="004B0AEA">
        <w:rPr>
          <w:i/>
          <w:color w:val="1F4E9E"/>
        </w:rPr>
        <w:t>θ</w:t>
      </w:r>
      <w:r w:rsidR="004B0AEA" w:rsidRPr="004B0AEA">
        <w:rPr>
          <w:color w:val="FF0000"/>
        </w:rPr>
        <w:t xml:space="preserve"> was not reached, motion-evidence accumulation continued until encoded motion</w:t>
      </w:r>
      <w:r w:rsidR="004B0AEA">
        <w:rPr>
          <w:color w:val="FF0000"/>
        </w:rPr>
        <w:t xml:space="preserve"> evidence ceased, and </w:t>
      </w:r>
      <w:r w:rsidR="004B0AEA" w:rsidRPr="004B0AEA">
        <w:rPr>
          <w:color w:val="FF0000"/>
        </w:rPr>
        <w:t>maintenance began at</w:t>
      </w:r>
      <w:r w:rsidR="004B0AEA">
        <w:t xml:space="preserve"> </w:t>
      </w:r>
      <w:r w:rsidR="004B0AEA" w:rsidRPr="004B0AEA">
        <w:rPr>
          <w:i/>
          <w:color w:val="1F4E9E"/>
        </w:rPr>
        <w:t>τ</w:t>
      </w:r>
      <w:r w:rsidR="004B0AEA">
        <w:rPr>
          <w:color w:val="1F4E9E"/>
        </w:rPr>
        <w:t xml:space="preserve"> = </w:t>
      </w:r>
      <w:proofErr w:type="spellStart"/>
      <w:r w:rsidR="008D3E7A">
        <w:rPr>
          <w:i/>
          <w:color w:val="1F4E9E"/>
        </w:rPr>
        <w:t>L</w:t>
      </w:r>
      <w:r w:rsidR="008D3E7A" w:rsidRPr="008D3E7A">
        <w:rPr>
          <w:color w:val="1F4E9E"/>
          <w:vertAlign w:val="subscript"/>
        </w:rPr>
        <w:t>motion</w:t>
      </w:r>
      <w:proofErr w:type="spellEnd"/>
      <w:r w:rsidR="004B0AEA">
        <w:rPr>
          <w:i/>
        </w:rPr>
        <w:t xml:space="preserve"> </w:t>
      </w:r>
      <w:r w:rsidR="004B0AEA" w:rsidRPr="001C0130">
        <w:rPr>
          <w:color w:val="1F4E9E"/>
        </w:rPr>
        <w:t>+</w:t>
      </w:r>
      <w:r w:rsidR="004B0AEA">
        <w:t xml:space="preserve"> </w:t>
      </w:r>
      <w:r w:rsidR="004B0AEA" w:rsidRPr="001C0130">
        <w:rPr>
          <w:i/>
          <w:color w:val="1F4E9E"/>
        </w:rPr>
        <w:t>D</w:t>
      </w:r>
      <w:r w:rsidR="004B0AEA">
        <w:rPr>
          <w:color w:val="1F4E9E"/>
        </w:rPr>
        <w:t xml:space="preserve">. </w:t>
      </w:r>
    </w:p>
    <w:p w14:paraId="57E24B76" w14:textId="77777777" w:rsidR="00AD4CB7" w:rsidRDefault="0079438B" w:rsidP="00902EC4">
      <w:pPr>
        <w:rPr>
          <w:color w:val="1F4E9E"/>
        </w:rPr>
      </w:pPr>
      <w:r w:rsidRPr="0079438B">
        <w:rPr>
          <w:i/>
          <w:color w:val="FF0000"/>
        </w:rPr>
        <w:t>Value retained at maintenance onset.</w:t>
      </w:r>
      <w:r>
        <w:rPr>
          <w:i/>
        </w:rPr>
        <w:t xml:space="preserve"> </w:t>
      </w:r>
      <w:r w:rsidR="004E256C" w:rsidRPr="004E256C">
        <w:rPr>
          <w:color w:val="FF0000"/>
        </w:rPr>
        <w:t>The motor-preparatory state established at the</w:t>
      </w:r>
      <w:r w:rsidR="00C4261A">
        <w:rPr>
          <w:color w:val="FF0000"/>
        </w:rPr>
        <w:t xml:space="preserve"> transition defined the </w:t>
      </w:r>
      <w:r w:rsidR="004E256C" w:rsidRPr="004E256C">
        <w:rPr>
          <w:color w:val="FF0000"/>
        </w:rPr>
        <w:t xml:space="preserve">maintenance target </w:t>
      </w:r>
      <w:r w:rsidR="004E256C" w:rsidRPr="00B17E95">
        <w:rPr>
          <w:i/>
          <w:color w:val="1F4E9E"/>
        </w:rPr>
        <w:t>m</w:t>
      </w:r>
      <w:r w:rsidR="004E256C" w:rsidRPr="004E256C">
        <w:rPr>
          <w:color w:val="1F4E9E"/>
        </w:rPr>
        <w:t>:</w:t>
      </w:r>
    </w:p>
    <w:p w14:paraId="1F75C336" w14:textId="77777777" w:rsidR="004E256C" w:rsidRPr="00B17E95" w:rsidRDefault="00000000" w:rsidP="00902EC4">
      <w:pPr>
        <w:rPr>
          <w:rFonts w:eastAsiaTheme="minorEastAsia"/>
          <w:color w:val="1F4E9E"/>
        </w:rPr>
      </w:pPr>
      <m:oMathPara>
        <m:oMath>
          <m:eqArr>
            <m:eqArrPr>
              <m:maxDist m:val="1"/>
              <m:ctrlPr>
                <w:rPr>
                  <w:rFonts w:ascii="Cambria Math" w:hAnsi="Cambria Math"/>
                  <w:i/>
                  <w:color w:val="1F4E9E"/>
                </w:rPr>
              </m:ctrlPr>
            </m:eqArrPr>
            <m:e>
              <m:r>
                <w:rPr>
                  <w:rFonts w:ascii="Cambria Math" w:hAnsi="Cambria Math"/>
                  <w:color w:val="1F4E9E"/>
                </w:rPr>
                <m:t>m=</m:t>
              </m:r>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 xml:space="preserve">θ,  </m:t>
                      </m:r>
                      <m:r>
                        <m:rPr>
                          <m:sty m:val="p"/>
                        </m:rPr>
                        <w:rPr>
                          <w:rFonts w:ascii="Cambria Math" w:hAnsi="Cambria Math"/>
                          <w:color w:val="1F4E9E"/>
                        </w:rPr>
                        <m:t>if</m:t>
                      </m:r>
                      <m:r>
                        <w:rPr>
                          <w:rFonts w:ascii="Cambria Math" w:hAnsi="Cambria Math"/>
                          <w:color w:val="1F4E9E"/>
                        </w:rPr>
                        <m:t xml:space="preserve"> θ </m:t>
                      </m:r>
                      <m:r>
                        <m:rPr>
                          <m:sty m:val="p"/>
                        </m:rPr>
                        <w:rPr>
                          <w:rFonts w:ascii="Cambria Math" w:hAnsi="Cambria Math"/>
                          <w:color w:val="1F4E9E"/>
                        </w:rPr>
                        <m:t>was reached,</m:t>
                      </m:r>
                    </m:e>
                    <m:e>
                      <m:r>
                        <w:rPr>
                          <w:rFonts w:ascii="Cambria Math" w:hAnsi="Cambria Math"/>
                          <w:color w:val="1F4E9E"/>
                        </w:rPr>
                        <m:t xml:space="preserve"> y</m:t>
                      </m:r>
                      <m:d>
                        <m:dPr>
                          <m:ctrlPr>
                            <w:rPr>
                              <w:rFonts w:ascii="Cambria Math" w:hAnsi="Cambria Math"/>
                              <w:i/>
                              <w:color w:val="1F4E9E"/>
                            </w:rPr>
                          </m:ctrlPr>
                        </m:dPr>
                        <m:e>
                          <m:sSub>
                            <m:sSubPr>
                              <m:ctrlPr>
                                <w:rPr>
                                  <w:rFonts w:ascii="Cambria Math" w:hAnsi="Cambria Math"/>
                                  <w:i/>
                                  <w:color w:val="1F4E9E"/>
                                </w:rPr>
                              </m:ctrlPr>
                            </m:sSubPr>
                            <m:e>
                              <m:r>
                                <w:rPr>
                                  <w:rFonts w:ascii="Cambria Math" w:hAnsi="Cambria Math"/>
                                  <w:color w:val="1F4E9E"/>
                                </w:rPr>
                                <m:t>L</m:t>
                              </m:r>
                            </m:e>
                            <m:sub>
                              <m:r>
                                <m:rPr>
                                  <m:sty m:val="p"/>
                                </m:rPr>
                                <w:rPr>
                                  <w:rFonts w:ascii="Cambria Math" w:hAnsi="Cambria Math"/>
                                  <w:color w:val="1F4E9E"/>
                                </w:rPr>
                                <m:t>motion</m:t>
                              </m:r>
                            </m:sub>
                          </m:sSub>
                          <m:r>
                            <w:rPr>
                              <w:rFonts w:ascii="Cambria Math" w:hAnsi="Cambria Math"/>
                              <w:color w:val="1F4E9E"/>
                            </w:rPr>
                            <m:t>+D</m:t>
                          </m:r>
                        </m:e>
                      </m:d>
                      <m:r>
                        <w:rPr>
                          <w:rFonts w:ascii="Cambria Math" w:hAnsi="Cambria Math"/>
                          <w:color w:val="1F4E9E"/>
                        </w:rPr>
                        <m:t xml:space="preserve">,  </m:t>
                      </m:r>
                      <m:r>
                        <m:rPr>
                          <m:sty m:val="p"/>
                        </m:rPr>
                        <w:rPr>
                          <w:rFonts w:ascii="Cambria Math" w:hAnsi="Cambria Math"/>
                          <w:color w:val="1F4E9E"/>
                        </w:rPr>
                        <m:t>otherwise,</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4</m:t>
                  </m:r>
                </m:e>
              </m:d>
            </m:e>
          </m:eqArr>
          <m:r>
            <w:rPr>
              <w:rFonts w:ascii="Cambria Math" w:hAnsi="Cambria Math"/>
              <w:color w:val="1F4E9E"/>
            </w:rPr>
            <m:t xml:space="preserve"> </m:t>
          </m:r>
        </m:oMath>
      </m:oMathPara>
    </w:p>
    <w:p w14:paraId="03CEC430" w14:textId="77777777" w:rsidR="00B17E95" w:rsidRPr="00B17E95" w:rsidRDefault="00F4516D" w:rsidP="00902EC4">
      <w:pPr>
        <w:rPr>
          <w:rFonts w:eastAsiaTheme="minorEastAsia"/>
          <w:color w:val="1F4E9E"/>
        </w:rPr>
      </w:pPr>
      <w:r>
        <w:rPr>
          <w:rFonts w:eastAsiaTheme="minorEastAsia"/>
          <w:color w:val="1F4E9E"/>
        </w:rPr>
        <w:t>w</w:t>
      </w:r>
      <w:r w:rsidR="00B17E95">
        <w:rPr>
          <w:rFonts w:eastAsiaTheme="minorEastAsia"/>
          <w:color w:val="1F4E9E"/>
        </w:rPr>
        <w:t>here</w:t>
      </w:r>
      <w:r w:rsidR="00B17E95">
        <w:rPr>
          <w:rFonts w:eastAsiaTheme="minorEastAsia"/>
        </w:rPr>
        <w:t xml:space="preserve"> </w:t>
      </w:r>
      <w:proofErr w:type="spellStart"/>
      <w:r w:rsidR="00B17E95" w:rsidRPr="00B17E95">
        <w:rPr>
          <w:rFonts w:eastAsiaTheme="minorEastAsia"/>
          <w:i/>
          <w:color w:val="1F4E9E"/>
        </w:rPr>
        <w:t>s</w:t>
      </w:r>
      <w:r w:rsidR="00CA71FD" w:rsidRPr="008D3E7A">
        <w:rPr>
          <w:rFonts w:eastAsiaTheme="minorEastAsia"/>
          <w:color w:val="1F4E9E"/>
          <w:vertAlign w:val="subscript"/>
        </w:rPr>
        <w:t>resp</w:t>
      </w:r>
      <w:proofErr w:type="spellEnd"/>
      <w:r w:rsidR="00B17E95">
        <w:rPr>
          <w:rFonts w:eastAsiaTheme="minorEastAsia"/>
        </w:rPr>
        <w:t xml:space="preserve"> </w:t>
      </w:r>
      <w:r w:rsidR="00B17E95" w:rsidRPr="00907F07">
        <w:rPr>
          <w:rFonts w:ascii="Cambria Math" w:hAnsi="Cambria Math" w:cs="Cambria Math"/>
          <w:color w:val="1F4E9E"/>
        </w:rPr>
        <w:t>∈</w:t>
      </w:r>
      <w:r w:rsidR="00B17E95" w:rsidRPr="00907F07">
        <w:rPr>
          <w:color w:val="1F4E9E"/>
        </w:rPr>
        <w:t xml:space="preserve"> {−</w:t>
      </w:r>
      <w:proofErr w:type="gramStart"/>
      <w:r w:rsidR="00B17E95" w:rsidRPr="00907F07">
        <w:rPr>
          <w:color w:val="1F4E9E"/>
        </w:rPr>
        <w:t>1,+</w:t>
      </w:r>
      <w:proofErr w:type="gramEnd"/>
      <w:r w:rsidR="00B17E95" w:rsidRPr="00907F07">
        <w:rPr>
          <w:color w:val="1F4E9E"/>
        </w:rPr>
        <w:t xml:space="preserve">1} </w:t>
      </w:r>
      <w:r w:rsidR="00D66DB2">
        <w:rPr>
          <w:color w:val="1F4E9E"/>
        </w:rPr>
        <w:t>c</w:t>
      </w:r>
      <w:r w:rsidR="00D66DB2" w:rsidRPr="00D66DB2">
        <w:rPr>
          <w:rFonts w:eastAsiaTheme="minorEastAsia"/>
          <w:color w:val="1F4E9E"/>
        </w:rPr>
        <w:t>od</w:t>
      </w:r>
      <w:r w:rsidR="00D66DB2">
        <w:rPr>
          <w:rFonts w:eastAsiaTheme="minorEastAsia"/>
          <w:color w:val="FF0000"/>
        </w:rPr>
        <w:t xml:space="preserve">es the selected response, with </w:t>
      </w:r>
      <w:r w:rsidR="00D66DB2" w:rsidRPr="00907F07">
        <w:rPr>
          <w:color w:val="1F4E9E"/>
        </w:rPr>
        <w:t>−</w:t>
      </w:r>
      <w:r w:rsidR="00D66DB2" w:rsidRPr="00D66DB2">
        <w:rPr>
          <w:rFonts w:eastAsiaTheme="minorEastAsia"/>
          <w:color w:val="FF0000"/>
        </w:rPr>
        <w:t>1 denoting the left-hand response and +1 the right-hand response, following the arbitrary s</w:t>
      </w:r>
      <w:r w:rsidR="00D66DB2">
        <w:rPr>
          <w:rFonts w:eastAsiaTheme="minorEastAsia"/>
          <w:color w:val="FF0000"/>
        </w:rPr>
        <w:t xml:space="preserve">ign convention defined for </w:t>
      </w:r>
      <w:r w:rsidR="00D66DB2" w:rsidRPr="00D66DB2">
        <w:rPr>
          <w:rFonts w:eastAsiaTheme="minorEastAsia"/>
          <w:i/>
          <w:color w:val="1F4E9E"/>
        </w:rPr>
        <w:t>y(t)</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reached, </w:t>
      </w:r>
      <w:r w:rsidR="00B17E95" w:rsidRPr="00B17E95">
        <w:rPr>
          <w:rFonts w:eastAsiaTheme="minorEastAsia"/>
          <w:i/>
          <w:color w:val="1F4E9E"/>
        </w:rPr>
        <w:t>y(t)</w:t>
      </w:r>
      <w:r w:rsidR="00B17E95" w:rsidRPr="00B17E95">
        <w:rPr>
          <w:rFonts w:eastAsiaTheme="minorEastAsia"/>
          <w:color w:val="1F4E9E"/>
        </w:rPr>
        <w:t xml:space="preserve"> was se</w:t>
      </w:r>
      <w:r w:rsidR="00D66DB2">
        <w:rPr>
          <w:rFonts w:eastAsiaTheme="minorEastAsia"/>
          <w:color w:val="FF0000"/>
        </w:rPr>
        <w:t>t to the threshold value in the selected</w:t>
      </w:r>
      <w:r w:rsidR="00B17E95" w:rsidRPr="00B17E95">
        <w:rPr>
          <w:rFonts w:eastAsiaTheme="minorEastAsia"/>
          <w:color w:val="1F4E9E"/>
        </w:rPr>
        <w:t xml:space="preserve"> direction.</w:t>
      </w:r>
      <w:r w:rsidR="00B17E95">
        <w:rPr>
          <w:rFonts w:eastAsiaTheme="minorEastAsia"/>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FF0000"/>
        </w:rPr>
        <w:t xml:space="preserve"> was not reached, the graded state attained when encoded motion evidence ceased was retained.</w:t>
      </w:r>
      <w:r w:rsidR="00B17E95">
        <w:rPr>
          <w:rFonts w:eastAsiaTheme="minorEastAsia"/>
        </w:rPr>
        <w:t xml:space="preserve"> </w:t>
      </w:r>
      <w:r w:rsidR="00B17E95" w:rsidRPr="00B17E95">
        <w:rPr>
          <w:rFonts w:eastAsiaTheme="minorEastAsia"/>
          <w:color w:val="FF0000"/>
        </w:rPr>
        <w:t xml:space="preserve">The model therefore did not require every trial to reach </w:t>
      </w:r>
      <w:r w:rsidR="00B17E95" w:rsidRPr="00FF76B0">
        <w:rPr>
          <w:rFonts w:eastAsiaTheme="minorEastAsia"/>
          <w:i/>
          <w:color w:val="1F4E9E"/>
        </w:rPr>
        <w:t>θ</w:t>
      </w:r>
      <w:r w:rsidR="00B17E95" w:rsidRPr="00B17E95">
        <w:rPr>
          <w:rFonts w:eastAsiaTheme="minorEastAsia"/>
          <w:color w:val="FF0000"/>
        </w:rPr>
        <w:t>: short or weak stimuli could leave a below-threshold motor-preparatory state whose magnitude retained information about the preceding accumulation process.</w:t>
      </w:r>
    </w:p>
    <w:p w14:paraId="2E49298C" w14:textId="77777777" w:rsidR="00E064A7" w:rsidRDefault="00B17E95" w:rsidP="00902EC4">
      <w:pPr>
        <w:rPr>
          <w:color w:val="1F4E9E"/>
        </w:rPr>
      </w:pPr>
      <w:r w:rsidRPr="00B17E95">
        <w:rPr>
          <w:i/>
          <w:color w:val="FF0000"/>
        </w:rPr>
        <w:t>Maintenance dynamics.</w:t>
      </w:r>
      <w:r w:rsidR="004C5C08">
        <w:t xml:space="preserve"> </w:t>
      </w:r>
      <w:r w:rsidR="006C1FCA" w:rsidRPr="006C1FCA">
        <w:rPr>
          <w:color w:val="FF0000"/>
        </w:rPr>
        <w:t xml:space="preserve">The maintenance mechanism was identical in the two candidate models. Once maintenance began, the input to the low-pass filter generating </w:t>
      </w:r>
      <w:r w:rsidR="006C1FCA" w:rsidRPr="006C1FCA">
        <w:rPr>
          <w:i/>
          <w:color w:val="1F4E9E"/>
        </w:rPr>
        <w:t>y(t)</w:t>
      </w:r>
      <w:r w:rsidR="006C1FCA" w:rsidRPr="006C1FCA">
        <w:rPr>
          <w:color w:val="FF0000"/>
        </w:rPr>
        <w:t xml:space="preserve"> switched from the evolving decision variable </w:t>
      </w:r>
      <w:r w:rsidR="006C1FCA" w:rsidRPr="006C1FCA">
        <w:rPr>
          <w:i/>
          <w:color w:val="1F4E9E"/>
        </w:rPr>
        <w:t>x(t)</w:t>
      </w:r>
      <w:r w:rsidR="006C1FCA" w:rsidRPr="006C1FCA">
        <w:rPr>
          <w:color w:val="FF0000"/>
        </w:rPr>
        <w:t xml:space="preserve"> to the maintenance target m. Because the filter causes </w:t>
      </w:r>
      <w:r w:rsidR="006C1FCA" w:rsidRPr="006C1FCA">
        <w:rPr>
          <w:i/>
          <w:color w:val="1F4E9E"/>
        </w:rPr>
        <w:t>y(t)</w:t>
      </w:r>
      <w:r w:rsidR="006C1FCA" w:rsidRPr="006C1FCA">
        <w:rPr>
          <w:color w:val="FF0000"/>
        </w:rPr>
        <w:t xml:space="preserve"> to track its input, a constant input </w:t>
      </w:r>
      <w:r w:rsidR="006C1FCA" w:rsidRPr="006C1FCA">
        <w:rPr>
          <w:i/>
          <w:color w:val="1F4E9E"/>
        </w:rPr>
        <w:t>m</w:t>
      </w:r>
      <w:r w:rsidR="006C1FCA" w:rsidRPr="006C1FCA">
        <w:rPr>
          <w:color w:val="1F4E9E"/>
        </w:rPr>
        <w:t xml:space="preserve"> would cause </w:t>
      </w:r>
      <w:r w:rsidR="006C1FCA" w:rsidRPr="006C1FCA">
        <w:rPr>
          <w:i/>
          <w:color w:val="1F4E9E"/>
        </w:rPr>
        <w:t>y(t)</w:t>
      </w:r>
      <w:r w:rsidR="006C1FCA" w:rsidRPr="006C1FCA">
        <w:rPr>
          <w:color w:val="FF0000"/>
        </w:rPr>
        <w:t xml:space="preserve"> to converge toward </w:t>
      </w:r>
      <w:r w:rsidR="006C1FCA" w:rsidRPr="006C1FCA">
        <w:rPr>
          <w:i/>
          <w:color w:val="1F4E9E"/>
        </w:rPr>
        <w:t>m</w:t>
      </w:r>
      <w:r w:rsidR="006C1FCA" w:rsidRPr="006C1FCA">
        <w:rPr>
          <w:color w:val="FF0000"/>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1F4E9E"/>
        </w:rPr>
        <w:fldChar w:fldCharType="begin"/>
      </w:r>
      <w:r w:rsidR="006C1FCA" w:rsidRPr="006C1FCA">
        <w:rPr>
          <w:color w:val="1F4E9E"/>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1F4E9E"/>
        </w:rPr>
        <w:fldChar w:fldCharType="separate"/>
      </w:r>
      <w:r w:rsidR="006C1FCA" w:rsidRPr="006C1FCA">
        <w:rPr>
          <w:color w:val="1F4E9E"/>
        </w:rPr>
        <w:t xml:space="preserve">(Wang, </w:t>
      </w:r>
      <w:r w:rsidR="006C1FCA" w:rsidRPr="006C1FCA">
        <w:rPr>
          <w:color w:val="1F4E9E"/>
        </w:rPr>
        <w:lastRenderedPageBreak/>
        <w:t>2008)</w:t>
      </w:r>
      <w:r w:rsidR="006C1FCA" w:rsidRPr="006C1FCA">
        <w:rPr>
          <w:color w:val="1F4E9E"/>
        </w:rPr>
        <w:fldChar w:fldCharType="end"/>
      </w:r>
      <w:r w:rsidR="006C1FCA" w:rsidRPr="006C1FCA">
        <w:rPr>
          <w:color w:val="FF0000"/>
        </w:rPr>
        <w:t xml:space="preserve">. At the same time, activity within such recurrent circuits is intrinsically stochastic, making perfectly stationary maintenance at the single-trial level unlikely. To capture this variability without specifying its detailed circuit-level origin, we allowed the effective maintenance input to fluctuate around </w:t>
      </w:r>
      <w:r w:rsidR="006C1FCA" w:rsidRPr="006C1FCA">
        <w:rPr>
          <w:i/>
          <w:color w:val="1F4E9E"/>
        </w:rPr>
        <w:t>m</w:t>
      </w:r>
      <w:r w:rsidR="006C1FCA" w:rsidRPr="006C1FCA">
        <w:rPr>
          <w:color w:val="1F4E9E"/>
        </w:rPr>
        <w:t>.</w:t>
      </w:r>
      <w:r w:rsidR="006C1FCA">
        <w:t xml:space="preserve"> </w:t>
      </w:r>
      <w:r w:rsidR="00283D26" w:rsidRPr="00283D26">
        <w:rPr>
          <w:color w:val="FF0000"/>
        </w:rPr>
        <w:t xml:space="preserve">These fluctuations, denoted </w:t>
      </w:r>
      <w:r w:rsidR="00283D26">
        <w:rPr>
          <w:rFonts w:ascii="Calibri" w:hAnsi="Calibri" w:cs="Calibri"/>
          <w:i/>
          <w:color w:val="1F4E9E"/>
        </w:rPr>
        <w:t>ε</w:t>
      </w:r>
      <w:r w:rsidR="00283D26" w:rsidRPr="00283D26">
        <w:rPr>
          <w:i/>
          <w:color w:val="1F4E9E"/>
        </w:rPr>
        <w:t>(t)</w:t>
      </w:r>
      <w:r w:rsidR="00283D26" w:rsidRPr="00283D26">
        <w:rPr>
          <w:color w:val="FF0000"/>
        </w:rPr>
        <w:t>, followed an Ornstein–</w:t>
      </w:r>
      <w:proofErr w:type="spellStart"/>
      <w:r w:rsidR="00283D26" w:rsidRPr="00283D26">
        <w:rPr>
          <w:color w:val="1F4E9E"/>
        </w:rPr>
        <w:t>Uhlenbeck</w:t>
      </w:r>
      <w:proofErr w:type="spellEnd"/>
      <w:r w:rsidR="00283D26" w:rsidRPr="00283D26">
        <w:rPr>
          <w:color w:val="1F4E9E"/>
        </w:rPr>
        <w:t xml:space="preserve"> process:</w:t>
      </w:r>
    </w:p>
    <w:p w14:paraId="47CBBDF8" w14:textId="77777777" w:rsidR="00A20E6E" w:rsidRPr="00A20E6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m:t>
              </m:r>
              <m:r>
                <w:rPr>
                  <w:rFonts w:ascii="Cambria Math" w:hAnsi="Cambria Math"/>
                  <w:color w:val="1F4E9E"/>
                </w:rPr>
                <m:t>κ</m:t>
              </m:r>
              <m:r>
                <w:rPr>
                  <w:rFonts w:ascii="Cambria Math" w:eastAsiaTheme="minorEastAsia" w:hAnsi="Cambria Math"/>
                  <w:color w:val="1F4E9E"/>
                </w:rPr>
                <m:t>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xml:space="preserve">dt+ </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ε</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ε</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ε</m:t>
              </m:r>
              <m:d>
                <m:dPr>
                  <m:ctrlPr>
                    <w:rPr>
                      <w:rFonts w:ascii="Cambria Math" w:eastAsiaTheme="minorEastAsia" w:hAnsi="Cambria Math"/>
                      <w:i/>
                      <w:color w:val="1F4E9E"/>
                    </w:rPr>
                  </m:ctrlPr>
                </m:dPr>
                <m:e>
                  <m:r>
                    <w:rPr>
                      <w:rFonts w:ascii="Cambria Math" w:eastAsiaTheme="minorEastAsia" w:hAnsi="Cambria Math"/>
                      <w:color w:val="1F4E9E"/>
                    </w:rPr>
                    <m:t>τ</m:t>
                  </m:r>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5</m:t>
                  </m:r>
                </m:e>
              </m:d>
            </m:e>
          </m:eqArr>
        </m:oMath>
      </m:oMathPara>
    </w:p>
    <w:p w14:paraId="6E43B253" w14:textId="77777777" w:rsidR="00283D26" w:rsidRDefault="00E23931" w:rsidP="00902EC4">
      <w:pPr>
        <w:rPr>
          <w:rFonts w:eastAsiaTheme="minorEastAsia"/>
          <w:color w:val="1F4E9E"/>
        </w:rPr>
      </w:pPr>
      <w:r w:rsidRPr="00E23931">
        <w:rPr>
          <w:rFonts w:eastAsiaTheme="minorEastAsia"/>
          <w:color w:val="1F4E9E"/>
        </w:rPr>
        <w:t>where</w:t>
      </w:r>
      <w:r w:rsidRPr="00E23931">
        <w:rPr>
          <w:rFonts w:eastAsiaTheme="minorEastAsia"/>
        </w:rPr>
        <w:t xml:space="preserve"> </w:t>
      </w:r>
      <w:r w:rsidRPr="00E23931">
        <w:rPr>
          <w:rFonts w:eastAsiaTheme="minorEastAsia"/>
          <w:i/>
          <w:color w:val="1F4E9E"/>
        </w:rPr>
        <w:t>κ</w:t>
      </w:r>
      <w:r w:rsidRPr="00E23931">
        <w:rPr>
          <w:rFonts w:eastAsiaTheme="minorEastAsia"/>
        </w:rPr>
        <w:t xml:space="preserve"> </w:t>
      </w:r>
      <w:r w:rsidR="00283D26" w:rsidRPr="00283D26">
        <w:rPr>
          <w:rFonts w:eastAsiaTheme="minorEastAsia"/>
          <w:color w:val="FF0000"/>
        </w:rPr>
        <w:t>controls the rate at whic</w:t>
      </w:r>
      <w:r w:rsidR="00283D26">
        <w:rPr>
          <w:rFonts w:eastAsiaTheme="minorEastAsia"/>
          <w:color w:val="FF0000"/>
        </w:rPr>
        <w:t>h deviations return toward zero</w:t>
      </w:r>
      <w:r w:rsidR="00B9093E" w:rsidRPr="00B9093E">
        <w:rPr>
          <w:rFonts w:eastAsiaTheme="minorEastAsia"/>
          <w:color w:val="1F4E9E"/>
        </w:rPr>
        <w:t>,</w:t>
      </w:r>
      <w:r w:rsidRPr="00E23931">
        <w:rPr>
          <w:rFonts w:eastAsiaTheme="minorEastAsia"/>
        </w:rPr>
        <w:t xml:space="preserve"> </w:t>
      </w:r>
      <w:proofErr w:type="spellStart"/>
      <w:r w:rsidRPr="00E23931">
        <w:rPr>
          <w:rFonts w:eastAsiaTheme="minorEastAsia"/>
          <w:i/>
          <w:color w:val="1F4E9E"/>
        </w:rPr>
        <w:t>σ</w:t>
      </w:r>
      <w:r w:rsidRPr="00E23931">
        <w:rPr>
          <w:rFonts w:eastAsiaTheme="minorEastAsia"/>
          <w:i/>
          <w:color w:val="1F4E9E"/>
          <w:vertAlign w:val="subscript"/>
        </w:rPr>
        <w:t>ε</w:t>
      </w:r>
      <w:proofErr w:type="spellEnd"/>
      <w:r w:rsidRPr="00E23931">
        <w:rPr>
          <w:rFonts w:eastAsiaTheme="minorEastAsia"/>
        </w:rPr>
        <w:t xml:space="preserve"> </w:t>
      </w:r>
      <w:r w:rsidR="00677F0A">
        <w:rPr>
          <w:rFonts w:eastAsiaTheme="minorEastAsia"/>
          <w:color w:val="1F4E9E"/>
        </w:rPr>
        <w:t xml:space="preserve">controls </w:t>
      </w:r>
      <w:r w:rsidR="00283D26">
        <w:rPr>
          <w:rFonts w:eastAsiaTheme="minorEastAsia"/>
          <w:color w:val="FF0000"/>
        </w:rPr>
        <w:t xml:space="preserve">the magnitude of </w:t>
      </w:r>
      <w:r w:rsidR="00B9093E" w:rsidRPr="00B9093E">
        <w:rPr>
          <w:rFonts w:eastAsiaTheme="minorEastAsia"/>
          <w:color w:val="FF0000"/>
        </w:rPr>
        <w:t>stochastic fluctuations</w:t>
      </w:r>
      <w:r>
        <w:rPr>
          <w:rFonts w:eastAsiaTheme="minorEastAsia"/>
          <w:color w:val="1F4E9E"/>
        </w:rPr>
        <w:t xml:space="preserve">, and </w:t>
      </w:r>
      <w:proofErr w:type="spellStart"/>
      <w:r w:rsidRPr="00E23931">
        <w:rPr>
          <w:rFonts w:eastAsiaTheme="minorEastAsia"/>
          <w:i/>
          <w:color w:val="1F4E9E"/>
        </w:rPr>
        <w:t>dW</w:t>
      </w:r>
      <w:r w:rsidRPr="00E23931">
        <w:rPr>
          <w:rFonts w:ascii="Calibri" w:eastAsiaTheme="minorEastAsia" w:hAnsi="Calibri" w:cs="Calibri"/>
          <w:i/>
          <w:color w:val="1F4E9E"/>
          <w:vertAlign w:val="subscript"/>
        </w:rPr>
        <w:t>ε</w:t>
      </w:r>
      <w:proofErr w:type="spellEnd"/>
      <w:r w:rsidRPr="00E23931">
        <w:rPr>
          <w:rFonts w:eastAsiaTheme="minorEastAsia"/>
          <w:i/>
          <w:color w:val="1F4E9E"/>
        </w:rPr>
        <w:t>(t)</w:t>
      </w:r>
      <w:r>
        <w:rPr>
          <w:rFonts w:eastAsiaTheme="minorEastAsia"/>
          <w:color w:val="FF0000"/>
        </w:rPr>
        <w:t xml:space="preserve"> is an increment of a standard Wiener process. </w:t>
      </w:r>
      <w:r w:rsidR="00283D26" w:rsidRPr="00283D26">
        <w:rPr>
          <w:rFonts w:eastAsiaTheme="minorEastAsia"/>
          <w:color w:val="FF0000"/>
        </w:rPr>
        <w:t>The resulting maintenance dynamics were therefore</w:t>
      </w:r>
      <w:r w:rsidR="00283D26">
        <w:rPr>
          <w:rFonts w:eastAsiaTheme="minorEastAsia"/>
          <w:color w:val="1F4E9E"/>
        </w:rPr>
        <w:t>:</w:t>
      </w:r>
    </w:p>
    <w:p w14:paraId="361D152F" w14:textId="77777777" w:rsidR="00283D26" w:rsidRPr="000D3146" w:rsidRDefault="00000000" w:rsidP="00283D26">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m+ε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-y(t)</m:t>
                  </m:r>
                </m:e>
              </m:d>
              <m:r>
                <w:rPr>
                  <w:rFonts w:ascii="Cambria Math" w:eastAsiaTheme="minorEastAsia" w:hAnsi="Cambria Math"/>
                  <w:color w:val="1F4E9E"/>
                </w:rPr>
                <m:t>dt. #</m:t>
              </m:r>
              <m:d>
                <m:dPr>
                  <m:ctrlPr>
                    <w:rPr>
                      <w:rFonts w:ascii="Cambria Math" w:eastAsiaTheme="minorEastAsia" w:hAnsi="Cambria Math"/>
                      <w:i/>
                      <w:color w:val="1F4E9E"/>
                    </w:rPr>
                  </m:ctrlPr>
                </m:dPr>
                <m:e>
                  <m:r>
                    <w:rPr>
                      <w:rFonts w:ascii="Cambria Math" w:eastAsiaTheme="minorEastAsia" w:hAnsi="Cambria Math"/>
                      <w:color w:val="1F4E9E"/>
                    </w:rPr>
                    <m:t>6</m:t>
                  </m:r>
                </m:e>
              </m:d>
            </m:e>
          </m:eqArr>
        </m:oMath>
      </m:oMathPara>
    </w:p>
    <w:p w14:paraId="14C28FA8" w14:textId="77777777" w:rsidR="00283D26" w:rsidRDefault="00C91F3A" w:rsidP="00902EC4">
      <w:pPr>
        <w:rPr>
          <w:rFonts w:eastAsiaTheme="minorEastAsia"/>
          <w:color w:val="1F4E9E"/>
        </w:rPr>
      </w:pPr>
      <w:r w:rsidRPr="00C91F3A">
        <w:rPr>
          <w:rFonts w:eastAsiaTheme="minorEastAsia"/>
          <w:color w:val="1F4E9E"/>
        </w:rPr>
        <w:t>The Ornstein–</w:t>
      </w:r>
      <w:proofErr w:type="spellStart"/>
      <w:r w:rsidRPr="00C91F3A">
        <w:rPr>
          <w:rFonts w:eastAsiaTheme="minorEastAsia"/>
          <w:color w:val="1F4E9E"/>
        </w:rPr>
        <w:t>Uhlenbeck</w:t>
      </w:r>
      <w:proofErr w:type="spellEnd"/>
      <w:r w:rsidRPr="00C91F3A">
        <w:rPr>
          <w:rFonts w:eastAsiaTheme="minorEastAsia"/>
          <w:color w:val="FF0000"/>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FF0000"/>
        </w:rPr>
        <w:t>uld under a pure Wiener process</w:t>
      </w:r>
      <w:r w:rsidR="00523FFE" w:rsidRPr="00523FFE">
        <w:rPr>
          <w:rFonts w:eastAsiaTheme="minorEastAsia"/>
          <w:color w:val="1F4E9E"/>
        </w:rPr>
        <w:t xml:space="preserve">. </w:t>
      </w:r>
      <w:r>
        <w:rPr>
          <w:rFonts w:eastAsiaTheme="minorEastAsia"/>
          <w:color w:val="1F4E9E"/>
        </w:rPr>
        <w:t>Consequently</w:t>
      </w:r>
      <w:r w:rsidR="00523FFE" w:rsidRPr="00523FFE">
        <w:rPr>
          <w:rFonts w:eastAsiaTheme="minorEastAsia"/>
          <w:color w:val="1F4E9E"/>
        </w:rPr>
        <w:t xml:space="preserve">, </w:t>
      </w:r>
      <w:r w:rsidR="00523FFE" w:rsidRPr="00523FFE">
        <w:rPr>
          <w:rFonts w:eastAsiaTheme="minorEastAsia"/>
          <w:i/>
          <w:color w:val="1F4E9E"/>
        </w:rPr>
        <w:t>y(t)</w:t>
      </w:r>
      <w:r w:rsidR="00523FFE" w:rsidRPr="00523FFE">
        <w:rPr>
          <w:rFonts w:eastAsiaTheme="minorEastAsia"/>
          <w:color w:val="FF0000"/>
        </w:rPr>
        <w:t xml:space="preserve"> remains centered on </w:t>
      </w:r>
      <w:r w:rsidR="00523FFE" w:rsidRPr="001748EA">
        <w:rPr>
          <w:rFonts w:eastAsiaTheme="minorEastAsia"/>
          <w:i/>
          <w:color w:val="1F4E9E"/>
        </w:rPr>
        <w:t>m</w:t>
      </w:r>
      <w:r w:rsidR="00523FFE" w:rsidRPr="00523FFE">
        <w:rPr>
          <w:rFonts w:eastAsiaTheme="minorEastAsia"/>
          <w:color w:val="FF0000"/>
        </w:rPr>
        <w:t xml:space="preserve"> in expectation while </w:t>
      </w:r>
      <w:r w:rsidRPr="00C91F3A">
        <w:rPr>
          <w:rFonts w:eastAsiaTheme="minorEastAsia"/>
          <w:color w:val="FF0000"/>
        </w:rPr>
        <w:t>exhibiting temporally structured variability within individual trials.</w:t>
      </w:r>
    </w:p>
    <w:p w14:paraId="070DE2DF" w14:textId="77777777" w:rsidR="0097351A" w:rsidRDefault="00E7596E" w:rsidP="00227978">
      <w:pPr>
        <w:rPr>
          <w:rFonts w:eastAsiaTheme="minorEastAsia"/>
          <w:color w:val="1F4E9E"/>
        </w:rPr>
      </w:pPr>
      <w:r w:rsidRPr="00E7596E">
        <w:rPr>
          <w:rFonts w:eastAsiaTheme="minorEastAsia"/>
          <w:i/>
          <w:color w:val="FF0000"/>
        </w:rPr>
        <w:t>Temporal preparation.</w:t>
      </w:r>
      <w:r>
        <w:rPr>
          <w:rFonts w:eastAsiaTheme="minorEastAsia"/>
          <w:i/>
        </w:rPr>
        <w:t xml:space="preserve"> </w:t>
      </w:r>
      <w:r w:rsidR="0000674D" w:rsidRPr="0000674D">
        <w:rPr>
          <w:rFonts w:eastAsiaTheme="minorEastAsia"/>
          <w:color w:val="FF0000"/>
        </w:rPr>
        <w:t>The two candidate models differed in whether the motor-preparatory signal reaching the downstream gate included an additional contrib</w:t>
      </w:r>
      <w:r w:rsidR="0000674D">
        <w:rPr>
          <w:rFonts w:eastAsiaTheme="minorEastAsia"/>
          <w:color w:val="FF0000"/>
        </w:rPr>
        <w:t>ution from temporal preparation</w:t>
      </w:r>
      <w:r w:rsidR="008C41A0" w:rsidRPr="008C41A0">
        <w:rPr>
          <w:rFonts w:eastAsiaTheme="minorEastAsia"/>
          <w:color w:val="FF0000"/>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FF0000"/>
        </w:rPr>
        <w:t xml:space="preserve">can shape anticipatory motor preparation </w:t>
      </w:r>
      <w:r w:rsidR="008C41A0" w:rsidRPr="008C41A0">
        <w:rPr>
          <w:rFonts w:eastAsiaTheme="minorEastAsia"/>
          <w:color w:val="1F4E9E"/>
        </w:rPr>
        <w:fldChar w:fldCharType="begin"/>
      </w:r>
      <w:r w:rsidR="008C41A0" w:rsidRPr="008C41A0">
        <w:rPr>
          <w:rFonts w:eastAsiaTheme="minorEastAsia"/>
          <w:color w:val="1F4E9E"/>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1F4E9E"/>
        </w:rPr>
        <w:fldChar w:fldCharType="separate"/>
      </w:r>
      <w:r w:rsidR="008C41A0" w:rsidRPr="008C41A0">
        <w:rPr>
          <w:color w:val="FF0000"/>
        </w:rPr>
        <w:t>(Heideman et al., 2018; Li et al., 2026; Ramayya et al., 2025)</w:t>
      </w:r>
      <w:r w:rsidR="008C41A0" w:rsidRPr="008C41A0">
        <w:rPr>
          <w:rFonts w:eastAsiaTheme="minorEastAsia"/>
          <w:color w:val="1F4E9E"/>
        </w:rPr>
        <w:fldChar w:fldCharType="end"/>
      </w:r>
      <w:r w:rsidR="0065078C" w:rsidRPr="008C41A0">
        <w:rPr>
          <w:rFonts w:eastAsiaTheme="minorEastAsia"/>
          <w:color w:val="1F4E9E"/>
        </w:rPr>
        <w:t xml:space="preserve">. </w:t>
      </w:r>
      <w:r w:rsidR="00227978" w:rsidRPr="00227978">
        <w:rPr>
          <w:rFonts w:eastAsiaTheme="minorEastAsia"/>
          <w:color w:val="FF0000"/>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FF0000"/>
        </w:rPr>
        <w:t>We therefore anchored temporal</w:t>
      </w:r>
      <w:r w:rsidR="00852011">
        <w:rPr>
          <w:rFonts w:eastAsiaTheme="minorEastAsia"/>
        </w:rPr>
        <w:t xml:space="preserve"> </w:t>
      </w:r>
      <w:r w:rsidR="00852011">
        <w:rPr>
          <w:rFonts w:eastAsiaTheme="minorEastAsia"/>
          <w:color w:val="FF0000"/>
        </w:rPr>
        <w:lastRenderedPageBreak/>
        <w:t>preparation to stimulus offset</w:t>
      </w:r>
      <w:r w:rsidR="0065078C">
        <w:rPr>
          <w:rFonts w:eastAsiaTheme="minorEastAsia"/>
          <w:color w:val="1F4E9E"/>
        </w:rPr>
        <w:t xml:space="preserve">. </w:t>
      </w:r>
      <w:r w:rsidR="00227978" w:rsidRPr="00227978">
        <w:rPr>
          <w:rFonts w:eastAsiaTheme="minorEastAsia"/>
          <w:color w:val="1F4E9E"/>
        </w:rPr>
        <w:t xml:space="preserve">We </w:t>
      </w:r>
      <w:r w:rsidR="00852011">
        <w:rPr>
          <w:rFonts w:eastAsiaTheme="minorEastAsia"/>
          <w:color w:val="1F4E9E"/>
        </w:rPr>
        <w:t>defined</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offset</w:t>
      </w:r>
      <w:proofErr w:type="spellEnd"/>
      <w:r w:rsidR="00B51EDF">
        <w:rPr>
          <w:rFonts w:eastAsiaTheme="minorEastAsia"/>
          <w:color w:val="1F4E9E"/>
        </w:rPr>
        <w:t xml:space="preserve">, </w:t>
      </w:r>
      <w:r w:rsidR="00B51EDF" w:rsidRPr="00B51EDF">
        <w:rPr>
          <w:rFonts w:eastAsiaTheme="minorEastAsia"/>
          <w:color w:val="FF0000"/>
        </w:rPr>
        <w:t xml:space="preserve">the time at which stimulus offset became </w:t>
      </w:r>
      <w:r w:rsidR="00227978">
        <w:rPr>
          <w:rFonts w:eastAsiaTheme="minorEastAsia"/>
          <w:color w:val="FF0000"/>
        </w:rPr>
        <w:t>internally available as a</w:t>
      </w:r>
      <w:r w:rsidR="00B51EDF" w:rsidRPr="00B51EDF">
        <w:rPr>
          <w:rFonts w:eastAsiaTheme="minorEastAsia"/>
          <w:color w:val="FF0000"/>
        </w:rPr>
        <w:t xml:space="preserve"> temporal reference</w:t>
      </w:r>
      <w:r w:rsidR="00852011">
        <w:rPr>
          <w:rFonts w:eastAsiaTheme="minorEastAsia"/>
          <w:color w:val="1F4E9E"/>
        </w:rPr>
        <w:t>,</w:t>
      </w:r>
      <w:r w:rsidR="00227978">
        <w:rPr>
          <w:rFonts w:eastAsiaTheme="minorEastAsia"/>
        </w:rPr>
        <w:t xml:space="preserve"> </w:t>
      </w:r>
      <w:r w:rsidR="00B51EDF">
        <w:rPr>
          <w:rFonts w:eastAsiaTheme="minorEastAsia"/>
          <w:color w:val="1F4E9E"/>
        </w:rPr>
        <w:t>as</w:t>
      </w:r>
      <w:r w:rsidR="0097351A">
        <w:rPr>
          <w:rFonts w:eastAsiaTheme="minorEastAsia"/>
          <w:color w:val="1F4E9E"/>
        </w:rPr>
        <w:t>:</w:t>
      </w:r>
    </w:p>
    <w:p w14:paraId="3AC53963" w14:textId="77777777" w:rsidR="0097351A" w:rsidRDefault="00000000" w:rsidP="00227978">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motion</m:t>
              </m:r>
            </m:sub>
          </m:sSub>
          <m:r>
            <w:rPr>
              <w:rFonts w:ascii="Cambria Math" w:eastAsiaTheme="minorEastAsia" w:hAnsi="Cambria Math"/>
              <w:color w:val="1F4E9E"/>
            </w:rPr>
            <m:t>,</m:t>
          </m:r>
        </m:oMath>
      </m:oMathPara>
    </w:p>
    <w:p w14:paraId="3B376388" w14:textId="77777777" w:rsidR="0097351A" w:rsidRDefault="00852011" w:rsidP="00227978">
      <w:pPr>
        <w:rPr>
          <w:rFonts w:eastAsiaTheme="minorEastAsia"/>
          <w:color w:val="1F4E9E"/>
        </w:rPr>
      </w:pPr>
      <w:r w:rsidRPr="00852011">
        <w:rPr>
          <w:rFonts w:eastAsiaTheme="minorEastAsia"/>
          <w:color w:val="1F4E9E"/>
        </w:rPr>
        <w:t>coinciding</w:t>
      </w:r>
      <w:r w:rsidRPr="00852011">
        <w:rPr>
          <w:rFonts w:eastAsiaTheme="minorEastAsia"/>
          <w:color w:val="FF0000"/>
        </w:rPr>
        <w:t xml:space="preserve"> with the time at which</w:t>
      </w:r>
      <w:r>
        <w:rPr>
          <w:rFonts w:eastAsiaTheme="minorEastAsia"/>
          <w:color w:val="FF0000"/>
        </w:rPr>
        <w:t xml:space="preserve"> encoded motion evidence ceased</w:t>
      </w:r>
      <w:r w:rsidR="00F369EF" w:rsidRPr="00F369EF">
        <w:rPr>
          <w:rFonts w:eastAsiaTheme="minorEastAsia"/>
          <w:color w:val="1F4E9E"/>
        </w:rPr>
        <w:t>.</w:t>
      </w:r>
      <w:r w:rsidR="00F369EF">
        <w:rPr>
          <w:rFonts w:eastAsiaTheme="minorEastAsia"/>
        </w:rPr>
        <w:t xml:space="preserve"> </w:t>
      </w:r>
      <w:r w:rsidRPr="00852011">
        <w:rPr>
          <w:rFonts w:eastAsiaTheme="minorEastAsia"/>
          <w:color w:val="FF0000"/>
        </w:rPr>
        <w:t>To define the internal endpoint corresponding to the RS, we introduced an RS-evidence encoding latency</w:t>
      </w:r>
      <w:r w:rsidR="00B51EDF">
        <w:rPr>
          <w:rFonts w:eastAsiaTheme="minorEastAsia"/>
        </w:rPr>
        <w:t xml:space="preserve"> </w:t>
      </w:r>
      <w:r w:rsidR="00B51EDF">
        <w:rPr>
          <w:rFonts w:eastAsiaTheme="minorEastAsia"/>
          <w:i/>
          <w:color w:val="1F4E9E"/>
        </w:rPr>
        <w:t>L</w:t>
      </w:r>
      <w:r w:rsidR="00B51EDF" w:rsidRPr="00595A46">
        <w:rPr>
          <w:rFonts w:eastAsiaTheme="minorEastAsia"/>
          <w:color w:val="1F4E9E"/>
          <w:vertAlign w:val="subscript"/>
        </w:rPr>
        <w:t>RS</w:t>
      </w:r>
      <w:r w:rsidR="00B51EDF">
        <w:rPr>
          <w:rFonts w:eastAsiaTheme="minorEastAsia"/>
          <w:color w:val="1F4E9E"/>
        </w:rPr>
        <w:t xml:space="preserve">, </w:t>
      </w:r>
      <w:r w:rsidR="00B51EDF" w:rsidRPr="00B51EDF">
        <w:rPr>
          <w:rFonts w:eastAsiaTheme="minorEastAsia"/>
          <w:color w:val="FF0000"/>
        </w:rPr>
        <w:t xml:space="preserve">corresponding to the delay between physical RS onset </w:t>
      </w:r>
      <w:r w:rsidR="00F021A1" w:rsidRPr="00F021A1">
        <w:rPr>
          <w:rFonts w:eastAsiaTheme="minorEastAsia"/>
          <w:color w:val="FF0000"/>
        </w:rPr>
        <w:t>and the availability of RS-related evidence to the accumulation process</w:t>
      </w:r>
      <w:r w:rsidR="00B51EDF" w:rsidRPr="00B51EDF">
        <w:rPr>
          <w:rFonts w:eastAsiaTheme="minorEastAsia"/>
          <w:color w:val="1F4E9E"/>
        </w:rPr>
        <w:t>.</w:t>
      </w:r>
      <w:r w:rsidR="00B51EDF" w:rsidRPr="00B51EDF">
        <w:t xml:space="preserve"> </w:t>
      </w:r>
      <w:r w:rsidR="00B51EDF" w:rsidRPr="00B51EDF">
        <w:rPr>
          <w:rFonts w:eastAsiaTheme="minorEastAsia"/>
          <w:color w:val="1F4E9E"/>
        </w:rPr>
        <w:t>Accordingly,</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RS</w:t>
      </w:r>
      <w:proofErr w:type="spellEnd"/>
      <w:r w:rsidR="00B51EDF">
        <w:rPr>
          <w:rFonts w:eastAsiaTheme="minorEastAsia"/>
          <w:color w:val="1F4E9E"/>
        </w:rPr>
        <w:t xml:space="preserve">, </w:t>
      </w:r>
      <w:r w:rsidR="00974533" w:rsidRPr="00974533">
        <w:rPr>
          <w:rFonts w:eastAsiaTheme="minorEastAsia"/>
          <w:color w:val="FF0000"/>
        </w:rPr>
        <w:t>the time at which RS-related evidence became internally available to the accumulation process</w:t>
      </w:r>
      <w:r w:rsidR="00B51EDF" w:rsidRPr="00B51EDF">
        <w:rPr>
          <w:rFonts w:eastAsiaTheme="minorEastAsia"/>
          <w:color w:val="1F4E9E"/>
        </w:rPr>
        <w:t>, was defined as</w:t>
      </w:r>
      <w:r w:rsidR="0097351A">
        <w:rPr>
          <w:rFonts w:eastAsiaTheme="minorEastAsia"/>
          <w:color w:val="1F4E9E"/>
        </w:rPr>
        <w:t>:</w:t>
      </w:r>
    </w:p>
    <w:p w14:paraId="56F226B5" w14:textId="77777777" w:rsidR="0097351A" w:rsidRDefault="00000000" w:rsidP="0097351A">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=D+3+</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RS</m:t>
              </m:r>
            </m:sub>
          </m:sSub>
          <m:r>
            <w:rPr>
              <w:rFonts w:ascii="Cambria Math" w:eastAsiaTheme="minorEastAsia" w:hAnsi="Cambria Math"/>
              <w:color w:val="1F4E9E"/>
            </w:rPr>
            <m:t>.</m:t>
          </m:r>
        </m:oMath>
      </m:oMathPara>
    </w:p>
    <w:p w14:paraId="22C3C07A" w14:textId="77777777" w:rsidR="00852011" w:rsidRDefault="00852011" w:rsidP="00227978">
      <w:pPr>
        <w:rPr>
          <w:rFonts w:eastAsiaTheme="minorEastAsia"/>
          <w:color w:val="1F4E9E"/>
        </w:rPr>
      </w:pPr>
      <w:r w:rsidRPr="00852011">
        <w:rPr>
          <w:color w:val="FF0000"/>
        </w:rPr>
        <w:t xml:space="preserve">Because maintenance began no later than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color w:val="1F4E9E"/>
          <w:vertAlign w:val="subscript"/>
        </w:rPr>
        <w:t>,</w:t>
      </w:r>
      <w:r w:rsidRPr="00852011">
        <w:t xml:space="preserve"> the selected response </w:t>
      </w:r>
      <w:proofErr w:type="spellStart"/>
      <w:r w:rsidRPr="00852011">
        <w:rPr>
          <w:rStyle w:val="mord"/>
          <w:i/>
          <w:color w:val="1F4E9E"/>
        </w:rPr>
        <w:t>s</w:t>
      </w:r>
      <w:r w:rsidRPr="00852011">
        <w:rPr>
          <w:rStyle w:val="mord"/>
          <w:color w:val="1F4E9E"/>
          <w:vertAlign w:val="subscript"/>
        </w:rPr>
        <w:t>resp</w:t>
      </w:r>
      <w:proofErr w:type="spellEnd"/>
      <w:r w:rsidRPr="00852011">
        <w:rPr>
          <w:rStyle w:val="vlist-s"/>
          <w:color w:val="1F4E9E"/>
        </w:rPr>
        <w:t>​</w:t>
      </w:r>
      <w:r w:rsidRPr="00852011">
        <w:rPr>
          <w:color w:val="FF0000"/>
        </w:rPr>
        <w:t xml:space="preserve"> was always available when temporal preparation began.</w:t>
      </w:r>
      <w:r>
        <w:t xml:space="preserve"> </w:t>
      </w:r>
      <w:r w:rsidRPr="00852011">
        <w:rPr>
          <w:color w:val="FF0000"/>
        </w:rPr>
        <w:t xml:space="preserve">During the interval from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rStyle w:val="vlist-s"/>
          <w:color w:val="1F4E9E"/>
        </w:rPr>
        <w:t>​</w:t>
      </w:r>
      <w:r w:rsidRPr="00852011">
        <w:rPr>
          <w:color w:val="1F4E9E"/>
        </w:rPr>
        <w:t xml:space="preserve"> to </w:t>
      </w:r>
      <w:proofErr w:type="spellStart"/>
      <w:r w:rsidRPr="00A00426">
        <w:rPr>
          <w:rFonts w:eastAsiaTheme="minorEastAsia"/>
          <w:i/>
          <w:color w:val="1F4E9E"/>
        </w:rPr>
        <w:t>t</w:t>
      </w:r>
      <w:r w:rsidRPr="00A00426">
        <w:rPr>
          <w:rFonts w:eastAsiaTheme="minorEastAsia"/>
          <w:color w:val="1F4E9E"/>
          <w:vertAlign w:val="subscript"/>
        </w:rPr>
        <w:t>RS</w:t>
      </w:r>
      <w:proofErr w:type="spellEnd"/>
      <w:r w:rsidRPr="00852011">
        <w:rPr>
          <w:rStyle w:val="vlist-s"/>
          <w:color w:val="1F4E9E"/>
        </w:rPr>
        <w:t>​</w:t>
      </w:r>
      <w:r>
        <w:rPr>
          <w:color w:val="1F4E9E"/>
        </w:rPr>
        <w:t>, Model 1</w:t>
      </w:r>
      <w:r w:rsidRPr="00852011">
        <w:rPr>
          <w:color w:val="FF0000"/>
        </w:rPr>
        <w:t xml:space="preserve"> continued to transmit </w:t>
      </w:r>
      <w:r w:rsidRPr="00852011">
        <w:rPr>
          <w:rStyle w:val="mord"/>
          <w:i/>
          <w:color w:val="1F4E9E"/>
        </w:rPr>
        <w:t>y</w:t>
      </w:r>
      <w:r w:rsidRPr="00852011">
        <w:rPr>
          <w:rStyle w:val="mopen"/>
          <w:i/>
          <w:color w:val="1F4E9E"/>
        </w:rPr>
        <w:t>(</w:t>
      </w:r>
      <w:r w:rsidRPr="00852011">
        <w:rPr>
          <w:rStyle w:val="mord"/>
          <w:i/>
          <w:color w:val="1F4E9E"/>
        </w:rPr>
        <w:t>t</w:t>
      </w:r>
      <w:r w:rsidRPr="00852011">
        <w:rPr>
          <w:rStyle w:val="mclose"/>
          <w:i/>
          <w:color w:val="1F4E9E"/>
        </w:rPr>
        <w:t>)</w:t>
      </w:r>
      <w:r w:rsidRPr="00852011">
        <w:rPr>
          <w:color w:val="FF0000"/>
        </w:rPr>
        <w:t xml:space="preserve"> to the downstream gating mechanism.</w:t>
      </w:r>
      <w:r w:rsidRPr="00852011">
        <w:t xml:space="preserve"> </w:t>
      </w:r>
      <w:r w:rsidRPr="00852011">
        <w:rPr>
          <w:color w:val="FF0000"/>
        </w:rPr>
        <w:t>In Model 2, temporal preparation instead provided an additional response-specific contribution that increased linearly from zero</w:t>
      </w:r>
      <w:r>
        <w:rPr>
          <w:color w:val="1F4E9E"/>
        </w:rPr>
        <w:t xml:space="preserve"> at </w:t>
      </w:r>
      <w:proofErr w:type="spellStart"/>
      <w:r w:rsidRPr="00852011">
        <w:rPr>
          <w:rStyle w:val="mord"/>
          <w:i/>
          <w:color w:val="1F4E9E"/>
        </w:rPr>
        <w:t>t</w:t>
      </w:r>
      <w:r w:rsidRPr="00852011">
        <w:rPr>
          <w:rStyle w:val="mord"/>
          <w:color w:val="1F4E9E"/>
          <w:vertAlign w:val="subscript"/>
        </w:rPr>
        <w:t>offset</w:t>
      </w:r>
      <w:proofErr w:type="spellEnd"/>
      <w:r>
        <w:rPr>
          <w:rStyle w:val="mord"/>
          <w:color w:val="FF0000"/>
        </w:rPr>
        <w:t xml:space="preserve"> to a maximum magnitude </w:t>
      </w:r>
      <w:r w:rsidRPr="00852011">
        <w:rPr>
          <w:rStyle w:val="mord"/>
          <w:i/>
          <w:color w:val="1F4E9E"/>
        </w:rPr>
        <w:t>β</w:t>
      </w:r>
      <w:r>
        <w:rPr>
          <w:rStyle w:val="mord"/>
        </w:rPr>
        <w:t xml:space="preserve"> </w:t>
      </w:r>
      <w:r w:rsidR="00560F0C">
        <w:rPr>
          <w:rStyle w:val="mord"/>
          <w:color w:val="1F4E9E"/>
        </w:rPr>
        <w:t xml:space="preserve">at </w:t>
      </w:r>
      <w:proofErr w:type="spellStart"/>
      <w:r w:rsidR="00560F0C" w:rsidRPr="00A00426">
        <w:rPr>
          <w:rFonts w:eastAsiaTheme="minorEastAsia"/>
          <w:i/>
          <w:color w:val="1F4E9E"/>
        </w:rPr>
        <w:t>t</w:t>
      </w:r>
      <w:r w:rsidR="00560F0C" w:rsidRPr="00A00426">
        <w:rPr>
          <w:rFonts w:eastAsiaTheme="minorEastAsia"/>
          <w:color w:val="1F4E9E"/>
          <w:vertAlign w:val="subscript"/>
        </w:rPr>
        <w:t>RS</w:t>
      </w:r>
      <w:proofErr w:type="spellEnd"/>
      <w:r w:rsidR="00560F0C">
        <w:rPr>
          <w:rFonts w:eastAsiaTheme="minorEastAsia"/>
          <w:color w:val="1F4E9E"/>
        </w:rPr>
        <w:t xml:space="preserve">. </w:t>
      </w:r>
      <w:r>
        <w:rPr>
          <w:color w:val="1F4E9E"/>
        </w:rPr>
        <w:t xml:space="preserve"> Thus, during this interval the signal reaching the gate, ỹ(t) (a tilde marks the gate-facing signal, distinct from the maintained state y(t) itself), was given by:</w:t>
      </w:r>
    </w:p>
    <w:p w14:paraId="4ABBD02D" w14:textId="77777777" w:rsidR="00560F0C" w:rsidRPr="0097351A" w:rsidRDefault="00000000" w:rsidP="00227978">
      <w:pPr>
        <w:rPr>
          <w:rFonts w:eastAsiaTheme="minorEastAsia"/>
          <w:color w:val="1F4E9E"/>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222E2F9B" w14:textId="77777777" w:rsidR="00F26D50" w:rsidRPr="00B4516B" w:rsidRDefault="00560F0C" w:rsidP="00F26D50">
      <w:pPr>
        <w:rPr>
          <w:rFonts w:eastAsiaTheme="minorEastAsia"/>
          <w:color w:val="1F4E9E"/>
        </w:rPr>
      </w:pPr>
      <w:r w:rsidRPr="00560F0C">
        <w:rPr>
          <w:rFonts w:eastAsiaTheme="minorEastAsia"/>
          <w:color w:val="1F4E9E"/>
        </w:rPr>
        <w:t>W</w:t>
      </w:r>
      <w:r w:rsidR="005F4E2C">
        <w:rPr>
          <w:rFonts w:eastAsiaTheme="minorEastAsia"/>
          <w:color w:val="FF0000"/>
        </w:rPr>
        <w:t>e assumed that the</w:t>
      </w:r>
      <w:r w:rsidRPr="00560F0C">
        <w:rPr>
          <w:rFonts w:eastAsiaTheme="minorEastAsia"/>
          <w:color w:val="FF0000"/>
        </w:rPr>
        <w:t xml:space="preserve"> temporal-preparation contribution</w:t>
      </w:r>
      <w:r w:rsidR="005F4E2C">
        <w:rPr>
          <w:rFonts w:eastAsiaTheme="minorEastAsia"/>
          <w:color w:val="1F4E9E"/>
        </w:rPr>
        <w:t xml:space="preserve"> in Equation (7)</w:t>
      </w:r>
      <w:r w:rsidRPr="00560F0C">
        <w:rPr>
          <w:rFonts w:eastAsiaTheme="minorEastAsia"/>
          <w:color w:val="FF0000"/>
        </w:rPr>
        <w:t xml:space="preserve"> did not pass through the low-pass filter</w:t>
      </w:r>
      <w:r w:rsidR="005F4E2C">
        <w:rPr>
          <w:rFonts w:eastAsiaTheme="minorEastAsia"/>
          <w:color w:val="1F4E9E"/>
        </w:rPr>
        <w:t xml:space="preserve"> a</w:t>
      </w:r>
      <w:r w:rsidR="005F4E2C" w:rsidRPr="005F4E2C">
        <w:rPr>
          <w:rFonts w:eastAsiaTheme="minorEastAsia"/>
          <w:color w:val="FF0000"/>
        </w:rPr>
        <w:t>nd was instead added directly to the motor-preparatory signal reaching the downstream gate.</w:t>
      </w:r>
      <w:r w:rsidR="00CF7743">
        <w:rPr>
          <w:rFonts w:eastAsiaTheme="minorEastAsia"/>
        </w:rPr>
        <w:t xml:space="preserve"> </w:t>
      </w:r>
      <w:r w:rsidR="00CE261F" w:rsidRPr="00CE261F">
        <w:rPr>
          <w:color w:val="FF0000"/>
        </w:rPr>
        <w:t xml:space="preserve">The rationale is that the filter was inherited from the immediate-report architecture, where it describes the transmission of decision-related input </w:t>
      </w:r>
      <w:r w:rsidR="00CE261F" w:rsidRPr="00CE261F">
        <w:rPr>
          <w:i/>
          <w:color w:val="1F4E9E"/>
        </w:rPr>
        <w:t>x(t)</w:t>
      </w:r>
      <w:r w:rsidR="00CE261F" w:rsidRPr="00CE261F">
        <w:rPr>
          <w:color w:val="FF0000"/>
        </w:rPr>
        <w:t xml:space="preserve"> to the motor-preparatory state </w:t>
      </w:r>
      <w:r w:rsidR="00CE261F" w:rsidRPr="00CE261F">
        <w:rPr>
          <w:i/>
          <w:color w:val="1F4E9E"/>
        </w:rPr>
        <w:t>y(t)</w:t>
      </w:r>
      <w:r w:rsidR="00D15FC4">
        <w:rPr>
          <w:color w:val="FF0000"/>
        </w:rPr>
        <w:t>. Temporal preparation</w:t>
      </w:r>
      <w:r w:rsidR="00CE261F" w:rsidRPr="00CE261F">
        <w:rPr>
          <w:color w:val="FF0000"/>
        </w:rPr>
        <w:t xml:space="preserve">, by contrast, arises from learned temporal regularities and was treated as a distinct source of motor preparation rather than part of this </w:t>
      </w:r>
      <w:r w:rsidR="00CE261F" w:rsidRPr="00CE261F">
        <w:rPr>
          <w:color w:val="1F4E9E"/>
        </w:rPr>
        <w:lastRenderedPageBreak/>
        <w:t>d</w:t>
      </w:r>
      <w:r w:rsidR="00673369">
        <w:rPr>
          <w:color w:val="FF0000"/>
        </w:rPr>
        <w:t>ecision-to-motor transformation</w:t>
      </w:r>
      <w:r w:rsidR="00CE261F" w:rsidRPr="00CE261F">
        <w:rPr>
          <w:color w:val="1F4E9E"/>
        </w:rPr>
        <w:t xml:space="preserve">. </w:t>
      </w:r>
      <w:r w:rsidR="00CF7743" w:rsidRPr="00CF7743">
        <w:rPr>
          <w:color w:val="1F4E9E"/>
        </w:rPr>
        <w:t xml:space="preserve">Accordingly, </w:t>
      </w:r>
      <w:r w:rsidR="00673369">
        <w:rPr>
          <w:color w:val="1F4E9E"/>
        </w:rPr>
        <w:t>it</w:t>
      </w:r>
      <w:r w:rsidR="00CF7743" w:rsidRPr="00CF7743">
        <w:rPr>
          <w:color w:val="FF0000"/>
        </w:rPr>
        <w:t xml:space="preserve"> did not alter either the maintenance target </w:t>
      </w:r>
      <w:r w:rsidR="00CF7743" w:rsidRPr="0097351A">
        <w:rPr>
          <w:i/>
          <w:color w:val="1F4E9E"/>
        </w:rPr>
        <w:t>m</w:t>
      </w:r>
      <w:r w:rsidR="00CF7743" w:rsidRPr="00CF7743">
        <w:rPr>
          <w:color w:val="FF0000"/>
        </w:rPr>
        <w:t xml:space="preserve"> or the dynamics by which </w:t>
      </w:r>
      <w:r w:rsidR="00CF7743" w:rsidRPr="00CF7743">
        <w:rPr>
          <w:i/>
          <w:color w:val="1F4E9E"/>
        </w:rPr>
        <w:t>y(t)</w:t>
      </w:r>
      <w:r w:rsidR="00CF7743" w:rsidRPr="00CF7743">
        <w:rPr>
          <w:color w:val="1F4E9E"/>
        </w:rPr>
        <w:t xml:space="preserve"> was maintained.</w:t>
      </w:r>
    </w:p>
    <w:p w14:paraId="60E51E4E" w14:textId="77777777" w:rsidR="00CC2192" w:rsidRPr="00E17315" w:rsidRDefault="00CC2192" w:rsidP="00BA7134">
      <w:r w:rsidRPr="00CC2192">
        <w:rPr>
          <w:rFonts w:eastAsiaTheme="minorEastAsia"/>
          <w:i/>
          <w:color w:val="FF0000"/>
        </w:rPr>
        <w:t>RS-driven response initiation</w:t>
      </w:r>
      <w:r w:rsidRPr="00CC2192">
        <w:rPr>
          <w:rFonts w:eastAsiaTheme="minorEastAsia"/>
          <w:color w:val="1F4E9E"/>
        </w:rPr>
        <w:t>.</w:t>
      </w:r>
      <w:r>
        <w:rPr>
          <w:rFonts w:eastAsiaTheme="minorEastAsia"/>
        </w:rPr>
        <w:t xml:space="preserve"> </w:t>
      </w:r>
      <w:r w:rsidR="00595A46">
        <w:rPr>
          <w:rFonts w:eastAsiaTheme="minorEastAsia"/>
          <w:color w:val="1F4E9E"/>
        </w:rPr>
        <w:t xml:space="preserve">At </w:t>
      </w:r>
      <w:proofErr w:type="spellStart"/>
      <w:r w:rsidR="00595A46">
        <w:rPr>
          <w:rFonts w:eastAsiaTheme="minorEastAsia"/>
          <w:i/>
          <w:color w:val="1F4E9E"/>
        </w:rPr>
        <w:t>t</w:t>
      </w:r>
      <w:r w:rsidR="00595A46" w:rsidRPr="00595A46">
        <w:rPr>
          <w:rFonts w:eastAsiaTheme="minorEastAsia"/>
          <w:color w:val="1F4E9E"/>
          <w:vertAlign w:val="subscript"/>
        </w:rPr>
        <w:t>RS</w:t>
      </w:r>
      <w:proofErr w:type="spellEnd"/>
      <w:r w:rsidR="00595A46">
        <w:rPr>
          <w:rFonts w:eastAsiaTheme="minorEastAsia"/>
          <w:color w:val="1F4E9E"/>
        </w:rPr>
        <w:t>,</w:t>
      </w:r>
      <w:r w:rsidR="00595A46" w:rsidRPr="00595A46">
        <w:rPr>
          <w:rFonts w:eastAsiaTheme="minorEastAsia"/>
        </w:rPr>
        <w:t xml:space="preserve"> </w:t>
      </w:r>
      <w:r w:rsidR="003B1803" w:rsidRPr="003B1803">
        <w:rPr>
          <w:rFonts w:eastAsiaTheme="minorEastAsia"/>
          <w:color w:val="1F4E9E"/>
        </w:rPr>
        <w:t xml:space="preserve">once RS </w:t>
      </w:r>
      <w:r w:rsidR="00974533">
        <w:rPr>
          <w:rFonts w:eastAsiaTheme="minorEastAsia"/>
          <w:color w:val="1F4E9E"/>
        </w:rPr>
        <w:t>evidence</w:t>
      </w:r>
      <w:r w:rsidR="003B1803" w:rsidRPr="003B1803">
        <w:rPr>
          <w:rFonts w:eastAsiaTheme="minorEastAsia"/>
        </w:rPr>
        <w:t xml:space="preserve"> </w:t>
      </w:r>
      <w:r w:rsidR="00974533" w:rsidRPr="00974533">
        <w:rPr>
          <w:rFonts w:eastAsiaTheme="minorEastAsia"/>
          <w:color w:val="FF0000"/>
        </w:rPr>
        <w:t>became available to the accumulation process</w:t>
      </w:r>
      <w:r w:rsidR="003B1803" w:rsidRPr="003B1803">
        <w:rPr>
          <w:rFonts w:eastAsiaTheme="minorEastAsia"/>
          <w:color w:val="FF0000"/>
        </w:rPr>
        <w:t xml:space="preserve">, the maintenance-noise process </w:t>
      </w:r>
      <w:r w:rsidR="003B1803" w:rsidRPr="003B1803">
        <w:rPr>
          <w:rFonts w:ascii="Calibri" w:eastAsiaTheme="minorEastAsia" w:hAnsi="Calibri" w:cs="Calibri"/>
          <w:i/>
          <w:color w:val="1F4E9E"/>
        </w:rPr>
        <w:t>ε</w:t>
      </w:r>
      <w:r w:rsidR="003B1803" w:rsidRPr="003B1803">
        <w:rPr>
          <w:rFonts w:eastAsiaTheme="minorEastAsia"/>
          <w:i/>
          <w:color w:val="1F4E9E"/>
        </w:rPr>
        <w:t>(t)</w:t>
      </w:r>
      <w:r w:rsidR="003B1803" w:rsidRPr="003B1803">
        <w:rPr>
          <w:rFonts w:eastAsiaTheme="minorEastAsia"/>
          <w:color w:val="FF0000"/>
        </w:rPr>
        <w:t xml:space="preserve"> was discontinued, and the </w:t>
      </w:r>
      <w:r w:rsidR="00E17315">
        <w:rPr>
          <w:rFonts w:eastAsiaTheme="minorEastAsia"/>
          <w:color w:val="1F4E9E"/>
        </w:rPr>
        <w:t>filtered</w:t>
      </w:r>
      <w:r w:rsidR="003B1803">
        <w:rPr>
          <w:rFonts w:eastAsiaTheme="minorEastAsia"/>
          <w:color w:val="FF0000"/>
        </w:rPr>
        <w:t xml:space="preserve"> motor-preparatory state </w:t>
      </w:r>
      <w:r w:rsidR="003B1803" w:rsidRPr="00E17315">
        <w:rPr>
          <w:rFonts w:eastAsiaTheme="minorEastAsia"/>
          <w:i/>
          <w:color w:val="1F4E9E"/>
        </w:rPr>
        <w:t>y(</w:t>
      </w:r>
      <w:proofErr w:type="spellStart"/>
      <w:r w:rsidR="003B1803" w:rsidRPr="00E17315">
        <w:rPr>
          <w:rFonts w:eastAsiaTheme="minorEastAsia"/>
          <w:i/>
          <w:color w:val="1F4E9E"/>
        </w:rPr>
        <w:t>t</w:t>
      </w:r>
      <w:r w:rsidR="004F7779" w:rsidRPr="00E17315">
        <w:rPr>
          <w:rFonts w:eastAsiaTheme="minorEastAsia"/>
          <w:i/>
          <w:color w:val="1F4E9E"/>
          <w:vertAlign w:val="subscript"/>
        </w:rPr>
        <w:t>RS</w:t>
      </w:r>
      <w:proofErr w:type="spellEnd"/>
      <w:r w:rsidR="003B1803" w:rsidRPr="00E17315">
        <w:rPr>
          <w:rFonts w:eastAsiaTheme="minorEastAsia"/>
          <w:i/>
          <w:color w:val="1F4E9E"/>
        </w:rPr>
        <w:t>)</w:t>
      </w:r>
      <w:r w:rsidR="003B1803" w:rsidRPr="003B1803">
        <w:rPr>
          <w:rFonts w:eastAsiaTheme="minorEastAsia"/>
          <w:color w:val="FF0000"/>
        </w:rPr>
        <w:t xml:space="preserve"> was retained as the baseline for subsequent RS-driven processing.</w:t>
      </w:r>
      <w:r w:rsidR="003B1803" w:rsidRPr="003B1803">
        <w:t xml:space="preserve"> </w:t>
      </w:r>
      <w:r w:rsidR="003B1803" w:rsidRPr="003B1803">
        <w:rPr>
          <w:rFonts w:eastAsiaTheme="minorEastAsia"/>
          <w:color w:val="1F4E9E"/>
        </w:rPr>
        <w:t>In M</w:t>
      </w:r>
      <w:r w:rsidR="00D15FC4">
        <w:rPr>
          <w:rFonts w:eastAsiaTheme="minorEastAsia"/>
          <w:color w:val="FF0000"/>
        </w:rPr>
        <w:t>odel 2, the temporal-preparation</w:t>
      </w:r>
      <w:r w:rsidR="00E17315">
        <w:rPr>
          <w:rFonts w:eastAsiaTheme="minorEastAsia"/>
          <w:color w:val="1F4E9E"/>
        </w:rPr>
        <w:t xml:space="preserve"> contribution</w:t>
      </w:r>
      <w:r w:rsidR="003B1803">
        <w:rPr>
          <w:rFonts w:eastAsiaTheme="minorEastAsia"/>
          <w:color w:val="1F4E9E"/>
        </w:rPr>
        <w:t xml:space="preserve"> had </w:t>
      </w:r>
      <w:r w:rsidR="00E17315" w:rsidRPr="00E17315">
        <w:rPr>
          <w:rFonts w:eastAsiaTheme="minorEastAsia"/>
          <w:color w:val="FF0000"/>
        </w:rPr>
        <w:t>simultaneously</w:t>
      </w:r>
      <w:r w:rsidR="00E17315">
        <w:rPr>
          <w:rFonts w:eastAsiaTheme="minorEastAsia"/>
        </w:rPr>
        <w:t xml:space="preserve"> </w:t>
      </w:r>
      <w:r w:rsidR="003B1803">
        <w:rPr>
          <w:rFonts w:eastAsiaTheme="minorEastAsia"/>
          <w:color w:val="FF0000"/>
        </w:rPr>
        <w:t xml:space="preserve">reached its maximum </w:t>
      </w:r>
      <w:r w:rsidR="00E17315">
        <w:rPr>
          <w:rFonts w:eastAsiaTheme="minorEastAsia"/>
          <w:color w:val="1F4E9E"/>
        </w:rPr>
        <w:t xml:space="preserve">magnitude </w:t>
      </w:r>
      <w:proofErr w:type="spellStart"/>
      <w:r w:rsidR="003B1803" w:rsidRPr="00B36F81">
        <w:rPr>
          <w:rFonts w:eastAsiaTheme="minorEastAsia"/>
          <w:i/>
          <w:color w:val="1F4E9E"/>
        </w:rPr>
        <w:t>s</w:t>
      </w:r>
      <w:r w:rsidR="00BA7134" w:rsidRPr="00BA7134">
        <w:rPr>
          <w:rFonts w:eastAsiaTheme="minorEastAsia"/>
          <w:color w:val="1F4E9E"/>
          <w:vertAlign w:val="subscript"/>
        </w:rPr>
        <w:t>resp</w:t>
      </w:r>
      <w:proofErr w:type="spellEnd"/>
      <w:r w:rsidR="003B1803" w:rsidRPr="00B36F81">
        <w:rPr>
          <w:rFonts w:eastAsiaTheme="minorEastAsia"/>
          <w:i/>
          <w:color w:val="1F4E9E"/>
        </w:rPr>
        <w:t>β</w:t>
      </w:r>
      <w:r w:rsidR="003B1803" w:rsidRPr="003B1803">
        <w:rPr>
          <w:rFonts w:eastAsiaTheme="minorEastAsia"/>
        </w:rPr>
        <w:t xml:space="preserve"> </w:t>
      </w:r>
      <w:r w:rsidR="00E17315">
        <w:rPr>
          <w:rFonts w:eastAsiaTheme="minorEastAsia"/>
          <w:color w:val="1F4E9E"/>
        </w:rPr>
        <w:t xml:space="preserve">and </w:t>
      </w:r>
      <w:r w:rsidR="003B1803" w:rsidRPr="003B1803">
        <w:rPr>
          <w:rFonts w:eastAsiaTheme="minorEastAsia"/>
          <w:color w:val="1F4E9E"/>
        </w:rPr>
        <w:t>remain</w:t>
      </w:r>
      <w:r w:rsidR="00B36F81">
        <w:rPr>
          <w:rFonts w:eastAsiaTheme="minorEastAsia"/>
          <w:color w:val="1F4E9E"/>
        </w:rPr>
        <w:t>ed fixed</w:t>
      </w:r>
      <w:r w:rsidR="00E17315">
        <w:rPr>
          <w:rFonts w:eastAsiaTheme="minorEastAsia"/>
          <w:color w:val="1F4E9E"/>
        </w:rPr>
        <w:t xml:space="preserve"> thereafter</w:t>
      </w:r>
      <w:r w:rsidR="00BA7134">
        <w:rPr>
          <w:rFonts w:eastAsiaTheme="minorEastAsia"/>
          <w:color w:val="1F4E9E"/>
        </w:rPr>
        <w:t>.</w:t>
      </w:r>
      <w:r w:rsidR="00B36F81" w:rsidRPr="00B36F81">
        <w:rPr>
          <w:rFonts w:eastAsiaTheme="minorEastAsia"/>
        </w:rPr>
        <w:t xml:space="preserve"> </w:t>
      </w:r>
      <w:r w:rsidR="00BA7134" w:rsidRPr="00BA7134">
        <w:rPr>
          <w:rFonts w:eastAsiaTheme="minorEastAsia"/>
          <w:color w:val="FF0000"/>
        </w:rPr>
        <w:t>RS-driven processing was modeled by a distinct stochastic variable</w:t>
      </w:r>
      <w:r w:rsidR="00D10DAE" w:rsidRPr="00D10DAE">
        <w:rPr>
          <w:rFonts w:eastAsiaTheme="minorEastAsia"/>
        </w:rPr>
        <w:t xml:space="preserve"> </w:t>
      </w:r>
      <w:r w:rsidR="00D10DAE" w:rsidRPr="00D10DAE">
        <w:rPr>
          <w:rFonts w:eastAsiaTheme="minorEastAsia"/>
          <w:i/>
          <w:color w:val="1F4E9E"/>
        </w:rPr>
        <w:t>q(t)</w:t>
      </w:r>
      <w:r w:rsidR="00BA7134">
        <w:rPr>
          <w:rFonts w:eastAsiaTheme="minorEastAsia"/>
          <w:color w:val="FF0000"/>
        </w:rPr>
        <w:t xml:space="preserve">, which accumulated </w:t>
      </w:r>
      <w:r w:rsidR="00D10DAE" w:rsidRPr="00D10DAE">
        <w:rPr>
          <w:rFonts w:eastAsiaTheme="minorEastAsia"/>
          <w:color w:val="FF0000"/>
        </w:rPr>
        <w:t>noisy evidence that the</w:t>
      </w:r>
      <w:r w:rsidR="00D10DAE">
        <w:rPr>
          <w:rFonts w:eastAsiaTheme="minorEastAsia"/>
          <w:color w:val="1F4E9E"/>
        </w:rPr>
        <w:t xml:space="preserve"> RS was present:</w:t>
      </w:r>
    </w:p>
    <w:p w14:paraId="50C87DBC" w14:textId="77777777" w:rsidR="00D10DAE" w:rsidRPr="00D10DA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dq</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μ</m:t>
                  </m:r>
                </m:e>
                <m:sub>
                  <m:r>
                    <m:rPr>
                      <m:sty m:val="p"/>
                    </m:rPr>
                    <w:rPr>
                      <w:rFonts w:ascii="Cambria Math" w:eastAsiaTheme="minorEastAsia" w:hAnsi="Cambria Math"/>
                      <w:color w:val="1F4E9E"/>
                    </w:rPr>
                    <m:t>RS</m:t>
                  </m:r>
                </m:sub>
              </m:sSub>
              <m:r>
                <w:rPr>
                  <w:rFonts w:ascii="Cambria Math" w:eastAsiaTheme="minorEastAsia" w:hAnsi="Cambria Math"/>
                  <w:color w:val="1F4E9E"/>
                </w:rPr>
                <m:t>dt+</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q</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q</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8</m:t>
                  </m:r>
                </m:e>
              </m:d>
            </m:e>
          </m:eqArr>
        </m:oMath>
      </m:oMathPara>
    </w:p>
    <w:p w14:paraId="368C889D" w14:textId="77777777" w:rsidR="00D10DAE" w:rsidRPr="00D10DAE" w:rsidRDefault="00D10DAE" w:rsidP="00902EC4">
      <w:pPr>
        <w:rPr>
          <w:rFonts w:eastAsiaTheme="minorEastAsia"/>
          <w:color w:val="1F4E9E"/>
        </w:rPr>
      </w:pPr>
      <w:r w:rsidRPr="00D10DAE">
        <w:rPr>
          <w:rFonts w:eastAsiaTheme="minorEastAsia"/>
          <w:color w:val="1F4E9E"/>
        </w:rPr>
        <w:t>where</w:t>
      </w:r>
      <w:r w:rsidRPr="00D10DAE">
        <w:rPr>
          <w:rFonts w:eastAsiaTheme="minorEastAsia"/>
        </w:rPr>
        <w:t xml:space="preserve"> </w:t>
      </w:r>
      <w:proofErr w:type="spellStart"/>
      <w:r w:rsidR="00450743">
        <w:rPr>
          <w:rFonts w:eastAsiaTheme="minorEastAsia"/>
          <w:i/>
          <w:color w:val="1F4E9E"/>
        </w:rPr>
        <w:t>μ</w:t>
      </w:r>
      <w:r w:rsidR="00450743" w:rsidRPr="00450743">
        <w:rPr>
          <w:rFonts w:eastAsiaTheme="minorEastAsia"/>
          <w:color w:val="1F4E9E"/>
          <w:vertAlign w:val="subscript"/>
        </w:rPr>
        <w:t>RS</w:t>
      </w:r>
      <w:proofErr w:type="spellEnd"/>
      <w:r w:rsidRPr="00D10DAE">
        <w:rPr>
          <w:rFonts w:eastAsiaTheme="minorEastAsia"/>
          <w:color w:val="FF0000"/>
        </w:rPr>
        <w:t xml:space="preserve"> is the mean rate of RS-evidence accumulation,</w:t>
      </w:r>
      <w:r>
        <w:rPr>
          <w:rFonts w:eastAsiaTheme="minorEastAsia"/>
        </w:rPr>
        <w:t xml:space="preserve"> </w:t>
      </w:r>
      <w:proofErr w:type="spellStart"/>
      <w:r w:rsidRPr="00D10DAE">
        <w:rPr>
          <w:rFonts w:eastAsiaTheme="minorEastAsia"/>
          <w:i/>
          <w:color w:val="1F4E9E"/>
        </w:rPr>
        <w:t>σ</w:t>
      </w:r>
      <w:r w:rsidRPr="00D10DAE">
        <w:rPr>
          <w:rFonts w:eastAsiaTheme="minorEastAsia"/>
          <w:i/>
          <w:color w:val="1F4E9E"/>
          <w:vertAlign w:val="subscript"/>
        </w:rPr>
        <w:t>q</w:t>
      </w:r>
      <w:proofErr w:type="spellEnd"/>
      <w:r w:rsidRPr="00D10DAE">
        <w:rPr>
          <w:rFonts w:eastAsiaTheme="minorEastAsia"/>
          <w:color w:val="FF0000"/>
        </w:rPr>
        <w:t xml:space="preserve"> is the diffusion coefficient controlling within-trial noise, and </w:t>
      </w:r>
      <w:proofErr w:type="spellStart"/>
      <w:r w:rsidRPr="00D10DAE">
        <w:rPr>
          <w:rFonts w:eastAsiaTheme="minorEastAsia"/>
          <w:i/>
          <w:color w:val="1F4E9E"/>
        </w:rPr>
        <w:t>dWq</w:t>
      </w:r>
      <w:proofErr w:type="spellEnd"/>
      <w:r w:rsidRPr="00D10DAE">
        <w:rPr>
          <w:rFonts w:eastAsiaTheme="minorEastAsia"/>
          <w:i/>
          <w:color w:val="1F4E9E"/>
        </w:rPr>
        <w:t>(t)</w:t>
      </w:r>
      <w:r w:rsidRPr="00D10DAE">
        <w:rPr>
          <w:rFonts w:eastAsiaTheme="minorEastAsia"/>
          <w:color w:val="FF0000"/>
        </w:rPr>
        <w:t xml:space="preserve"> is an increment of a standard Wiener process.</w:t>
      </w:r>
      <w:r>
        <w:rPr>
          <w:rFonts w:eastAsiaTheme="minorEastAsia"/>
        </w:rPr>
        <w:t xml:space="preserve"> </w:t>
      </w:r>
      <w:r w:rsidRPr="00D10DAE">
        <w:rPr>
          <w:rFonts w:eastAsiaTheme="minorEastAsia"/>
          <w:color w:val="FF0000"/>
        </w:rPr>
        <w:t xml:space="preserve">As explained in the Introduction, noisy temporal integration of an unambiguous signal is consistent with accumulator accounts of one-choice </w:t>
      </w:r>
      <w:r w:rsidRPr="00DE714A">
        <w:rPr>
          <w:rFonts w:eastAsiaTheme="minorEastAsia"/>
          <w:color w:val="1F4E9E"/>
        </w:rPr>
        <w:t xml:space="preserve">RT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(Ratcliff &amp; Van Dongen, 2011; Smith, 1995)</w:t>
      </w:r>
      <w:r w:rsidR="00DE714A" w:rsidRPr="00DE714A">
        <w:rPr>
          <w:rFonts w:eastAsiaTheme="minorEastAsia"/>
          <w:color w:val="1F4E9E"/>
        </w:rPr>
        <w:fldChar w:fldCharType="end"/>
      </w:r>
      <w:r w:rsidR="00DE714A">
        <w:rPr>
          <w:rFonts w:eastAsiaTheme="minorEastAsia"/>
          <w:color w:val="1F4E9E"/>
        </w:rPr>
        <w:t xml:space="preserve"> and with </w:t>
      </w:r>
      <w:r w:rsidR="00DE714A" w:rsidRPr="00DE714A">
        <w:rPr>
          <w:rFonts w:eastAsiaTheme="minorEastAsia"/>
          <w:color w:val="FF0000"/>
        </w:rPr>
        <w:t xml:space="preserve">EEG signatures of evidence accumulation under near-ceiling target-detection conditions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(O’Connell et al., 2012)</w:t>
      </w:r>
      <w:r w:rsidR="00DE714A" w:rsidRPr="00DE714A">
        <w:rPr>
          <w:rFonts w:eastAsiaTheme="minorEastAsia"/>
          <w:color w:val="1F4E9E"/>
        </w:rPr>
        <w:fldChar w:fldCharType="end"/>
      </w:r>
      <w:r w:rsidR="00DE714A" w:rsidRPr="00DE714A">
        <w:rPr>
          <w:rFonts w:eastAsiaTheme="minorEastAsia"/>
          <w:color w:val="1F4E9E"/>
        </w:rPr>
        <w:t xml:space="preserve">. </w:t>
      </w:r>
    </w:p>
    <w:p w14:paraId="4861B76A" w14:textId="77777777" w:rsidR="00A20E6E" w:rsidRDefault="00A20E6E" w:rsidP="00902EC4">
      <w:pPr>
        <w:rPr>
          <w:rFonts w:eastAsiaTheme="minorEastAsia"/>
          <w:color w:val="1F4E9E"/>
        </w:rPr>
      </w:pPr>
      <w:r>
        <w:rPr>
          <w:rFonts w:eastAsiaTheme="minorEastAsia"/>
        </w:rPr>
        <w:tab/>
      </w:r>
      <w:r w:rsidR="00DE714A" w:rsidRPr="00DE714A">
        <w:rPr>
          <w:rFonts w:eastAsiaTheme="minorEastAsia"/>
          <w:color w:val="1F4E9E"/>
        </w:rPr>
        <w:t xml:space="preserve">The variable </w:t>
      </w:r>
      <w:r w:rsidR="00DE714A" w:rsidRPr="00DE714A">
        <w:rPr>
          <w:rFonts w:eastAsiaTheme="minorEastAsia"/>
          <w:i/>
          <w:color w:val="1F4E9E"/>
        </w:rPr>
        <w:t>q(t)</w:t>
      </w:r>
      <w:r w:rsidR="00DE714A" w:rsidRPr="00DE714A">
        <w:rPr>
          <w:rFonts w:eastAsiaTheme="minorEastAsia"/>
          <w:color w:val="FF0000"/>
        </w:rPr>
        <w:t xml:space="preserve"> had no independent boundary. Its accumulated value was continuously transmitted along the selected motor direction and added to the input of the motor-preparation filter:</w:t>
      </w:r>
    </w:p>
    <w:p w14:paraId="67C6492D" w14:textId="77777777" w:rsidR="00DE714A" w:rsidRPr="00E23931" w:rsidRDefault="00000000" w:rsidP="00DE714A">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y</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eastAsiaTheme="minorEastAsia" w:hAnsi="Cambria Math"/>
                      <w:color w:val="1F4E9E"/>
                    </w:rPr>
                    <m:t>q(t)-y(t)</m:t>
                  </m:r>
                </m:e>
              </m:d>
              <m:r>
                <w:rPr>
                  <w:rFonts w:ascii="Cambria Math" w:eastAsiaTheme="minorEastAsia" w:hAnsi="Cambria Math"/>
                  <w:color w:val="1F4E9E"/>
                </w:rPr>
                <m:t>dt,  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9</m:t>
                  </m:r>
                </m:e>
              </m:d>
            </m:e>
          </m:eqArr>
        </m:oMath>
      </m:oMathPara>
    </w:p>
    <w:p w14:paraId="3CF2443A" w14:textId="77777777" w:rsidR="004F7316" w:rsidRDefault="004F7316" w:rsidP="004F7316">
      <w:pPr>
        <w:rPr>
          <w:color w:val="1F4E9E"/>
        </w:rPr>
      </w:pPr>
      <w:r>
        <w:rPr>
          <w:color w:val="1F4E9E"/>
        </w:rPr>
        <w:t xml:space="preserve">The term </w:t>
      </w:r>
      <w:proofErr w:type="spellStart"/>
      <w:r w:rsidRPr="004F7316">
        <w:rPr>
          <w:i/>
          <w:color w:val="1F4E9E"/>
        </w:rPr>
        <w:t>s</w:t>
      </w:r>
      <w:r w:rsidR="003F12FB" w:rsidRPr="003F12FB">
        <w:rPr>
          <w:color w:val="1F4E9E"/>
          <w:vertAlign w:val="subscript"/>
        </w:rPr>
        <w:t>resp</w:t>
      </w:r>
      <w:proofErr w:type="spellEnd"/>
      <w:r>
        <w:rPr>
          <w:i/>
          <w:vertAlign w:val="subscript"/>
        </w:rPr>
        <w:t xml:space="preserve"> </w:t>
      </w:r>
      <w:r w:rsidRPr="004F7316">
        <w:rPr>
          <w:i/>
          <w:color w:val="1F4E9E"/>
        </w:rPr>
        <w:t>q(t)</w:t>
      </w:r>
      <w:r w:rsidRPr="004F7316">
        <w:rPr>
          <w:color w:val="FF0000"/>
        </w:rPr>
        <w:t xml:space="preserve"> therefore provided an increasing response-directed drive as </w:t>
      </w:r>
      <w:r w:rsidR="00976140">
        <w:rPr>
          <w:color w:val="1F4E9E"/>
        </w:rPr>
        <w:t xml:space="preserve">RS </w:t>
      </w:r>
      <w:r w:rsidRPr="004F7316">
        <w:rPr>
          <w:color w:val="1F4E9E"/>
        </w:rPr>
        <w:t>evi</w:t>
      </w:r>
      <w:r w:rsidR="00976140">
        <w:rPr>
          <w:color w:val="1F4E9E"/>
        </w:rPr>
        <w:t xml:space="preserve">dence </w:t>
      </w:r>
      <w:r w:rsidRPr="004F7316">
        <w:rPr>
          <w:color w:val="FF0000"/>
        </w:rPr>
        <w:t>accumulated. In Model 2, the temporal-preparation contribution remained separate from this filtered input, consistent with its trea</w:t>
      </w:r>
      <w:r w:rsidR="00C44B7A">
        <w:rPr>
          <w:color w:val="FF0000"/>
        </w:rPr>
        <w:t>tment during the delay. F</w:t>
      </w:r>
      <w:r w:rsidRPr="004F7316">
        <w:rPr>
          <w:color w:val="1F4E9E"/>
        </w:rPr>
        <w:t xml:space="preserve">rom </w:t>
      </w:r>
      <w:proofErr w:type="spellStart"/>
      <w:r w:rsidRPr="00FC3E9F">
        <w:rPr>
          <w:rStyle w:val="mord"/>
          <w:i/>
          <w:color w:val="1F4E9E"/>
        </w:rPr>
        <w:t>t</w:t>
      </w:r>
      <w:r w:rsidR="003F12FB">
        <w:rPr>
          <w:rStyle w:val="mord"/>
          <w:color w:val="1F4E9E"/>
          <w:vertAlign w:val="subscript"/>
        </w:rPr>
        <w:t>RS</w:t>
      </w:r>
      <w:proofErr w:type="spellEnd"/>
      <w:r w:rsidRPr="004F7316">
        <w:rPr>
          <w:color w:val="1F4E9E"/>
        </w:rPr>
        <w:t xml:space="preserve"> onward, </w:t>
      </w:r>
      <w:r>
        <w:rPr>
          <w:color w:val="1F4E9E"/>
        </w:rPr>
        <w:t xml:space="preserve"> the gate-facing signal was instead given by:</w:t>
      </w:r>
    </w:p>
    <w:p w14:paraId="353028BB" w14:textId="77777777" w:rsidR="00584FFF" w:rsidRPr="00825E74" w:rsidRDefault="00000000" w:rsidP="00584FFF">
      <w:pPr>
        <w:rPr>
          <w:rFonts w:eastAsiaTheme="minorEastAsia"/>
          <w:color w:val="1F4E9E"/>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1397689A" w14:textId="77777777" w:rsidR="00584FFF" w:rsidRPr="00584FFF" w:rsidRDefault="00E34E27" w:rsidP="00E34E27">
      <w:pPr>
        <w:rPr>
          <w:color w:val="1F4E9E"/>
        </w:rPr>
      </w:pPr>
      <w:r>
        <w:rPr>
          <w:color w:val="1F4E9E"/>
        </w:rPr>
        <w:t>O</w:t>
      </w:r>
      <w:r w:rsidRPr="00E34E27">
        <w:rPr>
          <w:color w:val="1F4E9E"/>
        </w:rPr>
        <w:t xml:space="preserve">nce the </w:t>
      </w:r>
      <w:r w:rsidR="00C44B7A">
        <w:rPr>
          <w:color w:val="1F4E9E"/>
        </w:rPr>
        <w:t xml:space="preserve">corresponding </w:t>
      </w:r>
      <w:r w:rsidRPr="00E34E27">
        <w:rPr>
          <w:color w:val="FF0000"/>
        </w:rPr>
        <w:t>gated neural drive</w:t>
      </w:r>
      <w:r w:rsidR="00C44B7A">
        <w:rPr>
          <w:color w:val="1F4E9E"/>
        </w:rPr>
        <w:t xml:space="preserve"> reached</w:t>
      </w:r>
      <w:r>
        <w:rPr>
          <w:color w:val="FF0000"/>
        </w:rPr>
        <w:t xml:space="preserve"> the response criterion</w:t>
      </w:r>
      <w:r w:rsidRPr="00E34E27">
        <w:t xml:space="preserve"> </w:t>
      </w:r>
      <w:r w:rsidRPr="00E34E27">
        <w:rPr>
          <w:i/>
          <w:color w:val="1F4E9E"/>
        </w:rPr>
        <w:t>r</w:t>
      </w:r>
      <w:r>
        <w:rPr>
          <w:color w:val="FF0000"/>
        </w:rPr>
        <w:t xml:space="preserve">, the residual motor </w:t>
      </w:r>
      <w:r w:rsidRPr="005D54F9">
        <w:rPr>
          <w:color w:val="1F4E9E"/>
        </w:rPr>
        <w:t xml:space="preserve">latency </w:t>
      </w:r>
      <w:proofErr w:type="spellStart"/>
      <w:r w:rsidRPr="005D54F9">
        <w:rPr>
          <w:i/>
          <w:color w:val="1F4E9E"/>
        </w:rPr>
        <w:t>L</w:t>
      </w:r>
      <w:r w:rsidRPr="005D54F9">
        <w:rPr>
          <w:color w:val="1F4E9E"/>
          <w:vertAlign w:val="subscript"/>
        </w:rPr>
        <w:t>motor</w:t>
      </w:r>
      <w:proofErr w:type="spellEnd"/>
      <w:r w:rsidRPr="005D54F9">
        <w:t xml:space="preserve"> </w:t>
      </w:r>
      <w:r w:rsidR="00C44B7A" w:rsidRPr="005D54F9">
        <w:rPr>
          <w:color w:val="1F4E9E"/>
        </w:rPr>
        <w:t>was</w:t>
      </w:r>
      <w:r w:rsidRPr="005D54F9">
        <w:rPr>
          <w:color w:val="FF0000"/>
        </w:rPr>
        <w:t xml:space="preserve"> added before the overt response, as in the immediate-report architecture</w:t>
      </w:r>
      <w:r w:rsidR="005D54F9">
        <w:rPr>
          <w:color w:val="1F4E9E"/>
        </w:rPr>
        <w:t xml:space="preserve">. </w:t>
      </w:r>
      <w:r w:rsidR="005D54F9" w:rsidRPr="005D54F9">
        <w:rPr>
          <w:color w:val="1F4E9E"/>
        </w:rPr>
        <w:t xml:space="preserve">Because gating </w:t>
      </w:r>
      <w:r w:rsidR="00502F12" w:rsidRPr="00502F12">
        <w:rPr>
          <w:i/>
          <w:color w:val="1F4E9E"/>
        </w:rPr>
        <w:t>g</w:t>
      </w:r>
      <w:r w:rsidR="00502F12">
        <w:t xml:space="preserve"> </w:t>
      </w:r>
      <w:r w:rsidR="005D54F9" w:rsidRPr="005D54F9">
        <w:rPr>
          <w:color w:val="FF0000"/>
        </w:rPr>
        <w:t xml:space="preserve">remained active throughout the delayed-report trial, stochastic fluctuations in the motor-preparatory signal could produce transient crossings of </w:t>
      </w:r>
      <w:r w:rsidR="005D54F9" w:rsidRPr="005D54F9">
        <w:rPr>
          <w:i/>
          <w:color w:val="1F4E9E"/>
        </w:rPr>
        <w:t xml:space="preserve">g </w:t>
      </w:r>
      <w:r w:rsidR="005D54F9" w:rsidRPr="005D54F9">
        <w:rPr>
          <w:color w:val="FF0000"/>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1F4E9E"/>
        </w:rPr>
        <w:t>r</w:t>
      </w:r>
      <w:r w:rsidR="005D54F9" w:rsidRPr="005D54F9">
        <w:rPr>
          <w:color w:val="FF0000"/>
        </w:rPr>
        <w:t>. The time-varying rate of partial muscle activations therefore provides a nonlinear peripheral readout of the position and variability of the motor-preparatory signal relative to t</w:t>
      </w:r>
      <w:r w:rsidR="005D54F9">
        <w:rPr>
          <w:color w:val="FF0000"/>
        </w:rPr>
        <w:t>he gating and response criteria</w:t>
      </w:r>
      <w:r w:rsidR="005D54F9" w:rsidRPr="005D54F9">
        <w:rPr>
          <w:color w:val="1F4E9E"/>
        </w:rPr>
        <w:t>.</w:t>
      </w:r>
    </w:p>
    <w:p w14:paraId="3294872E" w14:textId="77777777" w:rsidR="00DE7105" w:rsidRDefault="00000000">
      <w:r>
        <w:rPr>
          <w:color w:val="1F4E9E"/>
        </w:rPr>
        <w:t>Simulation enters this paper in one role, and it is worth saying plainly what it is, because it is not model fitting. The two models’ qualitative predictions are derived analytically from their architecture and proved in Appendices A–E; those derivations, and not any simulation, are what the empirical results are tested against. What a derivation cannot supply is a sense of scale — whether an architecture that produces the right ordering of effects can also produce effects of about the right size, in all six experimental conditions at once, and whether it does so throughout its parameter space or only at a favorable point in it. Both questions concern the space rather than any point in it, and both are answered the same way: by sampling the parameter space over the ranges of Table A1 and evaluating the predictions at each draw. No parameter is estimated from these data at any stage, and no quantity reported below is conditional on a fitted value.</w:t>
      </w:r>
    </w:p>
    <w:p w14:paraId="0712C223" w14:textId="77777777" w:rsidR="00205CBC" w:rsidRDefault="00000000">
      <w:pPr>
        <w:pStyle w:val="Titre3"/>
      </w:pPr>
      <w:r>
        <w:rPr>
          <w:color w:val="1F4E9E"/>
        </w:rPr>
        <w:t>Evaluation over the parameter space</w:t>
      </w:r>
    </w:p>
    <w:p w14:paraId="75AE64B2" w14:textId="77777777" w:rsidR="00205CBC" w:rsidRDefault="00000000">
      <w:r>
        <w:rPr>
          <w:color w:val="1F4E9E"/>
        </w:rPr>
        <w:t xml:space="preserve">The predictions derived in Appendices A–E are claimed to hold at every admissible parameter setting rather than at a favorable one, so the claim was checked numerically over the whole </w:t>
      </w:r>
      <w:r>
        <w:rPr>
          <w:color w:val="1F4E9E"/>
        </w:rPr>
        <w:lastRenderedPageBreak/>
        <w:t xml:space="preserve">space. Parameters were drawn by Latin-hypercube sampling over the ranges given in Table A1 — 1200 draws, 4000 trials per cell per model per draw — and each draw was screened against criteria taken from the design of the experiment and from the observed distribution of activation rates, never from any fit: in every condition, at most 10% premature responses, at most 10% responses within 0.2 s of the response signal, at most 5% failures to respond by the 4-s deadline, and accuracy above 80% in the two 50%-coherence conditions; and, across conditions, a delay-period partial-activation rate between 0.04 and 3 s⁻¹ and a response-time decomposition in the range participants show — mean premotor execution time between 181 and 677 ms and mean motor execution time between 46 and 288 ms, the observed ranges of the per-participant means widened by a factor of two about their centre. The last two criteria are stated at the level of a participant, since a draw of parameters stands for a hypothetical participant: they ask that the draw produce muscle activity at a rate the real participants span, and that its response time decompose into components a participant could have. Without the second, the admissible set contains settings whose mean premotor execution time is −945 ms — a response burst beginning almost a second before the reaction signal — and whose mean motor execution time reaches 1.4 s. It is important that this criterion constrains the LEVELS of the two components and not their EFFECTS: the predictions tested in this window are that coherence and duration move the premotor component and leave the motor component alone, and those remain free to be right or wrong at every admissible setting. Its window is deliberately wider than the observed one — the observed participant × condition cells run from 0.085 to 2.785 s⁻¹ — because the conclusion the evaluation supports is the exclusion of an architecture, for which erring wide is the conservative direction. Without it the screen is silent about muscle activity altogether, and admits settings that produce none: at the ranges of Table A1, nearly half of the draws admissible on behavior alone generate no delay-period partial activations whatsoever. Every admissible draw was then evaluated on the two </w:t>
      </w:r>
      <w:r>
        <w:rPr>
          <w:color w:val="1F4E9E"/>
        </w:rPr>
        <w:lastRenderedPageBreak/>
        <w:t>response-time effects and on the delay-period log-rate slope. The same sampled vector was evaluated in both models, with β set to zero in Model 1.</w:t>
      </w:r>
    </w:p>
    <w:p w14:paraId="3E59F268" w14:textId="77777777" w:rsidR="00205CBC" w:rsidRDefault="00000000">
      <w:r>
        <w:rPr>
          <w:color w:val="1F4E9E"/>
        </w:rPr>
        <w:t xml:space="preserve">What the evaluation reports is a range of effect sizes. For each effect, the distribution of that effect over a model’s admissible draws — its median and 5th to 95th percentile — says what the architecture can produce, and is compared with the value observed in the data and its between-participant standard error. The observed value of each effect is formed WITHIN participant and averaged afterwards: the six coherence × duration cell values are computed for each of the 22 participants from that participant’s own trials, the contrast defining the effect is taken on those six numbers, and the 22 resulting contrasts are averaged, the standard error being their standard deviation divided by the square root of 22. Each model’s effect is formed by the same contrast on the six cell values of one admissible draw, a draw standing for one hypothetical participant. The order matters for the delay-period log-rate slope, where the mean of the per-participant slopes is +0.892 s⁻¹ while the slope of the profile pooled across participants is +0.817 s⁻¹: pooling mixes participants whose rates differ by a factor of thirty, and a sum of exponentials is not an exponential. The per-participant quantity is the one reported and the one the frontier of Appendix C is drawn against. The effects reported are the contrasts that carry an argument rather than the main effects, since a main effect that both architectures produce with the same sign at every parameter setting adds nothing to the derivation that establishes it. They are: the duration benefit on accuracy at 12% coherence relative to the two extremes (Proposition A.2, which predicts the benefit to be confined to intermediate coherence); the duration effect on response time (A.3) and the coherence × duration interaction on it (A.4); the duration effect on the proportion of premature responses (A.5); the coherence effect on the stimulus-period partial-activation rate (B.1) and the duration effect on it (Proposition B.2, the one prediction outside the delay period on which the two models disagree, and where the sign rather than the magnitude is what discriminates); the </w:t>
      </w:r>
      <w:r>
        <w:rPr>
          <w:color w:val="1F4E9E"/>
        </w:rPr>
        <w:lastRenderedPageBreak/>
        <w:t>duration effects on premotor and on motor execution time, reported together because the claim is the dissociation between them (D.2); the coherence × duration interaction on the delay-period rate (Proposition C.3); and the delay-period log-rate slope (C.2). A model whose range excludes the observed value is quantitatively inadequate on that effect whatever the sign of its prediction. Figure S5 shows all ten.</w:t>
      </w:r>
    </w:p>
    <w:p w14:paraId="1BB54F48" w14:textId="77777777" w:rsidR="00205CBC" w:rsidRDefault="00000000">
      <w:r>
        <w:rPr>
          <w:color w:val="1F4E9E"/>
        </w:rPr>
        <w:t>Where a proposition predicts a direction rather than a magnitude, the quantity reported is the proportion of admissible settings at which the model reproduces that direction. A sign is only interpretable against the Monte-Carlo error of the effect that carries it: at 4000 trials per cell an effect a hundred times smaller than the observed one has a sign that reports the random seed and not the architecture. Each effect was therefore given a Monte-Carlo standard error propagated from the per-cell errors of the quantities entering it — binomial for accuracy and the premature-response proportion, Poisson for the two activation rates, and the simulated between-trial errors for the response-time components and the log-rate slope, with every count-based error floored at one event so that a cell containing no events is not credited with zero uncertainty — and each admissible setting was classified in three ways rather than two: the effect is significantly of the observed sign, significantly against it, or not distinguishable from zero, at two standard errors. The third class is not a rounding of the other two. It is the set of settings at which the model makes no directional claim, and on two of the ten effects it is the majority.</w:t>
      </w:r>
    </w:p>
    <w:p w14:paraId="15AF4C49" w14:textId="77777777" w:rsidR="00205CBC" w:rsidRDefault="00000000">
      <w:pPr>
        <w:pStyle w:val="Titre1"/>
        <w:spacing w:before="480"/>
      </w:pPr>
      <w:r>
        <w:t>Results</w:t>
      </w:r>
    </w:p>
    <w:p w14:paraId="010E38CE" w14:textId="77777777" w:rsidR="00DE7105" w:rsidRDefault="00000000">
      <w:r>
        <w:rPr>
          <w:color w:val="1F4E9E"/>
        </w:rPr>
        <w:t>Each subsection below takes one analysis window: it states what the two models predict there, and tests that prediction against the data. The predictions are derived in Appendices A–E, and the range of effect sizes each architecture can produce is taken from the parameter-space evaluation described in Materials and Methods.</w:t>
      </w:r>
    </w:p>
    <w:p w14:paraId="19A5F7BA" w14:textId="77777777" w:rsidR="00205CBC" w:rsidRDefault="00000000">
      <w:pPr>
        <w:pStyle w:val="Titre2"/>
      </w:pPr>
      <w:r>
        <w:lastRenderedPageBreak/>
        <w:t>Behavior</w:t>
      </w:r>
    </w:p>
    <w:p w14:paraId="0F1D5997" w14:textId="77777777" w:rsidR="00205CBC" w:rsidRDefault="00000000">
      <w:pPr>
        <w:pStyle w:val="Titre3"/>
      </w:pPr>
      <w:r>
        <w:rPr>
          <w:color w:val="1F4E9E"/>
        </w:rPr>
        <w:t>Theoretical predictions</w:t>
      </w:r>
    </w:p>
    <w:p w14:paraId="7402AB9D" w14:textId="77777777" w:rsidR="00205CBC" w:rsidRDefault="00000000">
      <w:r>
        <w:rPr>
          <w:color w:val="1F4E9E"/>
        </w:rPr>
        <w:t xml:space="preserve">Before the response signal, the two models make identical qualitative predictions, since they differ only in the delay-period temporal-preparation ramp; behavior therefore constrains the two-stage accumulation process common to both accounts rather than testing between them. Because the choice is fixed at commitment — the sign of the first accumulator's position when it is stopped — accuracy depends only on that first stage: it increases with motion coherence, because the drift favoring the correct alternative is larger relative to the accumulation noise, and with stimulus duration, because the first accumulation runs for longer before being stopped. The duration benefit on accuracy is nevertheless confined to intermediate coherence levels, a floor-and-ceiling effect rather than a distinct mechanism: at the lowest coherence there is essentially no signal to accumulate, so additional time cannot help, whereas at the highest coherence the threshold is reached almost immediately, so additional time is not needed. Response time, in contrast, depends only on the distance the second accumulation must travel from its starting point to the response criterion: because the second accumulation's drift is the same in every condition, motion coherence and stimulus duration can act on response time only through that starting distance, which is set by the level maintained at the end of the first stage — coherence raises it because the first-stage drift is larger, and duration raises it because the first accumulation is stopped later, not because the delay before the response signal is any shorter (RS onset follows stimulus offset by a fixed 3-s interval regardless of stimulus duration; Materials and Methods). Because this maintained level increases with both motion coherence and stimulus duration, mean response time is predicted to decrease with either, with nothing downstream of the starting point contributing further. Because the maintained level is capped at an internal threshold, however, a long stimulus drives responses of every coherence toward that ceiling, compressing their starting </w:t>
      </w:r>
      <w:r>
        <w:rPr>
          <w:color w:val="1F4E9E"/>
        </w:rPr>
        <w:lastRenderedPageBreak/>
        <w:t>points together and shrinking the coherence effect on response time; after a short stimulus fewer trials reach the ceiling and the starting points — and with them the coherence effect — remain more dispersed. The coherence effect on mean response time is therefore predicted to be larger after the short than after the long stimulus. The same capping argument, applied later to the delay-period rate of partial muscle activations rather than to the starting point of a single accumulation, reverses this sign: there, saturation is predicted to make the coherence effect smaller, not larger, after the long stimulus (Delay-locked, Theoretical predictions, below).</w:t>
      </w:r>
    </w:p>
    <w:p w14:paraId="257E9F9C" w14:textId="77777777" w:rsidR="00205CBC" w:rsidRDefault="00000000">
      <w:pPr>
        <w:pStyle w:val="Titre3"/>
      </w:pPr>
      <w:r>
        <w:rPr>
          <w:color w:val="1F4E9E"/>
        </w:rPr>
        <w:t>Empirical results</w:t>
      </w:r>
    </w:p>
    <w:p w14:paraId="05BDDF3E" w14:textId="77777777" w:rsidR="00205CBC" w:rsidRDefault="00000000">
      <w:r>
        <w:tab/>
        <w:t>Figures 3A and 3B show response accuracy and mean RT, respectively, as a function of motion coherence and duration. Accuracy decreased as motion coherence decreased</w:t>
      </w:r>
      <w:r>
        <w:rPr>
          <w:color w:val="1F4E9E"/>
        </w:rPr>
        <w:t xml:space="preserve"> (F(1.31,27.4) = 222.22, p &lt; .001, ηp² = 0.914)</w:t>
      </w:r>
      <w:r>
        <w:t xml:space="preserve"> and was higher in the 2 s condition than in the 0.3 s condition</w:t>
      </w:r>
      <w:r>
        <w:rPr>
          <w:color w:val="1F4E9E"/>
        </w:rPr>
        <w:t xml:space="preserve"> (F(1,21) = 22.68, p &lt; .001, ηp² = 0.519)</w:t>
      </w:r>
      <w:r>
        <w:t>, but this duration benefit was observed only at the intermediate 12% coherence level, yielding a significant motion coherence × duration interaction</w:t>
      </w:r>
      <w:r>
        <w:rPr>
          <w:color w:val="1F4E9E"/>
        </w:rPr>
        <w:t xml:space="preserve"> (F(1.96,41.24) = 12.17, p &lt; .001, ηp² = 0.367)</w:t>
      </w:r>
      <w:r>
        <w:t>. Mean RT increased as motion coherence and duration decreased</w:t>
      </w:r>
      <w:r>
        <w:rPr>
          <w:color w:val="1F4E9E"/>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F4E9E"/>
        </w:rPr>
        <w:t xml:space="preserve"> (F(1.68,35.25) = 4.61, p = .022, ηp² = 0.180)</w:t>
      </w:r>
      <w:r>
        <w:t>.</w:t>
      </w:r>
    </w:p>
    <w:p w14:paraId="602A1082" w14:textId="77777777" w:rsidR="00205CBC" w:rsidRDefault="00000000">
      <w:pPr>
        <w:pStyle w:val="Titre3"/>
      </w:pPr>
      <w:r>
        <w:rPr>
          <w:color w:val="1F4E9E"/>
        </w:rPr>
        <w:t>Simulation validation</w:t>
      </w:r>
    </w:p>
    <w:p w14:paraId="48C833E7" w14:textId="77777777" w:rsidR="00205CBC" w:rsidRDefault="00000000">
      <w:pPr>
        <w:pStyle w:val="Titre4"/>
      </w:pPr>
      <w:r>
        <w:rPr>
          <w:color w:val="1F4E9E"/>
        </w:rPr>
        <w:t>Behavioral mimicry between the two models motivates the use of neurophysiological measures</w:t>
      </w:r>
    </w:p>
    <w:p w14:paraId="437BF53E" w14:textId="77777777" w:rsidR="00205CBC" w:rsidRDefault="00000000">
      <w:r>
        <w:rPr>
          <w:color w:val="1F4E9E"/>
        </w:rPr>
        <w:t>Behavior is where the two models are hardest to tell apart, and the reason is structural rather than empirical. The two architectures differ in exactly one term, the delay-period temporal-</w:t>
      </w:r>
      <w:r>
        <w:rPr>
          <w:color w:val="1F4E9E"/>
        </w:rPr>
        <w:lastRenderedPageBreak/>
        <w:t xml:space="preserve">preparation ramp, whose magnitude </w:t>
      </w:r>
      <m:oMath>
        <m:r>
          <w:rPr>
            <w:rFonts w:ascii="Cambria Math" w:hAnsi="Cambria Math"/>
            <w:color w:val="1F4E9E"/>
          </w:rPr>
          <m:t>β</m:t>
        </m:r>
      </m:oMath>
      <w:r>
        <w:rPr>
          <w:color w:val="1F4E9E"/>
        </w:rPr>
        <w:t xml:space="preserve"> enters through </w:t>
      </w:r>
      <m:oMath>
        <m:r>
          <w:rPr>
            <w:rFonts w:ascii="Cambria Math" w:hAnsi="Cambria Math"/>
            <w:color w:val="1F4E9E"/>
          </w:rPr>
          <m:t>Δ</m:t>
        </m:r>
        <m:r>
          <m:rPr>
            <m:nor/>
          </m:rPr>
          <w:rPr>
            <w:rFonts w:ascii="Cambria Math" w:hAnsi="Cambria Math"/>
            <w:color w:val="1F4E9E"/>
          </w:rPr>
          <m:t>=3+</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RS</m:t>
            </m:r>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That quantity does not depend on stimulus duration (Remark A.0), so the ramp contributes identically in all six coherence × duration cells and cannot by itself generate any effect of coherence, of duration, or of their interaction. Every behavioral prediction derived in Appendix A therefore holds in both models, with the same sign and the same ordering. This is not a statement about how well either model happens to describe these data; it is a property of the two architectures, and it means that no behavioral measure in this design can separate them. That is what motivates turning to the neurophysiological measures, and it is what the design was built to exploit: the models are made to agree where behavior can see them and to disagree where only the muscle can.</w:t>
      </w:r>
    </w:p>
    <w:p w14:paraId="057C1A94" w14:textId="77777777" w:rsidR="00205CBC" w:rsidRDefault="00000000">
      <w:r>
        <w:rPr>
          <w:color w:val="1F4E9E"/>
        </w:rPr>
        <w:t xml:space="preserve">The evaluation over the parameter space bears this out quantitatively, and supplies the scale the derivation cannot. The duration benefit on accuracy is predicted to be confined to intermediate coherence, since accuracy is exactly one half at zero coherence whatever the duration and tends to one at high coherence for both; measured as the benefit at 12% minus the mean of the benefits at 0% and 50%, it was 0.075 ± 0.014 in the data, against ranges of 0.012 to 0.197 for Model 1 and 0.020 to 0.208 for Model 2. The duration effect on response time was 49 ± 6 ms, against 2 to 86 ms and 1 to 92 ms; the coherence × duration interaction on it — the coherence effect after the short stimulus minus the coherence effect after the long one, which Proposition A.4 predicts to be positive — was +15 ± 8 ms, against 1 to 82 ms and 1 to 76 ms. Premature responses were more frequent after the long stimulus by 0.013 ± 0.002 (Proposition A.5), against 0.000 to 0.043 and 0.000 to 0.045. Each of these effects is significantly of the observed sign at 89% or more of each model’s admissible settings and significantly against it at 3% or fewer — with the single exception of the premature-response effect, where the direction is right at 42% and 41% and wrong at none, the remainder being settings at which the simulation produces too few premature responses for the prediction to be </w:t>
      </w:r>
      <w:r>
        <w:rPr>
          <w:color w:val="1F4E9E"/>
        </w:rPr>
        <w:lastRenderedPageBreak/>
        <w:t>testable at all. On every behavioral effect the observed value falls inside both models’ ranges, and the two ranges are barely distinguishable from one another — which is the quantitative form of the same point: β cannot move any of these quantities, so no behavioral measure separates the architectures at any parameter setting, not merely at settings that happen to describe these data. The ranges are wide because they describe what an architecture can do across its whole admissible space; their width is a statement about that space, not an uncertainty about the data.</w:t>
      </w:r>
    </w:p>
    <w:p w14:paraId="05144515" w14:textId="77777777" w:rsidR="00205CBC" w:rsidRDefault="00000000">
      <w:pPr>
        <w:pStyle w:val="Titre2"/>
      </w:pPr>
      <w:r>
        <w:rPr>
          <w:color w:val="1F4E9E"/>
        </w:rPr>
        <w:t>Stimulus-locked</w:t>
      </w:r>
    </w:p>
    <w:p w14:paraId="75AAFBA3" w14:textId="77777777" w:rsidR="00205CBC" w:rsidRDefault="00000000">
      <w:pPr>
        <w:pStyle w:val="Titre3"/>
      </w:pPr>
      <w:r>
        <w:rPr>
          <w:color w:val="1F4E9E"/>
        </w:rPr>
        <w:t>Theoretical predictions</w:t>
      </w:r>
    </w:p>
    <w:p w14:paraId="3B848138" w14:textId="77777777" w:rsidR="00205CBC" w:rsidRDefault="00000000">
      <w:r>
        <w:rPr>
          <w:color w:val="1F4E9E"/>
        </w:rPr>
        <w:t>Both models predict the same ordering by motion coherence during the stimulus period: a larger first-stage drift at higher coherence produces a maintained level that climbs faster and further, so partial-activation rate is predicted to rise more steeply, and reach a higher level, at higher coherence (Proposition B.1) — a prediction that does not distinguish the two accounts, since neither the first-stage drift nor its accumulation depends on temporal preparation.</w:t>
      </w:r>
    </w:p>
    <w:p w14:paraId="655E157C" w14:textId="77777777" w:rsidR="00205CBC" w:rsidRDefault="00000000">
      <w:r>
        <w:rPr>
          <w:color w:val="1F4E9E"/>
        </w:rPr>
        <w:t xml:space="preserve">By duration the two models diverge, and this is the only place outside the delay period where they do. Because the preparation ramp begins at stimulus offset, it occupies about three-quarters of the 2-s stimulus-onset window in the 0.3-s condition and none of it in the 2-s condition. Model 1 has no ramp, so the only duration dependence left to it is that the long stimulus has accumulated more evidence by the end of the window: it predicts a higher rate after the LONG stimulus, and does so at every admissible parameter setting. Model 2’s ramp pushes the effect the other way, but whether it overturns the level effect depends on the ramp’s size relative to the distance to the gate, and those are independent parameters; the reversal therefore holds over part of Model 2’s admissible space and not all of it (Proposition B.2). The disagreement is one-sided, and it is worth stating in that form before the data are </w:t>
      </w:r>
      <w:r>
        <w:rPr>
          <w:color w:val="1F4E9E"/>
        </w:rPr>
        <w:lastRenderedPageBreak/>
        <w:t>seen: a rate higher after the SHORT stimulus is incompatible with Model 1 and compatible with Model 2, but it is not a positive prediction of Model 2, whose own prediction is made in the delay period.</w:t>
      </w:r>
    </w:p>
    <w:p w14:paraId="656B3593" w14:textId="77777777" w:rsidR="00205CBC" w:rsidRDefault="00000000">
      <w:pPr>
        <w:pStyle w:val="Titre3"/>
      </w:pPr>
      <w:r>
        <w:rPr>
          <w:color w:val="1F4E9E"/>
        </w:rPr>
        <w:t>Empirical results</w:t>
      </w:r>
    </w:p>
    <w:p w14:paraId="5CF32816" w14:textId="77777777" w:rsidR="00205CBC" w:rsidRDefault="00000000">
      <w:pPr>
        <w:pStyle w:val="Titre4"/>
      </w:pPr>
      <w:r>
        <w:rPr>
          <w:color w:val="1F4E9E"/>
        </w:rPr>
        <w:t>Partial muscle activation (PMA) rate</w:t>
      </w:r>
    </w:p>
    <w:p w14:paraId="7755AC1B" w14:textId="77777777" w:rsidR="00205CBC" w:rsidRDefault="00000000">
      <w:r>
        <w:tab/>
      </w:r>
      <w:r>
        <w:rPr>
          <w:color w:val="1F4E9E"/>
        </w:rPr>
        <w:t xml:space="preserve">As explained in Materials and Methods, because gating inhibition remained active throughout the trial, a PMA — muscle activity that failed to reach the response criterion — provides a peripheral readout of the motor-preparatory signal's position and variability relative to the gating and response criteria. </w:t>
      </w:r>
      <w:r>
        <w:t>For each period of interest, Figure 4A shows the average number of PMAs per 0.1 s time bin in the response-associated EMG channel, whereas Figure 4B shows the corresponding data for the opposite EMG channel. As expected, PMA rates in the opposite EMG channel were near zero across conditions and periods. Consequently, subsequent analyses were restricted to the response-associated EMG channel. An ANOVA on the stimulus period data (0–2 s window relative to stimulus onset) revealed a significant time bin × motion coherence interaction</w:t>
      </w:r>
      <w:r>
        <w:rPr>
          <w:color w:val="1F4E9E"/>
        </w:rPr>
        <w:t xml:space="preserve"> (linear-trend equivalent: F(1.72, 36.20) = 6.145, p = .007, ηp² = 0.226; full decomposition in Table S2)</w:t>
      </w:r>
      <w:r>
        <w:t>. PMA rate increased over time, and the slope of this ramping activity became shallower as motion coherence decreased, consistent with an evidence accumulation mechanism. The analysis also showed a significant time bin × duration interaction</w:t>
      </w:r>
      <w:r>
        <w:rPr>
          <w:color w:val="1F4E9E"/>
        </w:rPr>
        <w:t xml:space="preserve"> (linear-trend equivalent: F(1,21) = 9.532, p = .006, ηp² = 0.312; full decomposition in Table S2)</w:t>
      </w:r>
      <w:r>
        <w:t>, reflecting steeper ramping in the 0.3 s than in the 2 s duration condition.</w:t>
      </w:r>
      <w:r>
        <w:rPr>
          <w:color w:val="1F4E9E"/>
        </w:rPr>
        <w:t xml:space="preserve"> PMA rate was correspondingly higher overall in the 0.3 s than the 2 s condition across this window (main effect of duration: F(1,21) = 13.38, p = .001, ηp² = 0.389), the average counterpart of this interaction.</w:t>
      </w:r>
      <w:r>
        <w:t xml:space="preserve"> This effect is unlikely to reflect greater allocation of attentional resources in the 0.3 s condition, because stimulus duration was unpredictable at trial onset. </w:t>
      </w:r>
      <w:r>
        <w:rPr>
          <w:color w:val="1F4E9E"/>
        </w:rPr>
        <w:t xml:space="preserve">It is, however, the direction that excludes Model 1: without a </w:t>
      </w:r>
      <w:r>
        <w:rPr>
          <w:color w:val="1F4E9E"/>
        </w:rPr>
        <w:lastRenderedPageBreak/>
        <w:t>ramp, the only duration dependence available to that architecture is the higher maintained level after the long stimulus, which gives the opposite ordering. A ramp accounts for what is observed — it begins at stimulus offset and therefore occupies most of the stimulus-onset window in the 0.3 s condition and none of it in the 2 s condition — provided temporal preparation increases more steeply than coherence-averaged evidence accumulation. That is Model 2, but as Proposition B.2 makes explicit the inference runs only one way: the observation rules Model 1 out and leaves Model 2 standing, without confirming it.</w:t>
      </w:r>
    </w:p>
    <w:p w14:paraId="2CB87907" w14:textId="77777777" w:rsidR="00205CBC" w:rsidRDefault="00000000">
      <w:pPr>
        <w:pStyle w:val="Titre4"/>
      </w:pPr>
      <w:r>
        <w:rPr>
          <w:color w:val="1F4E9E"/>
        </w:rPr>
        <w:t>Mu–beta lateralization (MBL)</w:t>
      </w:r>
    </w:p>
    <w:p w14:paraId="3C07C6B4" w14:textId="77777777" w:rsidR="00205CBC" w:rsidRDefault="00000000">
      <w:r>
        <w:t>Figure 4D shows the MBL amplitude for each condition and period. The ANOVA conducted on the stimulus-period data reveal</w:t>
      </w:r>
      <w:r>
        <w:rPr>
          <w:color w:val="1F4E9E"/>
        </w:rPr>
        <w:t>ed a significant interaction between time bin and motion coherence, but this reflects the measure’s non-monotone shape rather than a uniform coherence-dependent ramp: the full-window linear trend × coherence is not significant</w:t>
      </w:r>
      <w:r>
        <w:t xml:space="preserve"> (</w:t>
      </w:r>
      <w:r>
        <w:rPr>
          <w:color w:val="1F4E9E"/>
        </w:rPr>
        <w:t>F(1.95, 40.99) = 0.517, p = .596</w:t>
      </w:r>
      <w:r>
        <w:t xml:space="preserve">, ηp² = 0.024; Table S3). MBL </w:t>
      </w:r>
      <w:r>
        <w:rPr>
          <w:color w:val="1F4E9E"/>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(Table S4), consistent with evidence accumulation toward an internal threshold rather than an unbounded coherence-dependent ramp.</w:t>
      </w:r>
      <w:r>
        <w:t xml:space="preserve"> Unlike the PMA rate, MBL amplitude showed a slight decrease before transitioning to sustained activity, at least in the highest coherence conditions</w:t>
      </w:r>
      <w:r>
        <w:rPr>
          <w:color w:val="1F4E9E"/>
        </w:rPr>
        <w:t>.</w:t>
      </w:r>
    </w:p>
    <w:p w14:paraId="115EB3F8" w14:textId="77777777" w:rsidR="00205CBC" w:rsidRDefault="00000000">
      <w:pPr>
        <w:pStyle w:val="Titre4"/>
      </w:pPr>
      <w:r>
        <w:rPr>
          <w:color w:val="1F4E9E"/>
        </w:rPr>
        <w:t>Lateralized readiness potential (LRP)</w:t>
      </w:r>
    </w:p>
    <w:p w14:paraId="792AFCFE" w14:textId="77777777" w:rsidR="00205CBC" w:rsidRDefault="00000000">
      <w:r>
        <w:t>Figure 4C shows the LRP for each condition and period. Although the LRP showed a slight numerical trend suggestive of evidence accumulation during the stimulus period, the ANOVA did not reveal any significant effect</w:t>
      </w:r>
      <w:r>
        <w:rPr>
          <w:color w:val="1F4E9E"/>
        </w:rPr>
        <w:t xml:space="preserve"> (linear-trend equivalent: F(1.49, 31.27) = 0.551, p = .531, ηp² = 0.026; Table S2)</w:t>
      </w:r>
      <w:r>
        <w:t>.</w:t>
      </w:r>
    </w:p>
    <w:p w14:paraId="01389C8E" w14:textId="77777777" w:rsidR="00205CBC" w:rsidRDefault="00000000">
      <w:pPr>
        <w:pStyle w:val="Titre3"/>
      </w:pPr>
      <w:r>
        <w:rPr>
          <w:color w:val="1F4E9E"/>
        </w:rPr>
        <w:lastRenderedPageBreak/>
        <w:t>Simulation validation</w:t>
      </w:r>
    </w:p>
    <w:p w14:paraId="73DAA5DC" w14:textId="77777777" w:rsidR="00205CBC" w:rsidRDefault="00000000">
      <w:r>
        <w:rPr>
          <w:color w:val="1F4E9E"/>
        </w:rPr>
        <w:t>Two quantities from this window were evaluated over the parameter space: the coherence effect, which both architectures predict and which therefore serves as a control, and the duration effect, on which they disagree.</w:t>
      </w:r>
    </w:p>
    <w:p w14:paraId="2619E48E" w14:textId="77777777" w:rsidR="00205CBC" w:rsidRDefault="00000000">
      <w:r>
        <w:rPr>
          <w:color w:val="1F4E9E"/>
        </w:rPr>
        <w:t>Take the control first. Proposition B.1 predicts the stimulus-period partial-activation rate to be higher at high coherence in both models, and it is: the rate at 50% coherence minus the rate at 0% was +0.054 ± 0.020 s⁻¹ in the data, against 0.009 to 0.651 s⁻¹ over Model 1’s admissible settings and 0.001 to 0.388 over Model 2’s, with the observed sign significant at 98% and 93% of them and the opposite sign at none. The two architectures are therefore not being distinguished by their general ability to describe this window — they describe it equally well — but by the one contrast on which the ramp acts.</w:t>
      </w:r>
    </w:p>
    <w:p w14:paraId="4A61F5B9" w14:textId="77777777" w:rsidR="00205CBC" w:rsidRDefault="00000000">
      <w:r>
        <w:rPr>
          <w:color w:val="1F4E9E"/>
        </w:rPr>
        <w:t xml:space="preserve">The duration effect turns into an exclusion of Model 1, and it is worth being exact about what it does and does not establish. The duration effect on the stimulus-period partial-activation rate — the rate after the 0.3 s stimulus minus the rate after the 2 s stimulus, over the same 0 to 2 s window used for the data — was +0.057 ± 0.015 s⁻¹. Model 1 produces a significantly negative effect at 95% of its admissible settings and a significantly positive one at none (5th to 95th percentile −0.324 to −0.004 s⁻¹), which is what Proposition B.2 predicts for it and what makes the observation incompatible with that architecture, on the stimulus period alone and before any delay-period quantity is examined. Model 2 produces the observed sign at 39% of its settings and the opposite sign at 45% (−0.214 to +0.036 s⁻¹): temporal preparation opposes the level effect, as B.2 says, but does not generally overturn it, because the ramp’s size and the distance to the gate are independent parameters. Its largest value, +0.129 s⁻¹, is more than twice the observation, so the fact that the observed value falls outside its 5th to 95th percentile band is a statement about where the bulk of Model 2’s admissible space lies </w:t>
      </w:r>
      <w:r>
        <w:rPr>
          <w:color w:val="1F4E9E"/>
        </w:rPr>
        <w:lastRenderedPageBreak/>
        <w:t>and not about what that space can reach. The test is therefore one-sided. It refutes Model 1; it does not confirm Model 2, whose own prediction is made in the delay period.</w:t>
      </w:r>
    </w:p>
    <w:p w14:paraId="2B1CA7C1" w14:textId="77777777" w:rsidR="00205CBC" w:rsidRDefault="00000000">
      <w:pPr>
        <w:pStyle w:val="Titre2"/>
      </w:pPr>
      <w:r>
        <w:rPr>
          <w:color w:val="1F4E9E"/>
        </w:rPr>
        <w:t>Delay-locked</w:t>
      </w:r>
    </w:p>
    <w:p w14:paraId="055C6006" w14:textId="77777777" w:rsidR="00205CBC" w:rsidRDefault="00000000">
      <w:pPr>
        <w:pStyle w:val="Titre3"/>
      </w:pPr>
      <w:r>
        <w:rPr>
          <w:color w:val="1F4E9E"/>
        </w:rPr>
        <w:t>Theoretical predictions</w:t>
      </w:r>
    </w:p>
    <w:p w14:paraId="43DC6F8A" w14:textId="77777777" w:rsidR="00205CBC" w:rsidRDefault="00000000">
      <w:r>
        <w:rPr>
          <w:color w:val="1F4E9E"/>
        </w:rPr>
        <w:t xml:space="preserve">During the delay, a partial activation on the responding side is an upcrossing of the internal gate </w:t>
      </w:r>
      <m:oMath>
        <m:r>
          <w:rPr>
            <w:rFonts w:ascii="Cambria Math" w:hAnsi="Cambria Math"/>
            <w:color w:val="1F4E9E"/>
          </w:rPr>
          <m:t>g</m:t>
        </m:r>
      </m:oMath>
      <w:r>
        <w:rPr>
          <w:color w:val="1F4E9E"/>
        </w:rPr>
        <w:t xml:space="preserve"> by the maintained fluctuation </w:t>
      </w:r>
      <m:oMath>
        <m:r>
          <w:rPr>
            <w:rFonts w:ascii="Cambria Math" w:hAnsi="Cambria Math"/>
            <w:color w:val="1F4E9E"/>
          </w:rPr>
          <m:t>V</m:t>
        </m:r>
      </m:oMath>
      <w:r>
        <w:rPr>
          <w:color w:val="1F4E9E"/>
        </w:rPr>
        <w:t xml:space="preserve"> — the excursion of the preparatory signal around the level held since the first accumulation was stopped, still driven by the same noise process that generates within-trial fluctuations elsewhere in the model. Appendix C derives the resulting instantaneous rate in closed form from the Kac–Rice formula for the expected upcrossing rate of a differentiable Gaussian process, Equation (21), which assumes no stationarity. Where the fluctuation has reached stationarity that expression simplifies: writing </w:t>
      </w:r>
      <m:oMath>
        <m:r>
          <w:rPr>
            <w:rFonts w:ascii="Cambria Math" w:hAnsi="Cambria Math"/>
            <w:color w:val="1F4E9E"/>
          </w:rPr>
          <m:t>a</m:t>
        </m:r>
        <m:d>
          <m:dPr>
            <m:ctrlPr>
              <w:rPr>
                <w:rFonts w:ascii="Cambria Math" w:hAnsi="Cambria Math"/>
              </w:rPr>
            </m:ctrlPr>
          </m:dPr>
          <m:e>
            <m:r>
              <w:rPr>
                <w:rFonts w:ascii="Cambria Math" w:hAnsi="Cambria Math"/>
                <w:color w:val="1F4E9E"/>
              </w:rPr>
              <m:t>t</m:t>
            </m:r>
          </m:e>
        </m:d>
      </m:oMath>
      <w:r>
        <w:rPr>
          <w:color w:val="1F4E9E"/>
        </w:rPr>
        <w:t xml:space="preserve"> for the distance from the maintained level to the gate in units of the fluctuation’s standard deviation, </w:t>
      </w:r>
      <m:oMath>
        <m:r>
          <w:rPr>
            <w:rFonts w:ascii="Cambria Math" w:hAnsi="Cambria Math"/>
            <w:color w:val="1F4E9E"/>
          </w:rPr>
          <m:t>b</m:t>
        </m:r>
      </m:oMath>
      <w:r>
        <w:rPr>
          <w:color w:val="1F4E9E"/>
        </w:rPr>
        <w:t xml:space="preserve"> for the temporal-preparation ramp rate in the same units, and </w:t>
      </w:r>
      <m:oMath>
        <m:r>
          <w:rPr>
            <w:rFonts w:ascii="Cambria Math" w:hAnsi="Cambria Math"/>
            <w:color w:val="1F4E9E"/>
          </w:rPr>
          <m:t>ω</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λκ</m:t>
            </m:r>
          </m:e>
        </m:rad>
      </m:oMath>
      <w:r>
        <w:rPr>
          <w:color w:val="1F4E9E"/>
        </w:rPr>
        <w:t xml:space="preserve"> for the fluctuation’s characteristic frequency, the rate is Equation (22):</w:t>
      </w:r>
    </w:p>
    <w:p w14:paraId="7AAFE529" w14:textId="77777777" w:rsidR="00205CBC" w:rsidRDefault="00000000">
      <m:oMathPara>
        <m:oMath>
          <m:r>
            <w:rPr>
              <w:rFonts w:ascii="Cambria Math" w:hAnsi="Cambria Math"/>
              <w:color w:val="1F4E9E"/>
            </w:rPr>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φ</m:t>
          </m:r>
          <m:d>
            <m:dPr>
              <m:ctrlPr>
                <w:rPr>
                  <w:rFonts w:ascii="Cambria Math" w:hAnsi="Cambria Math"/>
                  <w:i/>
                  <w:color w:val="1F4E9E"/>
                </w:rPr>
              </m:ctrlPr>
            </m:dPr>
            <m:e>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e>
          </m:d>
          <m:d>
            <m:dPr>
              <m:begChr m:val="["/>
              <m:endChr m:val="]"/>
              <m:ctrlPr>
                <w:rPr>
                  <w:rFonts w:ascii="Cambria Math" w:hAnsi="Cambria Math"/>
                  <w:i/>
                  <w:color w:val="1F4E9E"/>
                </w:rPr>
              </m:ctrlPr>
            </m:dPr>
            <m:e>
              <m:r>
                <w:rPr>
                  <w:rFonts w:ascii="Cambria Math" w:hAnsi="Cambria Math"/>
                  <w:color w:val="1F4E9E"/>
                </w:rPr>
                <m:t>b·Φ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r>
                <w:rPr>
                  <w:rFonts w:ascii="Cambria Math" w:hAnsi="Cambria Math"/>
                  <w:color w:val="1F4E9E"/>
                </w:rPr>
                <m:t xml:space="preserve"> + ω·φ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  (22)</m:t>
          </m:r>
        </m:oMath>
      </m:oMathPara>
    </w:p>
    <w:p w14:paraId="48F7428A" w14:textId="77777777" w:rsidR="00205CBC" w:rsidRDefault="00000000">
      <w:r>
        <w:rPr>
          <w:color w:val="1F4E9E"/>
        </w:rPr>
        <w:t xml:space="preserve">Setting </w:t>
      </w:r>
      <m:oMath>
        <m:r>
          <w:rPr>
            <w:rFonts w:ascii="Cambria Math" w:hAnsi="Cambria Math"/>
            <w:color w:val="1F4E9E"/>
          </w:rPr>
          <m:t>α</m:t>
        </m:r>
        <m:r>
          <m:rPr>
            <m:nor/>
          </m:rPr>
          <w:rPr>
            <w:rFonts w:ascii="Cambria Math" w:hAnsi="Cambria Math"/>
            <w:color w:val="1F4E9E"/>
          </w:rPr>
          <m:t>=0</m:t>
        </m:r>
      </m:oMath>
      <w:r>
        <w:rPr>
          <w:color w:val="1F4E9E"/>
        </w:rPr>
        <w:t xml:space="preserve"> — Model 1 — recovers the classical Rice formula, Equation (23), whose maximum over the standardized distance is </w:t>
      </w:r>
      <m:oMath>
        <m:r>
          <w:rPr>
            <w:rFonts w:ascii="Cambria Math" w:hAnsi="Cambria Math"/>
            <w:color w:val="1F4E9E"/>
          </w:rPr>
          <m:t>ω</m:t>
        </m:r>
        <m:r>
          <m:rPr>
            <m:nor/>
          </m:rPr>
          <w:rPr>
            <w:rFonts w:ascii="Cambria Math" w:hAnsi="Cambria Math"/>
            <w:color w:val="1F4E9E"/>
          </w:rPr>
          <m:t>/2</m:t>
        </m:r>
        <m:r>
          <w:rPr>
            <w:rFonts w:ascii="Cambria Math" w:hAnsi="Cambria Math"/>
            <w:color w:val="1F4E9E"/>
          </w:rPr>
          <m:t>π</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λκ</m:t>
            </m:r>
          </m:e>
        </m:rad>
        <m:r>
          <m:rPr>
            <m:nor/>
          </m:rPr>
          <w:rPr>
            <w:rFonts w:ascii="Cambria Math" w:hAnsi="Cambria Math"/>
            <w:color w:val="1F4E9E"/>
          </w:rPr>
          <m:t>/2</m:t>
        </m:r>
        <m:r>
          <w:rPr>
            <w:rFonts w:ascii="Cambria Math" w:hAnsi="Cambria Math"/>
            <w:color w:val="1F4E9E"/>
          </w:rPr>
          <m:t>π</m:t>
        </m:r>
      </m:oMath>
      <w:r>
        <w:rPr>
          <w:color w:val="1F4E9E"/>
        </w:rPr>
        <w:t>:</w:t>
      </w:r>
    </w:p>
    <w:p w14:paraId="50C09082" w14:textId="77777777" w:rsidR="00205CBC" w:rsidRDefault="00000000">
      <m:oMathPara>
        <m:oMath>
          <m:r>
            <w:rPr>
              <w:rFonts w:ascii="Cambria Math" w:hAnsi="Cambria Math"/>
              <w:color w:val="1F4E9E"/>
            </w:rPr>
            <m:t xml:space="preserve">ν = </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e>
          </m:d>
          <m:r>
            <w:rPr>
              <w:rFonts w:ascii="Cambria Math" w:hAnsi="Cambria Math"/>
              <w:color w:val="1F4E9E"/>
            </w:rPr>
            <m:t>·exp</m:t>
          </m:r>
          <m:d>
            <m:dPr>
              <m:ctrlPr>
                <w:rPr>
                  <w:rFonts w:ascii="Cambria Math" w:hAnsi="Cambria Math"/>
                  <w:i/>
                  <w:color w:val="1F4E9E"/>
                </w:rPr>
              </m:ctrlPr>
            </m:dPr>
            <m:e>
              <m:r>
                <w:rPr>
                  <w:rFonts w:ascii="Cambria Math" w:hAnsi="Cambria Math"/>
                  <w:color w:val="1F4E9E"/>
                </w:rPr>
                <m:t>-</m:t>
              </m:r>
              <m:sSup>
                <m:sSupPr>
                  <m:ctrlPr>
                    <w:rPr>
                      <w:rFonts w:ascii="Cambria Math" w:hAnsi="Cambria Math"/>
                      <w:i/>
                      <w:color w:val="1F4E9E"/>
                    </w:rPr>
                  </m:ctrlPr>
                </m:sSupPr>
                <m:e>
                  <m:r>
                    <w:rPr>
                      <w:rFonts w:ascii="Cambria Math" w:hAnsi="Cambria Math"/>
                      <w:color w:val="1F4E9E"/>
                    </w:rPr>
                    <m:t>a</m:t>
                  </m:r>
                </m:e>
                <m:sup>
                  <m:r>
                    <w:rPr>
                      <w:rFonts w:ascii="Cambria Math" w:hAnsi="Cambria Math"/>
                      <w:color w:val="1F4E9E"/>
                    </w:rPr>
                    <m:t>2</m:t>
                  </m:r>
                </m:sup>
              </m:sSup>
              <m:r>
                <w:rPr>
                  <w:rFonts w:ascii="Cambria Math" w:hAnsi="Cambria Math"/>
                  <w:color w:val="1F4E9E"/>
                </w:rPr>
                <m:t>/2</m:t>
              </m:r>
            </m:e>
          </m:d>
          <m:r>
            <w:rPr>
              <w:rFonts w:ascii="Cambria Math" w:hAnsi="Cambria Math"/>
              <w:color w:val="1F4E9E"/>
            </w:rPr>
            <m:t>,  (23)</m:t>
          </m:r>
        </m:oMath>
      </m:oMathPara>
    </w:p>
    <w:p w14:paraId="0674A60B" w14:textId="77777777" w:rsidR="00205CBC" w:rsidRDefault="00000000">
      <w:r>
        <w:rPr>
          <w:color w:val="1F4E9E"/>
        </w:rPr>
        <w:t xml:space="preserve">whose ceiling is never exceeded whatever the distance to the gate. That ceiling is small: at the slow mean reversion needed for a rate still rising near the end of a 3-s delay it lies below the observed rate throughout the range of λ in Table A1. It is computed from the kernel of Appendix C rather than from the stationary expression, which does not apply here — at so </w:t>
      </w:r>
      <w:r>
        <w:rPr>
          <w:color w:val="1F4E9E"/>
        </w:rPr>
        <w:lastRenderedPageBreak/>
        <w:t>slow a fluctuation the variance is a quarter of its stationary value at the start of the analyzed window and about seven-tenths at the end — and allowing for the correlation between the fluctuation and its derivative that non-stationarity induces does not raise it.</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r>
          <w:rPr>
            <w:rFonts w:ascii="Cambria Math" w:hAnsi="Cambria Math"/>
            <w:color w:val="1F4E9E"/>
          </w:rPr>
          <m:t xml:space="preserve">κκ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4412AD2B" w14:textId="77777777" w:rsidR="00205CBC" w:rsidRDefault="00000000">
      <w:r>
        <w:rPr>
          <w:color w:val="1F4E9E"/>
        </w:rPr>
        <w:t xml:space="preserve">That ceiling, however, is not the constraint that binds. It is attained only when the maintained level sits exactly at the gate, and at that distance the rate is not rising but falling: the variance transient that produces any ramp at all under Model 1 raises the rate only where the signal is more than one fluctuation standard deviation from the gate, and by (23) each further standard deviation costs a factor </w:t>
      </w:r>
      <m:oMath>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/2</m:t>
            </m:r>
          </m:sup>
        </m:sSup>
      </m:oMath>
      <w:r>
        <w:rPr>
          <w:color w:val="1F4E9E"/>
        </w:rPr>
        <w:t xml:space="preserve"> in the rate. Ramp and rate are therefore governed by the same quantity in opposite directions (Corollary C.5), and the question is not whether Model 1 can produce either but whether it can produce both at once.</w:t>
      </w:r>
    </w:p>
    <w:p w14:paraId="1B8A14CD" w14:textId="77777777" w:rsidR="00205CBC" w:rsidRDefault="00000000">
      <w:r>
        <w:rPr>
          <w:color w:val="1F4E9E"/>
        </w:rPr>
        <w:t xml:space="preserve">This trade-off can be stated as a frontier rather than as a bound, by asking for the largest log-rate slope Model 1 can produce at each level of the delay-period rate, maximizing over the distance to the gate and over the ranges of κ and λ in Table A1, computing the moments from the kernel rather than from their stationary limits, and estimating the slope exactly as it is estimated in the data — an offset-Poisson regression over the same twenty bins, not a secant between the ends of the window (Appendix C, C.6 and C.8). Two properties of the calculation are worth stating because they are what make it a bound rather than an illustration. It holds under trial-to-trial variation of the maintained level: the measured rate is a mixture over the distance to the gate, and maximizing a mixture’s slope at fixed rate is a linear programme whose solution moves the frontier by less than one per cent (Appendix C, C.9). And the two effects it does not model — the merging of nearby crossings into one detected activation, and the absorption of trials that reach the response criterion — both act to lower the measured slope, not to raise it (C.10). At the lowest rate observed in any participant × condition cell, </w:t>
      </w:r>
      <w:r>
        <w:rPr>
          <w:color w:val="1F4E9E"/>
        </w:rPr>
        <w:lastRenderedPageBreak/>
        <w:t>0.085 s⁻¹, Model 1 can reach a slope of +0.81 s⁻¹; at 0.2 s⁻¹ it can reach +0.40; at 0.3 s⁻¹, +0.19; at 0.4 s⁻¹, +0.05; at 0.5 s⁻¹, +0.01; and at the observed mean rate of 0.709 s⁻¹ it can reach nothing distinguishable from zero. The observed slope is +0.89 s⁻¹ at that rate — the mean of the per-cell, per-participant slopes, which is the quantity a simulated homogeneous process must be compared with; the slope of the profile pooled across participants is flatter (+0.82) because pooling mixes processes at different distances from the gate. Model 1 is therefore not merely quantitatively short: the largest rate at which it attains the observed slope anywhere in the sampled ranges is 0.069 s⁻¹ — a tenth of the observed mean, and below the 0.085 s⁻¹ of the least active participant in the least active condition. There is therefore no admissible setting of its parameters at which Model 1 produces both the observed ramp and partial activations as often as any participant produced them. Because the optimum lies at the smallest κ and the largest λ the sampled ranges allow, this frontier is the most favorable one available to the model.</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r>
          <w:rPr>
            <w:rFonts w:ascii="Cambria Math" w:hAnsi="Cambria Math"/>
            <w:color w:val="1F4E9E"/>
          </w:rPr>
          <m:t xml:space="preserve">κκ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1B4CCF92" w14:textId="77777777" w:rsidR="00205CBC" w:rsidRDefault="00000000">
      <w:r>
        <w:rPr>
          <w:color w:val="1F4E9E"/>
        </w:rPr>
        <w:t xml:space="preserve">The same calculation applies to Model 2, and the contrast is the whole argument. Temporal preparation moves the gate-facing signal towards the gate, which enters the crossing-rate formula in one place only — the derivative of the signal relative to the barrier — so the frontier can be computed for that architecture too (Appendix C, C.5). Bounding the ramp at three fluctuation standard deviations, which is the upper quartile of the ramps the admissibility screen actually accepts, Model 2 reaches a delay-period log-rate slope of +4.05 s⁻¹ at the observed rate, against an observed +0.89; and it attains the observed slope at rates up to 6.4 s⁻¹, nine times the observed rate. Model 1 at the same rate reaches nothing distinguishable from zero, and attains the observed slope only at 0.069 s⁻¹. The two architectures are therefore not near-misses of one another: one exceeds what has to be explained several times over, the other cannot reach it at any rate a participant showed. This is also why the two frontiers have a different status. For Model 1 the frontier is a bound — with </w:t>
      </w:r>
      <w:r>
        <w:rPr>
          <w:color w:val="1F4E9E"/>
        </w:rPr>
        <w:lastRenderedPageBreak/>
        <w:t>no ramp the rate depends on nothing but κ, λ and the distance to the gate, all three of which are swept, and nothing outside the calculation can raise it. For Model 2 it is an upper envelope under a cap read off the screened sample, so it says what that architecture can reach, not what it typically does.</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r>
          <w:rPr>
            <w:rFonts w:ascii="Cambria Math" w:hAnsi="Cambria Math"/>
            <w:color w:val="1F4E9E"/>
          </w:rPr>
          <m:t xml:space="preserve">κκ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6CC3D85F" w14:textId="77777777" w:rsidR="00205CBC" w:rsidRDefault="00000000">
      <w:r>
        <w:rPr>
          <w:color w:val="1F4E9E"/>
        </w:rPr>
        <w:t xml:space="preserve">A second, independent exclusion follows from the same calculation, and it constrains the SHAPE of the delay-period rate curve rather than its height. Under Model 1 the ramp is carried entirely by the filling-in of the maintenance variance, and that process decelerates: by Corollary C.11 the relative rate of variance growth is </w:t>
      </w:r>
      <m:oMath>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τ</m:t>
                </m:r>
              </m:e>
            </m:d>
          </m:e>
          <m:sup>
            <m:r>
              <m:rPr>
                <m:nor/>
              </m:rPr>
              <w:rPr>
                <w:rFonts w:ascii="Cambria Math" w:hAnsi="Cambria Math"/>
                <w:color w:val="1F4E9E"/>
              </w:rPr>
              <m:t>2</m:t>
            </m:r>
          </m:sup>
        </m:sSup>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τ</m:t>
            </m:r>
          </m:sup>
          <m:e>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v</m:t>
                    </m:r>
                  </m:e>
                </m:d>
              </m:e>
              <m:sup>
                <m:r>
                  <m:rPr>
                    <m:nor/>
                  </m:rPr>
                  <w:rPr>
                    <w:rFonts w:ascii="Cambria Math" w:hAnsi="Cambria Math"/>
                    <w:color w:val="1F4E9E"/>
                  </w:rPr>
                  <m:t>2</m:t>
                </m:r>
              </m:sup>
            </m:sSup>
            <m:r>
              <m:rPr>
                <m:nor/>
              </m:rPr>
              <w:rPr>
                <w:rFonts w:ascii="Cambria Math" w:hAnsi="Cambria Math"/>
                <w:color w:val="1F4E9E"/>
              </w:rPr>
              <m:t> d</m:t>
            </m:r>
            <m:r>
              <w:rPr>
                <w:rFonts w:ascii="Cambria Math" w:hAnsi="Cambria Math"/>
                <w:color w:val="1F4E9E"/>
              </w:rPr>
              <m:t>v</m:t>
            </m:r>
          </m:e>
        </m:nary>
      </m:oMath>
      <w:r>
        <w:rPr>
          <w:color w:val="1F4E9E"/>
        </w:rPr>
        <w:t xml:space="preserve">, which is bounded above by </w:t>
      </w:r>
      <m:oMath>
        <m:r>
          <m:rPr>
            <m:nor/>
          </m:rPr>
          <w:rPr>
            <w:rFonts w:ascii="Cambria Math" w:hAnsi="Cambria Math"/>
            <w:color w:val="1F4E9E"/>
          </w:rPr>
          <m:t>1/</m:t>
        </m:r>
        <m:d>
          <m:dPr>
            <m:ctrlPr>
              <w:rPr>
                <w:rFonts w:ascii="Cambria Math" w:hAnsi="Cambria Math"/>
              </w:rPr>
            </m:ctrlPr>
          </m:dPr>
          <m:e>
            <m:r>
              <w:rPr>
                <w:rFonts w:ascii="Cambria Math" w:hAnsi="Cambria Math"/>
                <w:color w:val="1F4E9E"/>
              </w:rPr>
              <m:t>τ</m:t>
            </m:r>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d>
      </m:oMath>
      <w:r>
        <w:rPr>
          <w:color w:val="1F4E9E"/>
        </w:rPr>
        <w:t xml:space="preserve"> whatever </w:t>
      </w:r>
      <m:oMath>
        <m:r>
          <w:rPr>
            <w:rFonts w:ascii="Cambria Math" w:hAnsi="Cambria Math"/>
            <w:color w:val="1F4E9E"/>
          </w:rPr>
          <m:t>κ</m:t>
        </m:r>
      </m:oMath>
      <w:r>
        <w:rPr>
          <w:color w:val="1F4E9E"/>
        </w:rPr>
        <w:t xml:space="preserve">, so the local log-rate slope must fall by at least a factor of 3.6 between the start and the end of the analyzed window, and in fact by a factor of at least 15 everywhere in the sampled ranges. Model 2 is under no such constraint: by (24) its slope is </w:t>
      </w:r>
      <m:oMath>
        <m:r>
          <w:rPr>
            <w:rFonts w:ascii="Cambria Math" w:hAnsi="Cambria Math"/>
            <w:color w:val="1F4E9E"/>
          </w:rPr>
          <m:t>b</m:t>
        </m:r>
        <m:r>
          <m:rPr>
            <m:nor/>
          </m:rPr>
          <w:rPr>
            <w:rFonts w:ascii="Cambria Math" w:hAnsi="Cambria Math"/>
            <w:color w:val="1F4E9E"/>
          </w:rPr>
          <m:t> </m:t>
        </m:r>
        <m:r>
          <w:rPr>
            <w:rFonts w:ascii="Cambria Math" w:hAnsi="Cambria Math"/>
            <w:color w:val="1F4E9E"/>
          </w:rPr>
          <m:t>a</m:t>
        </m:r>
        <m:d>
          <m:dPr>
            <m:ctrlPr>
              <w:rPr>
                <w:rFonts w:ascii="Cambria Math" w:hAnsi="Cambria Math"/>
              </w:rPr>
            </m:ctrlPr>
          </m:dPr>
          <m:e>
            <m:r>
              <w:rPr>
                <w:rFonts w:ascii="Cambria Math" w:hAnsi="Cambria Math"/>
                <w:color w:val="1F4E9E"/>
              </w:rPr>
              <m:t>τ</m:t>
            </m:r>
          </m:e>
        </m:d>
      </m:oMath>
      <w:r>
        <w:rPr>
          <w:color w:val="1F4E9E"/>
        </w:rPr>
        <w:t xml:space="preserve"> with </w:t>
      </w:r>
      <m:oMath>
        <m:r>
          <w:rPr>
            <w:rFonts w:ascii="Cambria Math" w:hAnsi="Cambria Math"/>
            <w:color w:val="1F4E9E"/>
          </w:rPr>
          <m:t>a</m:t>
        </m:r>
      </m:oMath>
      <w:r>
        <w:rPr>
          <w:color w:val="1F4E9E"/>
        </w:rPr>
        <w:t xml:space="preserve"> falling linearly, and the corresponding ratio starts at about 1.1. Measured on the data, the per-participant log-rate slopes in the four quarters of the delay window are +0.58, +0.94, +0.72 and +0.62 s⁻¹, a first-to-last ratio of 0.94 — no deceleration at all, against the factor of 15 Model 1 requires.</w:t>
      </w:r>
    </w:p>
    <w:p w14:paraId="3050A787" w14:textId="77777777" w:rsidR="00205CBC" w:rsidRDefault="00000000">
      <w:r>
        <w:rPr>
          <w:color w:val="1F4E9E"/>
        </w:rPr>
        <w:t xml:space="preserve">The closed-form rate also predicts how the delay-period ramp should level off across cells. Writing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a</m:t>
            </m:r>
          </m:e>
          <m:sub>
            <m:r>
              <w:rPr>
                <w:rFonts w:ascii="Cambria Math" w:hAnsi="Cambria Math"/>
                <w:color w:val="1F4E9E"/>
              </w:rPr>
              <m:t>0</m:t>
            </m:r>
          </m:sub>
        </m:sSub>
        <m:r>
          <w:rPr>
            <w:rFonts w:ascii="Cambria Math" w:hAnsi="Cambria Math"/>
            <w:color w:val="1F4E9E"/>
          </w:rPr>
          <m:t xml:space="preserve"> - k·τ</m:t>
        </m:r>
      </m:oMath>
      <w:r>
        <w:rPr>
          <w:color w:val="1F4E9E"/>
        </w:rPr>
        <w:t xml:space="preserve"> with </w:t>
      </w:r>
      <m:oMath>
        <m:r>
          <w:rPr>
            <w:rFonts w:ascii="Cambria Math" w:hAnsi="Cambria Math"/>
            <w:color w:val="1F4E9E"/>
          </w:rPr>
          <m:t xml:space="preserve">k := </m:t>
        </m:r>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taking logarithms in Equation (22) gives Equation (24):</w:t>
      </w:r>
    </w:p>
    <w:p w14:paraId="2137B8FE" w14:textId="77777777" w:rsidR="00205CBC" w:rsidRDefault="00000000">
      <m:oMathPara>
        <m:oMath>
          <m:f>
            <m:fPr>
              <m:ctrlPr>
                <w:rPr>
                  <w:rFonts w:ascii="Cambria Math" w:hAnsi="Cambria Math"/>
                  <w:i/>
                  <w:color w:val="1F4E9E"/>
                </w:rPr>
              </m:ctrlPr>
            </m:fPr>
            <m:num>
              <m:r>
                <w:rPr>
                  <w:rFonts w:ascii="Cambria Math" w:hAnsi="Cambria Math"/>
                  <w:color w:val="1F4E9E"/>
                </w:rPr>
                <m:t>d(ln ν)</m:t>
              </m:r>
            </m:num>
            <m:den>
              <m:r>
                <w:rPr>
                  <w:rFonts w:ascii="Cambria Math" w:hAnsi="Cambria Math"/>
                  <w:color w:val="1F4E9E"/>
                </w:rPr>
                <m:t>dτ</m:t>
              </m:r>
            </m:den>
          </m:f>
          <m:r>
            <w:rPr>
              <w:rFonts w:ascii="Cambria Math" w:hAnsi="Cambria Math"/>
              <w:color w:val="1F4E9E"/>
            </w:rPr>
            <m:t xml:space="preserve"> = k·a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(24)</m:t>
          </m:r>
        </m:oMath>
      </m:oMathPara>
    </w:p>
    <w:p w14:paraId="71C09EAB" w14:textId="77777777" w:rsidR="00205CBC" w:rsidRDefault="00000000">
      <w:r>
        <w:rPr>
          <w:color w:val="1F4E9E"/>
        </w:rPr>
        <w:t xml:space="preserve">and </w:t>
      </w:r>
      <m:oMath>
        <m:f>
          <m:fPr>
            <m:ctrlPr>
              <w:rPr>
                <w:rFonts w:ascii="Cambria Math" w:hAnsi="Cambria Math"/>
                <w:i/>
                <w:color w:val="1F4E9E"/>
              </w:rPr>
            </m:ctrlPr>
          </m:fPr>
          <m:num>
            <m:sSup>
              <m:sSupPr>
                <m:ctrlPr>
                  <w:rPr>
                    <w:rFonts w:ascii="Cambria Math" w:hAnsi="Cambria Math"/>
                    <w:i/>
                    <w:color w:val="1F4E9E"/>
                  </w:rPr>
                </m:ctrlPr>
              </m:sSupPr>
              <m:e>
                <m:r>
                  <w:rPr>
                    <w:rFonts w:ascii="Cambria Math" w:hAnsi="Cambria Math"/>
                    <w:color w:val="1F4E9E"/>
                  </w:rPr>
                  <m:t>d</m:t>
                </m:r>
              </m:e>
              <m:sup>
                <m:r>
                  <w:rPr>
                    <w:rFonts w:ascii="Cambria Math" w:hAnsi="Cambria Math"/>
                    <w:color w:val="1F4E9E"/>
                  </w:rPr>
                  <m:t>2</m:t>
                </m:r>
              </m:sup>
            </m:sSup>
            <m:r>
              <w:rPr>
                <w:rFonts w:ascii="Cambria Math" w:hAnsi="Cambria Math"/>
                <w:color w:val="1F4E9E"/>
              </w:rPr>
              <m:t>(ln ν)</m:t>
            </m:r>
          </m:num>
          <m:den>
            <m:r>
              <w:rPr>
                <w:rFonts w:ascii="Cambria Math" w:hAnsi="Cambria Math"/>
                <w:color w:val="1F4E9E"/>
              </w:rPr>
              <m:t>d</m:t>
            </m:r>
            <m:sSup>
              <m:sSupPr>
                <m:ctrlPr>
                  <w:rPr>
                    <w:rFonts w:ascii="Cambria Math" w:hAnsi="Cambria Math"/>
                    <w:i/>
                    <w:color w:val="1F4E9E"/>
                  </w:rPr>
                </m:ctrlPr>
              </m:sSupPr>
              <m:e>
                <m:r>
                  <w:rPr>
                    <w:rFonts w:ascii="Cambria Math" w:hAnsi="Cambria Math"/>
                    <w:color w:val="1F4E9E"/>
                  </w:rPr>
                  <m:t>τ</m:t>
                </m:r>
              </m:e>
              <m:sup>
                <m:r>
                  <w:rPr>
                    <w:rFonts w:ascii="Cambria Math" w:hAnsi="Cambria Math"/>
                    <w:color w:val="1F4E9E"/>
                  </w:rPr>
                  <m:t>2</m:t>
                </m:r>
              </m:sup>
            </m:sSup>
          </m:den>
        </m:f>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k</m:t>
            </m:r>
          </m:e>
          <m:sup>
            <m:r>
              <w:rPr>
                <w:rFonts w:ascii="Cambria Math" w:hAnsi="Cambria Math"/>
                <w:color w:val="1F4E9E"/>
              </w:rPr>
              <m:t>2</m:t>
            </m:r>
          </m:sup>
        </m:sSup>
        <m:r>
          <w:rPr>
            <w:rFonts w:ascii="Cambria Math" w:hAnsi="Cambria Math"/>
            <w:color w:val="1F4E9E"/>
          </w:rPr>
          <m:t xml:space="preserve"> &lt; 0</m:t>
        </m:r>
      </m:oMath>
      <w:r>
        <w:rPr>
          <w:color w:val="1F4E9E"/>
        </w:rPr>
        <w:t xml:space="preserve">: the log rate rises at a rate proportional to the current standardized distance to the gate, and its curvature is negative and parameter-free. A cell with a higher rate has, by definition, a smaller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oMath>
      <w:r>
        <w:rPr>
          <w:color w:val="1F4E9E"/>
        </w:rPr>
        <w:t xml:space="preserve">, and therefore a shallower predicted slope, which shows that </w:t>
      </w:r>
      <w:r>
        <w:rPr>
          <w:color w:val="1F4E9E"/>
        </w:rPr>
        <w:lastRenderedPageBreak/>
        <w:t>no extra mechanism is needed for the apparent leveling-off of the rate late in the 2-s, high-coherence condition: it is simply the cell with the smallest distance to the gate, so its rate is predicted to flatten first.</w:t>
      </w:r>
    </w:p>
    <w:p w14:paraId="05940162" w14:textId="77777777" w:rsidR="00205CBC" w:rsidRDefault="00000000">
      <w:r>
        <w:rPr>
          <w:color w:val="1F4E9E"/>
        </w:rPr>
        <w:t>Saturation bounds the coherence effect, and reverses the expected interaction. The maintained level is capped pathwise at the internal threshold θ: once a trial's fluctuation reaches θ it is held there for the remainder of the delay, so its instantaneous partial-activation rate sits at the ceiling value regardless of coherence or duration. Writing F(D,c) for the fraction of trials at duration D and coherence c that have reached θ by a given point in the delay, conditioning the rate in Equation (22) on this event shows that as F(D,c) → 1 the rate approaches a value that no longer depends on coherence, so the two coherence levels converge onto the same capped rate. Because a longer stimulus duration raises F(D,c) at every coherence — more trials have had time to reach threshold — a coherence effect on delay-period rate that is larger after a long stimulus requires a substantial fraction of long-duration trials not to have reached threshold, which is the opposite of what saturation predicts. The model therefore predicts a coherence effect that shrinks, not grows, after a long stimulus, at every parameter setting compatible with the observed level of decision accuracy: the same parameters that would keep enough long-duration trials below threshold to avoid this prediction also depress accuracy below its observed level.</w:t>
      </w:r>
    </w:p>
    <w:p w14:paraId="1A05B870" w14:textId="77777777" w:rsidR="00205CBC" w:rsidRDefault="00000000">
      <w:pPr>
        <w:pStyle w:val="Titre3"/>
      </w:pPr>
      <w:r>
        <w:rPr>
          <w:color w:val="1F4E9E"/>
        </w:rPr>
        <w:t>Empirical results</w:t>
      </w:r>
    </w:p>
    <w:p w14:paraId="68815E20" w14:textId="77777777" w:rsidR="00205CBC" w:rsidRDefault="00000000">
      <w:pPr>
        <w:pStyle w:val="Titre4"/>
      </w:pPr>
      <w:r>
        <w:rPr>
          <w:color w:val="1F4E9E"/>
        </w:rPr>
        <w:t>Partial muscle activation (PMA) rate</w:t>
      </w:r>
    </w:p>
    <w:p w14:paraId="4604EFBB" w14:textId="77777777" w:rsidR="00205CBC" w:rsidRDefault="00000000">
      <w:r>
        <w:rPr>
          <w:color w:val="1F4E9E"/>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(linear-trend equivalent: F(1.70, 35.61) = 0.524, p = .567, ηp² = 0.024; Table S2) and did not </w:t>
      </w:r>
      <w:r>
        <w:rPr>
          <w:color w:val="1F4E9E"/>
        </w:rPr>
        <w:lastRenderedPageBreak/>
        <w:t xml:space="preserve">interact with duration  (linear-trend equivalent: F(1.74, 36.45) = 0.508, p = .580, ηp² = 0.024; Table S2), whereas the main effect of time bin remained significant  (linear-trend equivalent: F(1,21) = 35.238, p &lt; .001, ηp² = 0.627; Table S2), indicating continued ramping. An unbinned, point-process analysis of exact activation onset times confirms this ramp directly (Table S5): the log-rate slope was significantly positive (two-stage F(1,21) = 102.95, p &lt; .001) and shallower after a long stimulus and at high coherence, both expected under accumulation to an internal threshold. The binned and unbinned analyses are testing different quantities here, and are not in conflict: the trend contrast above asks whether the raw rate ramps at a coherence-dependent rate, and it does not, whereas the point-process estimate asks whether the log rate does, which Equation (24) requires that it should — a cell with a higher rate has by construction a smaller standardized distance to the gate and therefore a shallower log-rate slope. The residual coherence dependence of the log-rate slope accordingly runs in the direction saturation predicts, shallower at high coherence, and not in the direction continued motion-evidence accumulation would predict, so neither test implies that accumulation is still under way during the delay. Model 1, which has no temporal-preparation ramp, cannot account for this pattern alone. A significant time bin × duration interaction was also observed: PMA rate was generally higher in the 2 s than in the 0.3 s condition (F(1,21) = 33.19, p &lt; .001, ηp² = 0.612), and this difference increased over time  (linear-trend equivalent: F(1,21) = 11.898, p = .002, ηp² = 0.362; Table S2)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(F(1.92, 40.42) = 3.474, p = .042, ηp² = 0.142) showed a larger coherence effect on delay-period PMA rate after the 2 s than after the 0.3 s stimulus — the opposite of what the model predicts (Theoretical predictions, above), and the opposite </w:t>
      </w:r>
      <w:r>
        <w:rPr>
          <w:color w:val="1F4E9E"/>
        </w:rPr>
        <w:lastRenderedPageBreak/>
        <w:t>direction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model shows that the apparent leveling-off of the rate late in the 2 s, high-coherence condition requires no strategic adjustment, since a higher rate corresponds by construction to a smaller distance to the gate and therefore a shallower log-rate slope (Equation (24), above). We therefore withdraw the strategic-reduction account and instead report the coherence × duration interaction on delay-period PMA rate as a genuine point of disagreement between the model and the data (see Discussion), not a failure of parameter choice that a different setting would resolve: because the maintained level is capped at the internal threshold θ, the model predicts a coherence effect on delay-period rate that shrinks, not grows, after a long stimulus, at every parameter setting compatible with the observed level of decision accuracy (Theoretical predictions, above).</w:t>
      </w:r>
    </w:p>
    <w:p w14:paraId="466DA74F" w14:textId="77777777" w:rsidR="00205CBC" w:rsidRDefault="00000000">
      <w:r>
        <w:rPr>
          <w:color w:val="1F4E9E"/>
        </w:rPr>
        <w:t>Figure S2 shows this relation directly in the data, independent of any model fit: the six delay-period log-rate profiles (left) and, across the six stimulus-duration × coherence cells, the negative relation between a cell's rate and its log-rate slope (right), as Equation (24) requires.</w:t>
      </w:r>
    </w:p>
    <w:p w14:paraId="77B85B63" w14:textId="77777777" w:rsidR="00205CBC" w:rsidRDefault="00000000">
      <w:pPr>
        <w:pStyle w:val="Titre4"/>
      </w:pPr>
      <w:r>
        <w:rPr>
          <w:color w:val="1F4E9E"/>
        </w:rPr>
        <w:t>Mu–beta lateralization (MBL)</w:t>
      </w:r>
    </w:p>
    <w:p w14:paraId="7696CF0F" w14:textId="77777777" w:rsidR="00205CBC" w:rsidRDefault="00000000">
      <w:r>
        <w:t>Unlike the PMA rate, MBL amplitude showed a slight decrease before transitioning to sustained activity, at least in the highest coherence conditions. During the delay, sustained MBL activity increased over time</w:t>
      </w:r>
      <w:r>
        <w:rPr>
          <w:color w:val="1F4E9E"/>
        </w:rPr>
        <w:t xml:space="preserve"> (main effect of time bin;  [linear-trend equivalent: F(1,21) = 7.107, p = .014, ηp² = 0.253; Table S3]</w:t>
      </w:r>
      <w:r>
        <w:t>), suggesting that MBL also reflects temporal preparation. In contrast to the PMA rate, none of the effects of motion coherence or duration reached statistical significance</w:t>
      </w:r>
      <w:r>
        <w:rPr>
          <w:color w:val="1F4E9E"/>
        </w:rPr>
        <w:t xml:space="preserve"> (coherence: F(1.29,27.12) = 1.257, p = .285; duration: F(1,21) </w:t>
      </w:r>
      <w:r>
        <w:rPr>
          <w:color w:val="1F4E9E"/>
        </w:rPr>
        <w:lastRenderedPageBreak/>
        <w:t>= 3.177, p = .089)</w:t>
      </w:r>
      <w:r>
        <w:t>.</w:t>
      </w:r>
      <w:r>
        <w:rPr>
          <w:color w:val="1F4E9E"/>
        </w:rPr>
        <w:t xml:space="preserve"> As for the LRP, this coherence-independent delay-period ramp discriminates the two models: Model 1 predicts no systematic change in MBL amplitude across the delay, whereas Model 2 predicts the sustained increase observed here.</w:t>
      </w:r>
    </w:p>
    <w:p w14:paraId="12927A72" w14:textId="77777777" w:rsidR="00205CBC" w:rsidRDefault="00000000">
      <w:pPr>
        <w:pStyle w:val="Titre4"/>
      </w:pPr>
      <w:r>
        <w:rPr>
          <w:color w:val="1F4E9E"/>
        </w:rPr>
        <w:t>Lateralized readiness potential (LRP)</w:t>
      </w:r>
    </w:p>
    <w:p w14:paraId="187034F8" w14:textId="77777777" w:rsidR="00205CBC" w:rsidRDefault="00000000">
      <w:r>
        <w:t>During the delay, however, the analysis showed a clear effect of time bin</w:t>
      </w:r>
      <w:r>
        <w:rPr>
          <w:color w:val="1F4E9E"/>
        </w:rPr>
        <w:t xml:space="preserve"> (linear-trend equivalent: F(1,21) = 14.338, p = .001, ηp² = 0.406; Table S2)</w:t>
      </w:r>
      <w:r>
        <w:t>: the LRP became progressively more negative, consistent with temporal preparation for the upcoming response. This coherence-independent ramping activity persisted after the RS</w:t>
      </w:r>
      <w:r>
        <w:rPr>
          <w:color w:val="1F4E9E"/>
        </w:rPr>
        <w:t xml:space="preserve"> (F(1,21) = 14.076, p = .001, ηp² = 0.401)</w:t>
      </w:r>
      <w:r>
        <w:t xml:space="preserve"> and reached its largest negative amplitude at the time of the response</w:t>
      </w:r>
      <w:r>
        <w:rPr>
          <w:color w:val="1F4E9E"/>
        </w:rPr>
        <w:t xml:space="preserve"> (F(1,21) = 54.331, p &lt; .001, ηp² = 0.721). This coherence-independent delay-period ramp is itself diagnostic between the two models: Model 1, which has no temporal-preparation process, predicts a flat LRP throughout the delay, whereas Model 2 predicts the progressive ramp observed here.</w:t>
      </w:r>
      <w:r>
        <w:t xml:space="preserve"> These findings are partially consistent with our hypothesis. Although the LRP primarily reflects the final stage of motor preparation, it also indexes temporal preparation during the delay for the selected response, suggesting that the underlying neural circuits are informed about the outcome of the motion evidence accumulation process.</w:t>
      </w:r>
    </w:p>
    <w:p w14:paraId="23ACC17F" w14:textId="77777777" w:rsidR="00205CBC" w:rsidRDefault="00000000">
      <w:pPr>
        <w:pStyle w:val="Titre3"/>
      </w:pPr>
      <w:r>
        <w:rPr>
          <w:color w:val="1F4E9E"/>
        </w:rPr>
        <w:t>Simulation validation</w:t>
      </w:r>
    </w:p>
    <w:p w14:paraId="3587EFD7" w14:textId="77777777" w:rsidR="00205CBC" w:rsidRDefault="00000000">
      <w:pPr>
        <w:pStyle w:val="Titre4"/>
      </w:pPr>
      <w:r>
        <w:rPr>
          <w:color w:val="1F4E9E"/>
        </w:rPr>
        <w:t>Model 2, not Model 1, predicts the observed delay-period ramp</w:t>
      </w:r>
    </w:p>
    <w:p w14:paraId="3B08E89E" w14:textId="77777777" w:rsidR="00205CBC" w:rsidRDefault="00000000">
      <w:r>
        <w:rPr>
          <w:color w:val="1F4E9E"/>
        </w:rPr>
        <w:t>Behavior left the two models nearly indistinguishable (Behavior, above), as the shared architecture implies it must. The delay-period rate profile is where they separate, and it is a quantity that plays no part in fixing any of the parameter ranges.</w:t>
      </w:r>
    </w:p>
    <w:p w14:paraId="5FD0C33F" w14:textId="77777777" w:rsidR="00205CBC" w:rsidRDefault="00000000">
      <w:r>
        <w:rPr>
          <w:color w:val="1F4E9E"/>
        </w:rPr>
        <w:t xml:space="preserve">This is the one window in which the two models’ ranges separate cleanly (Figure S5, right-hand panels). Two quantities have to be reproduced together here: the rate at which partial activations occur during the delay, and the slope of its logarithm. Over the admissible draws </w:t>
      </w:r>
      <w:r>
        <w:rPr>
          <w:color w:val="1F4E9E"/>
        </w:rPr>
        <w:lastRenderedPageBreak/>
        <w:t>Model 1’s slope is centred near zero (median −0.02 s⁻¹, 5th to 95th percentile −0.20 to +0.09) and Model 2’s is positive (median +0.27, −0.06 to +1.98). Classified against their Monte-Carlo error, Model 1’s slope is significantly positive at 3% of its settings, significantly negative at 39%, and indistinguishable from zero at the remaining 58%; Model 2’s is significantly positive at 81%, negative at 5%, and flat at 14%. The distinction matters for what is being claimed: Model 1 does not generally produce a falling rate, which would be a different and weaker failure — it produces a flat one, which is exactly what a stationary architecture should produce and what the data contradict. Model 2 produces all six cell slopes significantly positive in 76 of its 148 admissible draws while Model 1 does so in none of its 164. Requiring both quantities at once is decisive, and is what the frontier of the preceding section predicts. No draw of Model 1 reaches the observed slope range at any rate; 16 draws of Model 2 do.</w:t>
      </w:r>
    </w:p>
    <w:p w14:paraId="66DF3D86" w14:textId="77777777" w:rsidR="00205CBC" w:rsidRDefault="00000000">
      <w:r>
        <w:rPr>
          <w:color w:val="1F4E9E"/>
        </w:rPr>
        <w:t>Figure S3 shows this directly. The two quantities are on the two axes, the frontier of the preceding section is the boundary of what Model 1 can produce, and the observation lies far outside it. Two features of the picture are worth stating rather than leaving to the eye. Model 1’s draws lie along the bottom of the plot at every rate, which is the frontier holding. And Model 2’s draws that reach the observed slope sit mostly at low rates — of the eighteen, all but two fall below 0.4 s⁻¹ — so while Model 2 can reproduce the ramp and the rate together where Model 1 cannot do so anywhere, it does this in a thin part of its sampled space. Restricted to draws whose rate brackets the observed one, neither model’s median profile rises as steeply as the data (Figure S4). That is a residual for Model 2, and it is the same residual the saturation argument above identifies from the other side.</w:t>
      </w:r>
    </w:p>
    <w:p w14:paraId="1D481E44" w14:textId="77777777" w:rsidR="00205CBC" w:rsidRDefault="00000000">
      <w:r>
        <w:rPr>
          <w:color w:val="1F4E9E"/>
        </w:rPr>
        <w:t xml:space="preserve">Because the largest slope over a set of noisy draws is biased upward, the draws that came closest were re-simulated at twenty times the trial count, on three independent seeds each. The result separates the two ways a draw can fail. Model 1’s draws that produce a rate at or above </w:t>
      </w:r>
      <w:r>
        <w:rPr>
          <w:color w:val="1F4E9E"/>
        </w:rPr>
        <w:lastRenderedPageBreak/>
        <w:t>the lowest one observed in any participant × condition cell (0.12 to 1.06 s⁻¹) have slopes between −0.007 and +0.009 s⁻¹, with Monte-Carlo standard errors of 0.031 or less: not a small ramp, but no ramp. Its draws that do produce a ramp — +0.13, +0.14 and +0.28 s⁻¹ — do so at rates of 0.041 to 0.073 s⁻¹, all of them below that lowest observed rate. The two routes agree on the same threshold: the frontier puts the largest rate compatible with the observed slope at 0.069 s⁻¹, and no re-simulated draw ramps above 0.073 s⁻¹. Six draws whose first-pass slopes had looked positive at a realistic rate (+0.02 to +0.16) fell to between −0.007 and +0.009 on re-simulation, which is what the upward bias of a maximum looks like when it is checked. The sampled space and the closed-form frontier therefore agree, by independent routes, on where the boundary lies: Model 1’s difficulty is not that it cannot generate a ramp, but that it cannot generate one while also generating partial activations at the observed rate.</w:t>
      </w:r>
    </w:p>
    <w:p w14:paraId="72BDCF59" w14:textId="77777777" w:rsidR="00205CBC" w:rsidRDefault="00000000">
      <w:r>
        <w:rPr>
          <w:color w:val="1F4E9E"/>
        </w:rPr>
        <w:t>The spread across draws is a property of the architecture and not of the simulation. Re-simulating forty admissible draws per model on four independent seeds each and decomposing the variance of the delay-period slope gives, for Model 1, a total standard deviation of 0.073 s⁻¹ of which 0.032 is Monte-Carlo and 0.066 between draws, and for Model 2 a total of 1.40 s⁻¹ of which 0.048 is Monte-Carlo and 1.40 between draws. Model 1’s slope is thus not merely centered near zero but pinned there: the whole span of its admissible parameter space moves it about a twentieth as much as Model 2’s space moves Model 2’s.</w:t>
      </w:r>
    </w:p>
    <w:p w14:paraId="76C86F75" w14:textId="77777777" w:rsidR="00205CBC" w:rsidRDefault="00000000">
      <w:r>
        <w:rPr>
          <w:color w:val="1F4E9E"/>
        </w:rPr>
        <w:t>Figure S4 shows this at the level of the rate curve itself, and shows it across the parameter space rather than at one setting: every admissible parameter set of Model 1 gives a delay-period profile that is flat or declining, while Model 2’s fan out, many of them tracking the observed rise and beyond. This is the same statement as the frontier, seen in the time domain rather than as a pair of summary numbers.</w:t>
      </w:r>
    </w:p>
    <w:p w14:paraId="0268CB87" w14:textId="77777777" w:rsidR="00205CBC" w:rsidRDefault="00000000">
      <w:r>
        <w:rPr>
          <w:color w:val="1F4E9E"/>
        </w:rPr>
        <w:lastRenderedPageBreak/>
        <w:t>One further quantity in this window is worth reporting as an effect size, because it is the paper’s clearest disagreement with its own model. Saturation of the maintained level predicts the coherence effect on the delay-period rate to shrink after a long stimulus (Proposition C.3); the data show it growing. Measured as the coherence effect after the 2 s stimulus minus the coherence effect after the 0.3 s stimulus, the observed value is +0.107 ± 0.051 s⁻¹, whereas the 5th to 95th percentiles of the admissible draws run from −0.764 to +0.001 s⁻¹ for Model 1 and −0.741 to +0.017 s⁻¹ for Model 2. The effect is significantly of the observed sign at 4% and 7% of admissible settings against significantly opposite at 85% and 87%. This is the one effect on which both architectures commit themselves clearly and both are wrong, and it is not a matter of parameter choice that some other setting in the same regime would repair.</w:t>
      </w:r>
    </w:p>
    <w:p w14:paraId="09549C70" w14:textId="77777777" w:rsidR="00205CBC" w:rsidRDefault="00000000">
      <w:r>
        <w:rPr>
          <w:color w:val="1F4E9E"/>
        </w:rPr>
        <w:t>The few settings that do produce the observed sign are worth naming, because they say what the disagreement costs. They are not scattered: they sit in one corner of the space, at the top of the range of the commitment threshold θ and the bottom of the range of the first-stage gain k, and in that corner the maintained level does not saturate. At 12% coherence a typical admissible draw has crossed θ before stimulus offset on 99% of long-duration trials; in this corner it has done so on 55 to 67% of them, and on essentially none of the short-duration trials. Proposition C.3 is derived from saturation, so where saturation fails the prediction has no premise and the interaction is free to reverse — which is what happens. The same corner supplies the two or three per cent of settings at which the response-time interaction of Proposition A.4 comes out with the wrong sign. The consequence is a real one and it should be stated plainly: within these architectures the observed growth of the coherence effect across the delay can be obtained, but only by giving up the saturation of the maintained level — which is the mechanism the rest of the account rests on. Nothing in the admissible space delivers both.</w:t>
      </w:r>
    </w:p>
    <w:p w14:paraId="0E02367B" w14:textId="77777777" w:rsidR="00205CBC" w:rsidRDefault="00000000">
      <w:pPr>
        <w:pStyle w:val="Titre2"/>
      </w:pPr>
      <w:r>
        <w:rPr>
          <w:color w:val="1F4E9E"/>
        </w:rPr>
        <w:t>RS-locked</w:t>
      </w:r>
    </w:p>
    <w:p w14:paraId="05F0C33A" w14:textId="77777777" w:rsidR="00205CBC" w:rsidRDefault="00000000">
      <w:pPr>
        <w:pStyle w:val="Titre3"/>
      </w:pPr>
      <w:r>
        <w:rPr>
          <w:color w:val="1F4E9E"/>
        </w:rPr>
        <w:lastRenderedPageBreak/>
        <w:t>Theoretical predictions</w:t>
      </w:r>
    </w:p>
    <w:p w14:paraId="007E354B" w14:textId="77777777" w:rsidR="00205CBC" w:rsidRDefault="00000000">
      <w:r>
        <w:rPr>
          <w:color w:val="1F4E9E"/>
        </w:rPr>
        <w:t>Both models predict an increase in mean response time following reductions in stimulus discriminability or duration, and predicts that this effect should be evident only in mean pre-motor execution time (PMET) — the interval from RS onset to muscle-activation onset — whereas mean motor execution time (MET) should remain unchanged (Fig. 1). The rate of partial muscle activations is predicted to fall after the response signal: the second-stage accumulation now sweeps the maintained signal toward the response criterion, so a gate crossing is far more likely to continue on to the response than to fall back below it, and trials are progressively absorbed as this stage proceeds; the decline should accordingly be steeper in whichever condition had the higher rate at response-signal onset — the long-duration condition.</w:t>
      </w:r>
    </w:p>
    <w:p w14:paraId="04CF3655" w14:textId="77777777" w:rsidR="00205CBC" w:rsidRDefault="00000000">
      <w:pPr>
        <w:pStyle w:val="Titre3"/>
      </w:pPr>
      <w:r>
        <w:rPr>
          <w:color w:val="1F4E9E"/>
        </w:rPr>
        <w:t>Empirical results</w:t>
      </w:r>
    </w:p>
    <w:p w14:paraId="1C641FEE" w14:textId="77777777" w:rsidR="00205CBC" w:rsidRDefault="00000000">
      <w:pPr>
        <w:pStyle w:val="Titre4"/>
      </w:pPr>
      <w:r>
        <w:t>Motion coherence and duration both modulate mean PMET but not mean MET</w:t>
      </w:r>
    </w:p>
    <w:p w14:paraId="4829A7E8" w14:textId="77777777" w:rsidR="00205CBC" w:rsidRDefault="00000000">
      <w:r>
        <w:tab/>
        <w:t>Mean PMET and mean MET (see Fig. 2 for their definition) for each experimental condition are shown in Figures 3C and 3D, respectively. Mean PMET exhibited the same pattern of statistical effects as mean RT</w:t>
      </w:r>
      <w:r>
        <w:rPr>
          <w:color w:val="1F4E9E"/>
        </w:rPr>
        <w:t xml:space="preserve"> (duration: F(1,21) = 69.60, p &lt; .001, ηp² = 0.768; coherence: F(1.60,33.50) = 14.00, p &lt; .001, ηp² = 0.400; duration × coherence: F(1.72,36.14) = 3.58, p = .045, ηp² = 0.145)</w:t>
      </w:r>
      <w:r>
        <w:t>. In contrast, mean MET was not significantly affected by any experimental factor</w:t>
      </w:r>
      <w:r>
        <w:rPr>
          <w:color w:val="1F4E9E"/>
        </w:rPr>
        <w:t xml:space="preserve"> (duration: F(1,21) = 1.09, p = .307, ηp² = 0.050; coherence: F(1.51,31.73) = 0.62, p = .499, ηp² = 0.029; duration × coherence: F(1.86,39.12) = 2.44, p = .104, ηp² = 0.104)</w:t>
      </w:r>
      <w:r>
        <w:t xml:space="preserve">. These findings are consistent with the general predictions of the extended evidence accumulation theory. The motion coherence × duration interaction observed for mean PMET reflected a larger motion coherence effect in the 0.3 s condition than in the 2 s condition. This </w:t>
      </w:r>
      <w:r>
        <w:lastRenderedPageBreak/>
        <w:t>pattern suggests that coherence-related differences in the starting point of the second accumulation phase were smaller in the 2 s condition than in the 0.3 s condition.</w:t>
      </w:r>
    </w:p>
    <w:p w14:paraId="011B3CD6" w14:textId="77777777" w:rsidR="00205CBC" w:rsidRDefault="00000000">
      <w:pPr>
        <w:pStyle w:val="Titre4"/>
      </w:pPr>
      <w:r>
        <w:rPr>
          <w:color w:val="1F4E9E"/>
        </w:rPr>
        <w:t>Partial muscle activation (PMA) rate</w:t>
      </w:r>
    </w:p>
    <w:p w14:paraId="0CF99125" w14:textId="77777777" w:rsidR="00205CBC" w:rsidRDefault="00000000">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w:t>
      </w:r>
      <w:r>
        <w:t xml:space="preserve">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w:t>
      </w:r>
    </w:p>
    <w:p w14:paraId="5D420325" w14:textId="77777777" w:rsidR="00205CBC" w:rsidRDefault="00000000">
      <w:pPr>
        <w:pStyle w:val="Titre4"/>
      </w:pPr>
      <w:r>
        <w:rPr>
          <w:color w:val="1F4E9E"/>
        </w:rPr>
        <w:t>Mu–beta lateralization (MBL)</w:t>
      </w:r>
    </w:p>
    <w:p w14:paraId="487F8B74" w14:textId="77777777" w:rsidR="00205CBC" w:rsidRDefault="00000000">
      <w:r>
        <w:t>After RS onset, MBL amplitude did not show any clear modulation</w:t>
      </w:r>
      <w:r>
        <w:rPr>
          <w:color w:val="1F4E9E"/>
        </w:rPr>
        <w:t xml:space="preserve"> (F(1,21) = 0.059, p = .810).</w:t>
      </w:r>
    </w:p>
    <w:p w14:paraId="6015BDAD" w14:textId="77777777" w:rsidR="00205CBC" w:rsidRDefault="00000000">
      <w:pPr>
        <w:pStyle w:val="Titre4"/>
      </w:pPr>
      <w:r>
        <w:rPr>
          <w:color w:val="1F4E9E"/>
        </w:rPr>
        <w:t>Lateralized readiness potential (LRP)</w:t>
      </w:r>
    </w:p>
    <w:p w14:paraId="3D1A7C33" w14:textId="77777777" w:rsidR="00205CBC" w:rsidRDefault="00000000">
      <w:r>
        <w:t>This coherence-independent ramping activity persisted after the RS</w:t>
      </w:r>
      <w:r>
        <w:rPr>
          <w:color w:val="1F4E9E"/>
        </w:rPr>
        <w:t xml:space="preserve"> (F(1,21) = 14.076, p = .001, ηp² = 0.401).</w:t>
      </w:r>
    </w:p>
    <w:p w14:paraId="3C1B8F03" w14:textId="77777777" w:rsidR="00205CBC" w:rsidRDefault="00000000">
      <w:pPr>
        <w:pStyle w:val="Titre3"/>
      </w:pPr>
      <w:r>
        <w:rPr>
          <w:color w:val="1F4E9E"/>
        </w:rPr>
        <w:lastRenderedPageBreak/>
        <w:t>Simulation validation</w:t>
      </w:r>
    </w:p>
    <w:p w14:paraId="084A41CE" w14:textId="77777777" w:rsidR="00205CBC" w:rsidRDefault="00000000">
      <w:r>
        <w:rPr>
          <w:color w:val="1F4E9E"/>
        </w:rPr>
        <w:t>The closed-form rate of Appendix C does not apply after the response signal: the criterion now acts as an absorbing barrier, and conditioning on survival destroys the Gaussianity on which Equation (22) depends, so the partial-activation-rate decline predicted above is not supplemented by a model-simulated curve for this window.</w:t>
      </w:r>
    </w:p>
    <w:p w14:paraId="23CB3BE7" w14:textId="77777777" w:rsidR="00205CBC" w:rsidRDefault="00000000">
      <w:r>
        <w:rPr>
          <w:color w:val="1F4E9E"/>
        </w:rPr>
        <w:t>The parameter-space evaluation does constrain this window through the dissociation between the two components of response time. The conditions are predicted to move the premotor component and to leave the motor component alone, since nothing in either architecture makes the passage from the gate to the response criterion depend on coherence or duration. In the data the duration effect on premotor execution time was +49 ± 6 ms and the duration effect on motor execution time was −0.5 ± 0.8 ms. Both architectures produce the premotor effect (Model 1, 3 to 108 ms; Model 2, 2 to 126 ms) and both leave the motor component nearly alone (−46 to 0 ms and −62 to −1 ms). The dissociation is therefore reproduced, though not exactly: the models do not leave the motor component strictly alone. Its duration effect is significantly below zero at 87% and 86% of admissible settings, with medians of −5 and −8 ms, where the data give an effect indistinguishable from zero. The discrepancy is small — a few milliseconds on a component whose mean is 161 ms — but it is systematic, and it says that the passage from the gate to the response criterion is slightly faster in the simulation after the short stimulus than after the long one, whereas in the muscle it is not. It remains a weak test of the architectures, and the reason is worth recording: before the admissibility screen was given a criterion on the two components’ levels, the same ranges ran to −183 and −730 ms. What makes the present ranges narrow is the screen, not the architecture.</w:t>
      </w:r>
    </w:p>
    <w:p w14:paraId="46C5CC02" w14:textId="77777777" w:rsidR="00205CBC" w:rsidRDefault="00000000">
      <w:pPr>
        <w:pStyle w:val="Titre2"/>
      </w:pPr>
      <w:r>
        <w:rPr>
          <w:color w:val="1F4E9E"/>
        </w:rPr>
        <w:t>Response-locked</w:t>
      </w:r>
    </w:p>
    <w:p w14:paraId="2D304052" w14:textId="77777777" w:rsidR="00205CBC" w:rsidRDefault="00000000">
      <w:pPr>
        <w:pStyle w:val="Titre3"/>
      </w:pPr>
      <w:r>
        <w:rPr>
          <w:color w:val="1F4E9E"/>
        </w:rPr>
        <w:t>Theoretical predictions</w:t>
      </w:r>
    </w:p>
    <w:p w14:paraId="2F204A3B" w14:textId="77777777" w:rsidR="00205CBC" w:rsidRDefault="00000000">
      <w:r>
        <w:rPr>
          <w:color w:val="1F4E9E"/>
        </w:rPr>
        <w:lastRenderedPageBreak/>
        <w:t>The same account of the RS-locked partial-activation decline (above) predicts that it continues into the response period.</w:t>
      </w:r>
    </w:p>
    <w:p w14:paraId="04CC7501" w14:textId="77777777" w:rsidR="00205CBC" w:rsidRDefault="00000000">
      <w:pPr>
        <w:pStyle w:val="Titre3"/>
      </w:pPr>
      <w:r>
        <w:rPr>
          <w:color w:val="1F4E9E"/>
        </w:rPr>
        <w:t>Empirical results</w:t>
      </w:r>
    </w:p>
    <w:p w14:paraId="32B16A5A" w14:textId="77777777" w:rsidR="00205CBC" w:rsidRDefault="00000000">
      <w:pPr>
        <w:pStyle w:val="Titre4"/>
      </w:pPr>
      <w:r>
        <w:rPr>
          <w:color w:val="1F4E9E"/>
        </w:rPr>
        <w:t>Partial muscle activation (PMA) rate</w:t>
      </w:r>
    </w:p>
    <w:p w14:paraId="5B49C101" w14:textId="77777777" w:rsidR="00205CBC" w:rsidRDefault="00000000">
      <w:r>
        <w:rPr>
          <w:color w:val="1F4E9E"/>
        </w:rPr>
        <w:t>The decrease in partial-activation rate that begins at RS onset (see RS-locked, above) continues into the response period.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duration has a significant main effect, F(1,21) = 7.61, p = .012, ηp² = 0.266, indicating a higher partial-activation rate in the 200 ms before the response after a 2-s than after a 0.3-s stimulus, while coherence and the duration × coherence interaction remain non-significant (coherence: F(1.90,39.98) = 1.85, p = .173; interaction: F(1.86,39.10) = 0.34, p = .697). The duration effect therefore agrees with the RS period, and the account given above for the RS-period decline extends to the response period as well.</w:t>
      </w:r>
    </w:p>
    <w:p w14:paraId="377E3A0D" w14:textId="77777777" w:rsidR="00205CBC" w:rsidRDefault="00000000">
      <w:pPr>
        <w:pStyle w:val="Titre4"/>
      </w:pPr>
      <w:r>
        <w:rPr>
          <w:color w:val="1F4E9E"/>
        </w:rPr>
        <w:t>Mu–beta lateralization (MBL)</w:t>
      </w:r>
    </w:p>
    <w:p w14:paraId="0085D3C7" w14:textId="77777777" w:rsidR="00205CBC" w:rsidRDefault="00000000">
      <w:r>
        <w:rPr>
          <w:color w:val="1F4E9E"/>
        </w:rPr>
        <w:t xml:space="preserve">MBL amplitude showed </w:t>
      </w:r>
      <w:r>
        <w:t>an attenuation before the response that was independent of the experimental factors</w:t>
      </w:r>
      <w:r>
        <w:rPr>
          <w:color w:val="1F4E9E"/>
        </w:rPr>
        <w:t xml:space="preserve"> (time: F(1,21) = 11.66, p = .003, ηp² = 0.357; duration: F(1,21) = 0.006, p = .937; coherence: F(1.95, 40.91) = 0.364, p = .692). </w:t>
      </w:r>
      <w:r>
        <w:t>We do not interpret this effect further, as the temporal resolution of MBL is too low to support reliable inferences during the RS and response periods.</w:t>
      </w:r>
    </w:p>
    <w:p w14:paraId="291A1E9C" w14:textId="77777777" w:rsidR="00205CBC" w:rsidRDefault="00000000">
      <w:pPr>
        <w:pStyle w:val="Titre4"/>
      </w:pPr>
      <w:r>
        <w:rPr>
          <w:color w:val="1F4E9E"/>
        </w:rPr>
        <w:lastRenderedPageBreak/>
        <w:t>Lateralized readiness potential (LRP)</w:t>
      </w:r>
    </w:p>
    <w:p w14:paraId="6A150BAE" w14:textId="77777777" w:rsidR="00205CBC" w:rsidRDefault="00000000">
      <w:r>
        <w:rPr>
          <w:color w:val="1F4E9E"/>
        </w:rPr>
        <w:t xml:space="preserve">The LRP </w:t>
      </w:r>
      <w:r>
        <w:t>reached its largest negative amplitude at the time of the response</w:t>
      </w:r>
      <w:r>
        <w:rPr>
          <w:color w:val="1F4E9E"/>
        </w:rPr>
        <w:t xml:space="preserve"> (F(1,21) = 54.331, p &lt; .001, ηp² = 0.721).</w:t>
      </w:r>
    </w:p>
    <w:p w14:paraId="446E02B7" w14:textId="77777777" w:rsidR="0013106D" w:rsidRDefault="00D43234" w:rsidP="00FB45DD">
      <w:pPr>
        <w:pStyle w:val="Titre1"/>
        <w:spacing w:before="480"/>
      </w:pPr>
      <w:r w:rsidRPr="00D43234">
        <w:t>Discussion</w:t>
      </w:r>
    </w:p>
    <w:p w14:paraId="4B6B094F" w14:textId="77777777" w:rsidR="00BF3075" w:rsidRDefault="0049361F" w:rsidP="0049361F">
      <w:r>
        <w:tab/>
        <w:t>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was measured from RS onset, 3 s after stimulus offset. Delayed report latency therefore remained tied to prior motion evidence.</w:t>
      </w:r>
    </w:p>
    <w:p w14:paraId="64510BF1" w14:textId="77777777" w:rsidR="009A78E1" w:rsidRDefault="00BF3075" w:rsidP="00962996">
      <w:pPr>
        <w:pStyle w:val="NormalWeb"/>
      </w:pPr>
      <w:r>
        <w:rPr>
          <w:color w:val="1F4E9E"/>
        </w:rPr>
        <w:tab/>
        <w:t xml:space="preserve">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w:t>
      </w:r>
      <w:r>
        <w:rPr>
          <w:color w:val="1F4E9E"/>
        </w:rPr>
        <w:lastRenderedPageBreak/>
        <w:t>response rather than remaining partial. These observations support the core proposal that sensory evidence is accumulated and transmitted to motor circuits, where it is maintained until action is permitted.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1443FA24"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p>
    <w:p w14:paraId="0EDFE589" w14:textId="77777777" w:rsidR="009C3C7D" w:rsidRDefault="00613990" w:rsidP="00905AFC">
      <w:pPr>
        <w:pStyle w:val="NormalWeb"/>
      </w:pPr>
      <w:r>
        <w:tab/>
        <w:t xml:space="preserve">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w:t>
      </w:r>
      <w:r>
        <w:lastRenderedPageBreak/>
        <w:t>and temporal preparation; the analogous interaction on delay-period PMA rate points the same qualitative way but, as discussed below, is a model limitation rather than independent support.</w:t>
      </w:r>
    </w:p>
    <w:p w14:paraId="3E7583EC" w14:textId="77777777" w:rsidR="007D0193" w:rsidRDefault="00613990" w:rsidP="007D4B3C">
      <w:pPr>
        <w:pStyle w:val="NormalWeb"/>
      </w:pPr>
      <w:r>
        <w:rPr>
          <w:color w:val="1F4E9E"/>
        </w:rPr>
        <w:tab/>
        <w:t>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The parameter-space evaluation confirms this: at every parameter setting compatible with observed accuracy, the delay-period coherence effect is smaller after 2 s than 0.3 s (Results; Appendix C) — opposite to what is observed. We therefore treat this interaction as a model limitation rather than support for it, and no longer read it as evidence for Model 2 over Model 1.</w:t>
      </w:r>
    </w:p>
    <w:p w14:paraId="3D52D5B1" w14:textId="77777777" w:rsidR="008420E1" w:rsidRDefault="00273CFA" w:rsidP="008420E1">
      <w:pPr>
        <w:pStyle w:val="NormalWeb"/>
      </w:pPr>
      <w:r>
        <w:tab/>
        <w:t xml:space="preserve">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w:t>
      </w:r>
      <w:r>
        <w:lastRenderedPageBreak/>
        <w:t>confined to upstream motor representations, but also shaped later-stage effector-selective motor preparation.</w:t>
      </w:r>
    </w:p>
    <w:p w14:paraId="2DDCC2CA" w14:textId="77777777" w:rsidR="008420E1" w:rsidRPr="008420E1" w:rsidRDefault="009A2BA9" w:rsidP="008420E1">
      <w:pPr>
        <w:pStyle w:val="NormalWeb"/>
      </w:pPr>
      <w:r>
        <w:tab/>
        <w:t>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14:paraId="092990E9" w14:textId="77777777" w:rsidR="00205CBC" w:rsidRDefault="00000000">
      <w:r>
        <w:rPr>
          <w:color w:val="1F4E9E"/>
        </w:rPr>
        <w:t>It is worth saying what the modeling in this paper does and does not establish. No parameter is estimated from these data: the predictions tested are ordinal, derived analytically (Appendices A–E), and claimed to hold at every admissible parameter setting, and the parameter-space evaluation checks that claim over the ranges of Table A1 rather than at a single point. Nothing below is therefore a statement about any participant’s parameters, and no parameter value is interpreted. What the evaluation does establish is a difference in what the two architectures can produce at all: over the admissible space, the model without temporal preparation cannot generate a delay-period ramp of the observed size while also generating partial activations at the observed rate, and the closed-form frontier of Appendix C shows why — the two are governed by the same quantity in opposite directions. In this design PMA rate was therefore not merely the most sensitive measure examined but the only one that separated the two architectures at all.</w:t>
      </w:r>
    </w:p>
    <w:p w14:paraId="1AA8DFBD" w14:textId="77777777" w:rsidR="00205CBC" w:rsidRDefault="00000000">
      <w:r>
        <w:rPr>
          <w:color w:val="1F4E9E"/>
        </w:rPr>
        <w:lastRenderedPageBreak/>
        <w:t>A model limitation deserves mention: the coherence × duration interaction on delay-period PMA rate could not be reproduced in the observed direction (above) — a genuine disagreement between the architecture and the data.</w:t>
      </w:r>
    </w:p>
    <w:p w14:paraId="5B9C05C3" w14:textId="77777777" w:rsidR="00205CBC" w:rsidRDefault="00000000">
      <w:r>
        <w:rPr>
          <w:color w:val="1F4E9E"/>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0B95FB36" w14:textId="77777777"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tab/>
        <w:t>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evidence accumulation can bridge perception, decision maintenance, and action, reframing motor preparation as an active substrate of decision maintenance rather than a passive buffer.</w:t>
      </w:r>
    </w:p>
    <w:p w14:paraId="13D2F347" w14:textId="77777777" w:rsidR="00CF1D54" w:rsidRDefault="00D43234" w:rsidP="00A30742">
      <w:pPr>
        <w:pStyle w:val="Titre1"/>
        <w:spacing w:after="0"/>
        <w:jc w:val="center"/>
      </w:pPr>
      <w:r>
        <w:lastRenderedPageBreak/>
        <w:t>Figures</w:t>
      </w:r>
    </w:p>
    <w:p w14:paraId="1ECBA829" w14:textId="77777777" w:rsidR="00A30742" w:rsidRPr="00CF1D54" w:rsidRDefault="00A30742" w:rsidP="008C4732">
      <w:pPr>
        <w:rPr>
          <w:b/>
          <w:sz w:val="28"/>
        </w:rPr>
      </w:pPr>
      <w:r>
        <w:rPr>
          <w:noProof/>
        </w:rPr>
        <w:drawing>
          <wp:inline distT="0" distB="0" distL="0" distR="0" wp14:anchorId="60D6B17E" wp14:editId="27641C18">
            <wp:extent cx="5760720" cy="2015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2015360"/>
                    </a:xfrm>
                    <a:prstGeom prst="rect">
                      <a:avLst/>
                    </a:prstGeom>
                  </pic:spPr>
                </pic:pic>
              </a:graphicData>
            </a:graphic>
          </wp:inline>
        </w:drawing>
      </w:r>
      <w:r>
        <w:br/>
      </w:r>
      <w:r>
        <w:rPr>
          <w:noProof/>
        </w:rPr>
        <w:drawing>
          <wp:inline distT="0" distB="0" distL="0" distR="0" wp14:anchorId="46969F15" wp14:editId="1B61C4B8">
            <wp:extent cx="5760720" cy="2015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2015360"/>
                    </a:xfrm>
                    <a:prstGeom prst="rect">
                      <a:avLst/>
                    </a:prstGeom>
                  </pic:spPr>
                </pic:pic>
              </a:graphicData>
            </a:graphic>
          </wp:inline>
        </w:drawing>
      </w:r>
    </w:p>
    <w:p w14:paraId="05FEFDAC" w14:textId="77777777"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color w:val="1F4E9E"/>
        </w:rPr>
        <w:t>Fig 1. Simulated dynamics under the two candidate models. Mean gated motor-preparatory signal at a representative admissible parameter vector — the sampled draw closest to the coordinate-wise median of the parameters of the draws admissible in both models, with the ramp magnitude β at the median of the values admissible under Model 2 (Materials and Methods), time-locked to the four trial events (stimulus onset, stimulus offset, response signal, response); each trial is censored at its own response. Each thin line is the mean over trials of one admissible parameter set, and the thick line the mean over parameter sets; thirty sets are shown, the same ones in both panels, so that the two differ in β and in nothing else. The variability displayed is therefore variability across the parameter space rather than across trials at one setting, which is the variability every claim in the paper is about. The vertical axis is in units of each set’s own distance from the maintained level to the gate, so that sets with different amplitudes are superimposable; 0 is the maintained level and 1 the gate. Color denotes motion coherence and line style denotes stimulus duration; dotted lines mark the internal threshold θ and the gate g. Top: Model 2 (maintained evidence-dependent state plus temporal preparation). Bottom: Model 1 (maintained evidence-dependent state only), at the same parameter vector with</w:t>
      </w:r>
      <m:oMath>
        <m:r>
          <w:rPr>
            <w:rFonts w:ascii="Cambria Math" w:hAnsi="Cambria Math"/>
          </w:rPr>
          <m:t>β</m:t>
        </m:r>
        <m:r>
          <m:rPr>
            <m:nor/>
          </m:rPr>
          <w:rPr>
            <w:rFonts w:ascii="Cambria Math" w:hAnsi="Cambria Math"/>
          </w:rPr>
          <m:t>=0</m:t>
        </m:r>
      </m:oMath>
      <w:r>
        <w:rPr>
          <w:color w:val="1F4E9E"/>
        </w:rPr>
        <w:t xml:space="preserve">. The two panels therefore differ in β and in nothing else, which is the only term in which the architectures differ. The two models differ only during the delay period, where Model 2 climbs toward the gate as the response signal approaches and Model 1 does not. The panels show means across simulated trials: the clean separation </w:t>
      </w:r>
      <w:r>
        <w:rPr>
          <w:color w:val="1F4E9E"/>
        </w:rPr>
        <w:lastRenderedPageBreak/>
        <w:t>between conditions visible here is a population-level regularity, not something any single trial exhibits on its own — compare Fig 2B, one simulated trial.</w:t>
      </w:r>
    </w:p>
    <w:p w14:paraId="22565B9F" w14:textId="77777777" w:rsidR="00D42B52" w:rsidRPr="00F5114B" w:rsidRDefault="00436157" w:rsidP="00436157">
      <w:pPr>
        <w:spacing w:after="0" w:line="360" w:lineRule="auto"/>
        <w:rPr>
          <w:rStyle w:val="Marquedecommentaire"/>
          <w:sz w:val="24"/>
          <w:szCs w:val="24"/>
        </w:rPr>
      </w:pPr>
      <w:r>
        <w:rPr>
          <w:noProof/>
        </w:rPr>
        <w:lastRenderedPageBreak/>
        <w:drawing>
          <wp:inline distT="0" distB="0" distL="0" distR="0" wp14:anchorId="10C48364" wp14:editId="5DF13DD0">
            <wp:extent cx="5760720" cy="10515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nelA.png"/>
                    <pic:cNvPicPr/>
                  </pic:nvPicPr>
                  <pic:blipFill>
                    <a:blip r:embed="rId16"/>
                    <a:stretch>
                      <a:fillRect/>
                    </a:stretch>
                  </pic:blipFill>
                  <pic:spPr>
                    <a:xfrm>
                      <a:off x="0" y="0"/>
                      <a:ext cx="5760720" cy="1051521"/>
                    </a:xfrm>
                    <a:prstGeom prst="rect">
                      <a:avLst/>
                    </a:prstGeom>
                  </pic:spPr>
                </pic:pic>
              </a:graphicData>
            </a:graphic>
          </wp:inline>
        </w:drawing>
      </w:r>
      <w:r>
        <w:br/>
      </w:r>
      <w:r>
        <w:rPr>
          <w:noProof/>
        </w:rPr>
        <w:drawing>
          <wp:inline distT="0" distB="0" distL="0" distR="0" wp14:anchorId="0ADD2E08" wp14:editId="623B97BC">
            <wp:extent cx="5760720" cy="27305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ngle_labeled.png"/>
                    <pic:cNvPicPr/>
                  </pic:nvPicPr>
                  <pic:blipFill>
                    <a:blip r:embed="rId17"/>
                    <a:stretch>
                      <a:fillRect/>
                    </a:stretch>
                  </pic:blipFill>
                  <pic:spPr>
                    <a:xfrm>
                      <a:off x="0" y="0"/>
                      <a:ext cx="5760720" cy="2730539"/>
                    </a:xfrm>
                    <a:prstGeom prst="rect">
                      <a:avLst/>
                    </a:prstGeom>
                  </pic:spPr>
                </pic:pic>
              </a:graphicData>
            </a:graphic>
          </wp:inline>
        </w:drawing>
      </w:r>
    </w:p>
    <w:p w14:paraId="660595B6" w14:textId="77777777"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Muscle activation begins when motor preparation exceeds gating inhibition</w:t>
      </w:r>
      <w:r w:rsidR="00B926D3">
        <w:rPr>
          <w:sz w:val="22"/>
          <w:szCs w:val="22"/>
        </w:rPr>
        <w:t xml:space="preserve"> (parameter </w:t>
      </w:r>
      <w:r w:rsidR="00B926D3" w:rsidRPr="00B926D3">
        <w:rPr>
          <w:i/>
          <w:sz w:val="22"/>
          <w:szCs w:val="22"/>
        </w:rPr>
        <w:t>g</w:t>
      </w:r>
      <w:r w:rsidR="00B926D3">
        <w:rPr>
          <w:sz w:val="22"/>
          <w:szCs w:val="22"/>
        </w:rPr>
        <w:t>)</w:t>
      </w:r>
      <w:r w:rsidR="00D42B52">
        <w:rPr>
          <w:sz w:val="22"/>
          <w:szCs w:val="22"/>
        </w:rPr>
        <w:t xml:space="preserve">. The response time (RT) corresponds to the latency between RS onset and the response. In the present study, it is decomposed into a pre-motor execution time (PMET) and a motor execution time (MET), based on the onset of muscle activation leading up to the response. </w:t>
      </w:r>
      <w:r>
        <w:t xml:space="preserve"> </w:t>
      </w:r>
      <w:r>
        <w:rPr>
          <w:color w:val="1F4E9E"/>
        </w:rPr>
        <w:t>Panel B shows one simulated trial from Model 2 at the representative admissible parameter vector of Fig 1</w:t>
      </w:r>
      <w:r>
        <w:t>,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7F4D54BC"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54B8A688" w14:textId="77777777" w:rsidR="00902774" w:rsidRDefault="00902774" w:rsidP="00D56E48">
      <w:pPr>
        <w:spacing w:line="360" w:lineRule="auto"/>
        <w:rPr>
          <w:b/>
          <w:sz w:val="28"/>
        </w:rPr>
      </w:pPr>
      <w:r>
        <w:rPr>
          <w:b/>
          <w:noProof/>
          <w:sz w:val="28"/>
          <w:lang w:val="fr-FR" w:eastAsia="fr-FR"/>
        </w:rPr>
        <w:lastRenderedPageBreak/>
        <w:drawing>
          <wp:inline distT="0" distB="0" distL="0" distR="0" wp14:anchorId="2338F54B" wp14:editId="5B270A99">
            <wp:extent cx="5753100" cy="1435100"/>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4AD9A15F" w14:textId="77777777"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F4E9E"/>
        </w:rPr>
        <w:t xml:space="preserve">Faint lines show individual participants. Error bars represent a within-subjects interval about the mean, computed on Cousineau–Morey-normalized values (Morey, 2008) in every panel: ±1 within-subjects SEM for RT, PMET, and MET, and, for accuracy, a 95% percentile bootstrap interval over the normalized values (10,000 resamples over participants, Morey-scaled), which is asymmetric where the data approach the [0, 1] bounds and for which a symmetric SEM would not be appropriate. </w:t>
      </w:r>
      <w:r>
        <w:t>s = seconds.</w:t>
      </w:r>
    </w:p>
    <w:p w14:paraId="1A109DEB"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0A870323" w14:textId="77777777" w:rsidR="00226E36" w:rsidRDefault="00902774" w:rsidP="00226E36">
      <w:pPr>
        <w:spacing w:line="360" w:lineRule="auto"/>
        <w:rPr>
          <w:b/>
          <w:sz w:val="28"/>
        </w:rPr>
      </w:pPr>
      <w:r>
        <w:rPr>
          <w:b/>
          <w:noProof/>
          <w:sz w:val="28"/>
          <w:lang w:val="fr-FR" w:eastAsia="fr-FR"/>
        </w:rPr>
        <w:lastRenderedPageBreak/>
        <w:drawing>
          <wp:inline distT="0" distB="0" distL="0" distR="0" wp14:anchorId="03CE6CF2" wp14:editId="21363FD5">
            <wp:extent cx="5753100" cy="5842000"/>
            <wp:effectExtent l="0" t="0" r="0" b="6350"/>
            <wp:docPr id="13" name="Imag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7890031E" w14:textId="777777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electromyographic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electromyogra</w:t>
      </w:r>
      <w:r w:rsidR="00D77B06">
        <w:rPr>
          <w:sz w:val="22"/>
          <w:szCs w:val="22"/>
        </w:rPr>
        <w:t>phic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47D498F3" w14:textId="77777777" w:rsidR="00DC5089" w:rsidRDefault="00DC5089" w:rsidP="002B60E0">
      <w:pPr>
        <w:pStyle w:val="Sansinterligne"/>
        <w:rPr>
          <w:sz w:val="22"/>
        </w:rPr>
      </w:pPr>
    </w:p>
    <w:p w14:paraId="41FC7047" w14:textId="77777777" w:rsidR="00DC5089" w:rsidRPr="002B60E0" w:rsidRDefault="00DC5089" w:rsidP="002B60E0">
      <w:pPr>
        <w:pStyle w:val="Sansinterligne"/>
        <w:rPr>
          <w:sz w:val="22"/>
          <w:szCs w:val="22"/>
        </w:rPr>
      </w:pPr>
    </w:p>
    <w:p w14:paraId="0C6C3102"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2DA0CBB5" w14:textId="77777777" w:rsidR="00ED700A" w:rsidRPr="00C732E4" w:rsidRDefault="007E26FC" w:rsidP="00C732E4">
      <w:pPr>
        <w:pStyle w:val="Titre1"/>
        <w:jc w:val="center"/>
      </w:pPr>
      <w:r>
        <w:lastRenderedPageBreak/>
        <w:t>Tables</w:t>
      </w:r>
    </w:p>
    <w:p w14:paraId="0CB39827" w14:textId="77777777"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60E0C8E3"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483A8C36" w14:textId="77777777" w:rsidTr="00D34E37">
        <w:trPr>
          <w:trHeight w:val="415"/>
        </w:trPr>
        <w:tc>
          <w:tcPr>
            <w:tcW w:w="2180" w:type="dxa"/>
            <w:tcBorders>
              <w:top w:val="single" w:sz="4" w:space="0" w:color="auto"/>
              <w:left w:val="nil"/>
              <w:bottom w:val="single" w:sz="12" w:space="0" w:color="auto"/>
              <w:right w:val="nil"/>
            </w:tcBorders>
            <w:vAlign w:val="bottom"/>
            <w:hideMark/>
          </w:tcPr>
          <w:p w14:paraId="2A879990" w14:textId="77777777" w:rsidR="00EC2B92" w:rsidRPr="000528D7" w:rsidRDefault="00320C6D" w:rsidP="004C7964">
            <w:pPr>
              <w:spacing w:after="0" w:line="240" w:lineRule="auto"/>
              <w:jc w:val="center"/>
              <w:rPr>
                <w:rFonts w:eastAsia="Times New Roman"/>
                <w:bCs/>
                <w:color w:val="000000"/>
                <w:sz w:val="22"/>
                <w:szCs w:val="20"/>
              </w:rPr>
            </w:pPr>
            <w:r>
              <w:rPr>
                <w:rFonts w:eastAsia="Times New Roman"/>
                <w:bCs/>
                <w:sz w:val="22"/>
                <w:szCs w:val="20"/>
              </w:rPr>
              <w:t>Dependent</w:t>
            </w:r>
            <w:r w:rsidR="00EC2B92" w:rsidRPr="000528D7">
              <w:rPr>
                <w:rFonts w:eastAsia="Times New Roman"/>
                <w:bCs/>
                <w:sz w:val="22"/>
                <w:szCs w:val="20"/>
              </w:rPr>
              <w:t xml:space="preserve"> variable</w:t>
            </w:r>
          </w:p>
        </w:tc>
        <w:tc>
          <w:tcPr>
            <w:tcW w:w="236" w:type="dxa"/>
            <w:tcBorders>
              <w:top w:val="single" w:sz="4" w:space="0" w:color="auto"/>
              <w:left w:val="nil"/>
              <w:bottom w:val="single" w:sz="12" w:space="0" w:color="auto"/>
              <w:right w:val="nil"/>
            </w:tcBorders>
          </w:tcPr>
          <w:p w14:paraId="2F1AEEC6"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3746E404"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35A64F3C"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sz w:val="22"/>
                <w:szCs w:val="20"/>
              </w:rPr>
              <w:t>-value</w:t>
            </w:r>
          </w:p>
        </w:tc>
      </w:tr>
      <w:tr w:rsidR="00EC2B92" w:rsidRPr="00220C0A" w14:paraId="478E5ED0" w14:textId="77777777" w:rsidTr="00D34E37">
        <w:trPr>
          <w:trHeight w:val="316"/>
        </w:trPr>
        <w:tc>
          <w:tcPr>
            <w:tcW w:w="2180" w:type="dxa"/>
            <w:vMerge w:val="restart"/>
            <w:tcBorders>
              <w:top w:val="single" w:sz="12" w:space="0" w:color="auto"/>
              <w:left w:val="nil"/>
              <w:bottom w:val="nil"/>
              <w:right w:val="nil"/>
            </w:tcBorders>
            <w:noWrap/>
            <w:vAlign w:val="center"/>
            <w:hideMark/>
          </w:tcPr>
          <w:p w14:paraId="0921BE2D"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Accuracy</w:t>
            </w:r>
          </w:p>
        </w:tc>
        <w:tc>
          <w:tcPr>
            <w:tcW w:w="236" w:type="dxa"/>
            <w:tcBorders>
              <w:top w:val="single" w:sz="12" w:space="0" w:color="auto"/>
              <w:left w:val="nil"/>
              <w:bottom w:val="nil"/>
              <w:right w:val="nil"/>
            </w:tcBorders>
          </w:tcPr>
          <w:p w14:paraId="6E896D8E"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293CDD0B"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12" w:space="0" w:color="auto"/>
              <w:left w:val="nil"/>
              <w:bottom w:val="nil"/>
              <w:right w:val="nil"/>
            </w:tcBorders>
            <w:noWrap/>
            <w:vAlign w:val="bottom"/>
            <w:hideMark/>
          </w:tcPr>
          <w:p w14:paraId="1EF8BD99"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sz w:val="20"/>
                <w:szCs w:val="20"/>
              </w:rPr>
              <w:t xml:space="preserve"> </w:t>
            </w:r>
            <w:r w:rsidRPr="00040630">
              <w:rPr>
                <w:rFonts w:eastAsia="Times New Roman"/>
                <w:i/>
                <w:color w:val="000000"/>
                <w:sz w:val="20"/>
                <w:szCs w:val="20"/>
              </w:rPr>
              <w:t>p</w:t>
            </w:r>
            <w:r>
              <w:rPr>
                <w:rFonts w:eastAsia="Times New Roman"/>
                <w:sz w:val="20"/>
                <w:szCs w:val="20"/>
              </w:rPr>
              <w:t xml:space="preserve"> </w:t>
            </w:r>
            <w:r w:rsidR="00EC2B92" w:rsidRPr="000528D7">
              <w:rPr>
                <w:rFonts w:eastAsia="Times New Roman"/>
                <w:sz w:val="20"/>
                <w:szCs w:val="20"/>
              </w:rPr>
              <w:t>&lt; .001</w:t>
            </w:r>
          </w:p>
        </w:tc>
      </w:tr>
      <w:tr w:rsidR="00EC2B92" w:rsidRPr="00220C0A" w14:paraId="1654CDD9" w14:textId="77777777" w:rsidTr="00D34E37">
        <w:trPr>
          <w:trHeight w:val="276"/>
        </w:trPr>
        <w:tc>
          <w:tcPr>
            <w:tcW w:w="2180" w:type="dxa"/>
            <w:vMerge/>
            <w:tcBorders>
              <w:top w:val="nil"/>
              <w:left w:val="nil"/>
              <w:bottom w:val="nil"/>
              <w:right w:val="nil"/>
            </w:tcBorders>
            <w:vAlign w:val="center"/>
            <w:hideMark/>
          </w:tcPr>
          <w:p w14:paraId="3BD82F4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6F9B595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35C02E0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28B3D73B"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5DD7F6D8" w14:textId="77777777" w:rsidTr="00D34E37">
        <w:trPr>
          <w:trHeight w:val="276"/>
        </w:trPr>
        <w:tc>
          <w:tcPr>
            <w:tcW w:w="2180" w:type="dxa"/>
            <w:vMerge/>
            <w:tcBorders>
              <w:top w:val="nil"/>
              <w:left w:val="nil"/>
              <w:bottom w:val="nil"/>
              <w:right w:val="nil"/>
            </w:tcBorders>
            <w:vAlign w:val="center"/>
            <w:hideMark/>
          </w:tcPr>
          <w:p w14:paraId="4E69C863"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4B394D8A"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0607D3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40B0E898"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0E17D2AE" w14:textId="77777777" w:rsidTr="00D34E37">
        <w:trPr>
          <w:trHeight w:val="194"/>
        </w:trPr>
        <w:tc>
          <w:tcPr>
            <w:tcW w:w="2180" w:type="dxa"/>
            <w:tcBorders>
              <w:top w:val="nil"/>
              <w:left w:val="nil"/>
              <w:bottom w:val="nil"/>
              <w:right w:val="nil"/>
            </w:tcBorders>
            <w:noWrap/>
            <w:vAlign w:val="center"/>
            <w:hideMark/>
          </w:tcPr>
          <w:p w14:paraId="41259E53"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5B37B888"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03AF2635"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715968D6" w14:textId="77777777" w:rsidR="00EC2B92" w:rsidRPr="000528D7" w:rsidRDefault="00EC2B92" w:rsidP="004C7964">
            <w:pPr>
              <w:spacing w:after="0" w:line="240" w:lineRule="auto"/>
              <w:jc w:val="center"/>
              <w:rPr>
                <w:rFonts w:eastAsia="Times New Roman"/>
                <w:sz w:val="20"/>
                <w:szCs w:val="20"/>
              </w:rPr>
            </w:pPr>
          </w:p>
        </w:tc>
      </w:tr>
      <w:tr w:rsidR="00EC2B92" w:rsidRPr="00220C0A" w14:paraId="133B181F" w14:textId="77777777" w:rsidTr="00D34E37">
        <w:trPr>
          <w:trHeight w:val="276"/>
        </w:trPr>
        <w:tc>
          <w:tcPr>
            <w:tcW w:w="2180" w:type="dxa"/>
            <w:vMerge w:val="restart"/>
            <w:tcBorders>
              <w:top w:val="single" w:sz="4" w:space="0" w:color="auto"/>
              <w:left w:val="nil"/>
              <w:bottom w:val="nil"/>
              <w:right w:val="nil"/>
            </w:tcBorders>
            <w:noWrap/>
            <w:vAlign w:val="center"/>
            <w:hideMark/>
          </w:tcPr>
          <w:p w14:paraId="42FA1721"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RT</w:t>
            </w:r>
          </w:p>
        </w:tc>
        <w:tc>
          <w:tcPr>
            <w:tcW w:w="236" w:type="dxa"/>
            <w:tcBorders>
              <w:top w:val="single" w:sz="4" w:space="0" w:color="auto"/>
              <w:left w:val="nil"/>
              <w:bottom w:val="nil"/>
              <w:right w:val="nil"/>
            </w:tcBorders>
          </w:tcPr>
          <w:p w14:paraId="0F56367E"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797529A8"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1ECC007A"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5387AB7F" w14:textId="77777777" w:rsidTr="00D34E37">
        <w:trPr>
          <w:trHeight w:val="276"/>
        </w:trPr>
        <w:tc>
          <w:tcPr>
            <w:tcW w:w="2180" w:type="dxa"/>
            <w:vMerge/>
            <w:tcBorders>
              <w:top w:val="single" w:sz="4" w:space="0" w:color="auto"/>
              <w:left w:val="nil"/>
              <w:bottom w:val="nil"/>
              <w:right w:val="nil"/>
            </w:tcBorders>
            <w:vAlign w:val="center"/>
            <w:hideMark/>
          </w:tcPr>
          <w:p w14:paraId="5D1921E5"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83636B8"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2DDF33B"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57C8F5B9"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73C8A1D4" w14:textId="77777777" w:rsidTr="00D34E37">
        <w:trPr>
          <w:trHeight w:val="276"/>
        </w:trPr>
        <w:tc>
          <w:tcPr>
            <w:tcW w:w="2180" w:type="dxa"/>
            <w:vMerge/>
            <w:tcBorders>
              <w:top w:val="single" w:sz="4" w:space="0" w:color="auto"/>
              <w:left w:val="nil"/>
              <w:bottom w:val="nil"/>
              <w:right w:val="nil"/>
            </w:tcBorders>
            <w:vAlign w:val="center"/>
            <w:hideMark/>
          </w:tcPr>
          <w:p w14:paraId="16CB198E"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8A01E1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01AE8F4E"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20BC52FE"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.016</w:t>
            </w:r>
          </w:p>
        </w:tc>
      </w:tr>
      <w:tr w:rsidR="00EC2B92" w:rsidRPr="00220C0A" w14:paraId="1E233B0F" w14:textId="77777777" w:rsidTr="00D34E37">
        <w:trPr>
          <w:trHeight w:val="195"/>
        </w:trPr>
        <w:tc>
          <w:tcPr>
            <w:tcW w:w="2180" w:type="dxa"/>
            <w:tcBorders>
              <w:top w:val="nil"/>
              <w:left w:val="nil"/>
              <w:bottom w:val="nil"/>
              <w:right w:val="nil"/>
            </w:tcBorders>
            <w:noWrap/>
            <w:vAlign w:val="center"/>
            <w:hideMark/>
          </w:tcPr>
          <w:p w14:paraId="72F544C3"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465BEBB2"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4F6DD312"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43473759" w14:textId="77777777" w:rsidR="00EC2B92" w:rsidRPr="000528D7" w:rsidRDefault="00EC2B92" w:rsidP="004C7964">
            <w:pPr>
              <w:spacing w:after="0" w:line="240" w:lineRule="auto"/>
              <w:jc w:val="center"/>
              <w:rPr>
                <w:rFonts w:eastAsia="Times New Roman"/>
                <w:sz w:val="20"/>
                <w:szCs w:val="20"/>
              </w:rPr>
            </w:pPr>
          </w:p>
        </w:tc>
      </w:tr>
      <w:tr w:rsidR="00EC2B92" w:rsidRPr="00220C0A" w14:paraId="1036A4E8" w14:textId="77777777" w:rsidTr="00D34E37">
        <w:trPr>
          <w:trHeight w:val="276"/>
        </w:trPr>
        <w:tc>
          <w:tcPr>
            <w:tcW w:w="2180" w:type="dxa"/>
            <w:vMerge w:val="restart"/>
            <w:tcBorders>
              <w:top w:val="single" w:sz="4" w:space="0" w:color="auto"/>
              <w:left w:val="nil"/>
              <w:bottom w:val="nil"/>
              <w:right w:val="nil"/>
            </w:tcBorders>
            <w:noWrap/>
            <w:vAlign w:val="center"/>
            <w:hideMark/>
          </w:tcPr>
          <w:p w14:paraId="489D6D3D"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PMET</w:t>
            </w:r>
          </w:p>
        </w:tc>
        <w:tc>
          <w:tcPr>
            <w:tcW w:w="236" w:type="dxa"/>
            <w:tcBorders>
              <w:top w:val="single" w:sz="4" w:space="0" w:color="auto"/>
              <w:left w:val="nil"/>
              <w:bottom w:val="nil"/>
              <w:right w:val="nil"/>
            </w:tcBorders>
          </w:tcPr>
          <w:p w14:paraId="5A749F3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470DDE7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7A1B9BD8"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27B3590F" w14:textId="77777777" w:rsidTr="00D34E37">
        <w:trPr>
          <w:trHeight w:val="276"/>
        </w:trPr>
        <w:tc>
          <w:tcPr>
            <w:tcW w:w="2180" w:type="dxa"/>
            <w:vMerge/>
            <w:tcBorders>
              <w:top w:val="single" w:sz="4" w:space="0" w:color="auto"/>
              <w:left w:val="nil"/>
              <w:bottom w:val="nil"/>
              <w:right w:val="nil"/>
            </w:tcBorders>
            <w:vAlign w:val="center"/>
            <w:hideMark/>
          </w:tcPr>
          <w:p w14:paraId="1B61204A"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78207FB6"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1D0583D"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00D5DE07"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46E9F3FB" w14:textId="77777777" w:rsidTr="00D34E37">
        <w:trPr>
          <w:trHeight w:val="276"/>
        </w:trPr>
        <w:tc>
          <w:tcPr>
            <w:tcW w:w="2180" w:type="dxa"/>
            <w:vMerge/>
            <w:tcBorders>
              <w:top w:val="single" w:sz="4" w:space="0" w:color="auto"/>
              <w:left w:val="nil"/>
              <w:bottom w:val="nil"/>
              <w:right w:val="nil"/>
            </w:tcBorders>
            <w:vAlign w:val="center"/>
            <w:hideMark/>
          </w:tcPr>
          <w:p w14:paraId="266C55DD"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526D438"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5DA82AC4"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177D8F2A"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sz w:val="20"/>
                <w:szCs w:val="20"/>
              </w:rPr>
              <w:t xml:space="preserve">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.035</w:t>
            </w:r>
          </w:p>
        </w:tc>
      </w:tr>
      <w:tr w:rsidR="00EC2B92" w:rsidRPr="00220C0A" w14:paraId="573AA752" w14:textId="77777777" w:rsidTr="00D34E37">
        <w:trPr>
          <w:trHeight w:val="218"/>
        </w:trPr>
        <w:tc>
          <w:tcPr>
            <w:tcW w:w="2180" w:type="dxa"/>
            <w:tcBorders>
              <w:top w:val="nil"/>
              <w:left w:val="nil"/>
              <w:bottom w:val="single" w:sz="4" w:space="0" w:color="auto"/>
              <w:right w:val="nil"/>
            </w:tcBorders>
            <w:noWrap/>
            <w:vAlign w:val="bottom"/>
            <w:hideMark/>
          </w:tcPr>
          <w:p w14:paraId="1841C717"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2E7F8E34"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6E7F3A5A"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21EE8A41" w14:textId="77777777" w:rsidR="00EC2B92" w:rsidRPr="000528D7" w:rsidRDefault="00EC2B92" w:rsidP="004C7964">
            <w:pPr>
              <w:spacing w:after="0" w:line="240" w:lineRule="auto"/>
              <w:jc w:val="center"/>
              <w:rPr>
                <w:rFonts w:eastAsia="Times New Roman"/>
                <w:sz w:val="20"/>
                <w:szCs w:val="20"/>
              </w:rPr>
            </w:pPr>
          </w:p>
        </w:tc>
      </w:tr>
      <w:tr w:rsidR="00EC2B92" w:rsidRPr="00220C0A" w14:paraId="513EC53D"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0031C81D"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MET</w:t>
            </w:r>
          </w:p>
        </w:tc>
        <w:tc>
          <w:tcPr>
            <w:tcW w:w="236" w:type="dxa"/>
            <w:tcBorders>
              <w:top w:val="single" w:sz="4" w:space="0" w:color="auto"/>
              <w:left w:val="nil"/>
              <w:bottom w:val="single" w:sz="12" w:space="0" w:color="auto"/>
              <w:right w:val="nil"/>
            </w:tcBorders>
          </w:tcPr>
          <w:p w14:paraId="10D6B36A"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17ADA9CD"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7C57D978" w14:textId="77777777"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70218FBF" w14:textId="7777777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52948361"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2680F6C8" w14:textId="77777777"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electromy</w:t>
      </w:r>
      <w:r w:rsidR="006249FA" w:rsidRPr="00136DDA">
        <w:rPr>
          <w:b/>
          <w:sz w:val="22"/>
          <w:szCs w:val="22"/>
        </w:rPr>
        <w:t>ographic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ayout w:type="fixed"/>
        <w:tblLook w:val="04A0" w:firstRow="1" w:lastRow="0" w:firstColumn="1" w:lastColumn="0" w:noHBand="0" w:noVBand="1"/>
      </w:tblPr>
      <w:tblGrid>
        <w:gridCol w:w="1692"/>
        <w:gridCol w:w="2067"/>
        <w:gridCol w:w="266"/>
        <w:gridCol w:w="1028"/>
        <w:gridCol w:w="236"/>
        <w:gridCol w:w="958"/>
        <w:gridCol w:w="236"/>
        <w:gridCol w:w="958"/>
        <w:gridCol w:w="236"/>
        <w:gridCol w:w="1102"/>
      </w:tblGrid>
      <w:tr w:rsidR="003E2AC3" w:rsidRPr="001E5E27" w14:paraId="566EA9A3" w14:textId="77777777" w:rsidTr="002E2AC7">
        <w:trPr>
          <w:trHeight w:val="351"/>
        </w:trPr>
        <w:tc>
          <w:tcPr>
            <w:tcW w:w="1701" w:type="dxa"/>
            <w:tcBorders>
              <w:top w:val="single" w:sz="4" w:space="0" w:color="auto"/>
              <w:left w:val="nil"/>
              <w:bottom w:val="single" w:sz="12" w:space="0" w:color="auto"/>
              <w:right w:val="nil"/>
            </w:tcBorders>
            <w:noWrap/>
            <w:hideMark/>
          </w:tcPr>
          <w:p w14:paraId="3C8828A1"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4E8B7763" w14:textId="77777777"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sz w:val="22"/>
                <w:szCs w:val="20"/>
              </w:rPr>
              <w:t>Significant effects</w:t>
            </w:r>
          </w:p>
        </w:tc>
        <w:tc>
          <w:tcPr>
            <w:tcW w:w="266" w:type="dxa"/>
            <w:tcBorders>
              <w:top w:val="single" w:sz="4" w:space="0" w:color="auto"/>
              <w:left w:val="nil"/>
              <w:bottom w:val="nil"/>
              <w:right w:val="nil"/>
            </w:tcBorders>
            <w:noWrap/>
            <w:vAlign w:val="center"/>
            <w:hideMark/>
          </w:tcPr>
          <w:p w14:paraId="576FF511"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7D1980C9"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Period</w:t>
            </w:r>
          </w:p>
        </w:tc>
      </w:tr>
      <w:tr w:rsidR="003E2AC3" w:rsidRPr="001E5E27" w14:paraId="2491B8F8" w14:textId="77777777" w:rsidTr="007972EC">
        <w:trPr>
          <w:trHeight w:val="300"/>
        </w:trPr>
        <w:tc>
          <w:tcPr>
            <w:tcW w:w="1701" w:type="dxa"/>
            <w:tcBorders>
              <w:top w:val="single" w:sz="12" w:space="0" w:color="auto"/>
              <w:left w:val="nil"/>
              <w:bottom w:val="nil"/>
              <w:right w:val="nil"/>
            </w:tcBorders>
            <w:noWrap/>
            <w:vAlign w:val="bottom"/>
            <w:hideMark/>
          </w:tcPr>
          <w:p w14:paraId="6E6EAD66"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26FF246F"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25256BE6"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27A92B86"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1FF78CC6"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76E03A47"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1328B865"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1C36C53F"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7C39D175"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512571F6" w14:textId="77777777" w:rsidR="003E2AC3" w:rsidRPr="005B22F4" w:rsidRDefault="003E2AC3" w:rsidP="002D06AB">
            <w:pPr>
              <w:spacing w:after="0" w:line="240" w:lineRule="auto"/>
              <w:jc w:val="center"/>
              <w:rPr>
                <w:rFonts w:eastAsia="Times New Roman"/>
                <w:sz w:val="20"/>
                <w:szCs w:val="20"/>
              </w:rPr>
            </w:pPr>
          </w:p>
        </w:tc>
      </w:tr>
      <w:tr w:rsidR="003E2AC3" w:rsidRPr="001E5E27" w14:paraId="0D261251" w14:textId="77777777" w:rsidTr="007972EC">
        <w:trPr>
          <w:trHeight w:val="300"/>
        </w:trPr>
        <w:tc>
          <w:tcPr>
            <w:tcW w:w="1701" w:type="dxa"/>
            <w:tcBorders>
              <w:top w:val="nil"/>
              <w:left w:val="nil"/>
              <w:bottom w:val="nil"/>
              <w:right w:val="nil"/>
            </w:tcBorders>
            <w:noWrap/>
            <w:vAlign w:val="bottom"/>
            <w:hideMark/>
          </w:tcPr>
          <w:p w14:paraId="0571CA54"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796BAFE2"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33477A39"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58289F9E"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Stimulus</w:t>
            </w:r>
          </w:p>
        </w:tc>
        <w:tc>
          <w:tcPr>
            <w:tcW w:w="222" w:type="dxa"/>
            <w:tcBorders>
              <w:top w:val="nil"/>
              <w:left w:val="nil"/>
              <w:bottom w:val="nil"/>
              <w:right w:val="nil"/>
            </w:tcBorders>
            <w:noWrap/>
            <w:hideMark/>
          </w:tcPr>
          <w:p w14:paraId="2980521B"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3ADAAA41"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Delay</w:t>
            </w:r>
          </w:p>
        </w:tc>
        <w:tc>
          <w:tcPr>
            <w:tcW w:w="222" w:type="dxa"/>
            <w:tcBorders>
              <w:top w:val="nil"/>
              <w:left w:val="nil"/>
              <w:bottom w:val="nil"/>
              <w:right w:val="nil"/>
            </w:tcBorders>
            <w:noWrap/>
            <w:hideMark/>
          </w:tcPr>
          <w:p w14:paraId="71C24E4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46423C15"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RS</w:t>
            </w:r>
          </w:p>
        </w:tc>
        <w:tc>
          <w:tcPr>
            <w:tcW w:w="222" w:type="dxa"/>
            <w:tcBorders>
              <w:top w:val="nil"/>
              <w:left w:val="nil"/>
              <w:bottom w:val="nil"/>
              <w:right w:val="nil"/>
            </w:tcBorders>
            <w:noWrap/>
            <w:hideMark/>
          </w:tcPr>
          <w:p w14:paraId="7607CB51"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240FCC87"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Response</w:t>
            </w:r>
          </w:p>
        </w:tc>
      </w:tr>
      <w:tr w:rsidR="003E2AC3" w:rsidRPr="001E5E27" w14:paraId="6096F091" w14:textId="77777777" w:rsidTr="007972EC">
        <w:trPr>
          <w:trHeight w:val="360"/>
        </w:trPr>
        <w:tc>
          <w:tcPr>
            <w:tcW w:w="1701" w:type="dxa"/>
            <w:vMerge w:val="restart"/>
            <w:tcBorders>
              <w:top w:val="nil"/>
              <w:left w:val="nil"/>
              <w:bottom w:val="single" w:sz="4" w:space="0" w:color="000000"/>
              <w:right w:val="nil"/>
            </w:tcBorders>
            <w:noWrap/>
            <w:vAlign w:val="center"/>
            <w:hideMark/>
          </w:tcPr>
          <w:p w14:paraId="0899548B" w14:textId="77777777" w:rsidR="003E2AC3" w:rsidRPr="005B22F4" w:rsidRDefault="003E2AC3" w:rsidP="002D06AB">
            <w:pPr>
              <w:spacing w:after="0" w:line="240" w:lineRule="auto"/>
              <w:jc w:val="center"/>
              <w:rPr>
                <w:rFonts w:eastAsia="Times New Roman"/>
                <w:bCs/>
                <w:color w:val="000000"/>
                <w:sz w:val="22"/>
                <w:szCs w:val="20"/>
              </w:rPr>
            </w:pPr>
            <w:r>
              <w:t>PMA rate</w:t>
            </w:r>
          </w:p>
        </w:tc>
        <w:tc>
          <w:tcPr>
            <w:tcW w:w="2079" w:type="dxa"/>
            <w:tcBorders>
              <w:top w:val="nil"/>
              <w:left w:val="nil"/>
              <w:bottom w:val="nil"/>
              <w:right w:val="nil"/>
            </w:tcBorders>
            <w:noWrap/>
            <w:vAlign w:val="bottom"/>
            <w:hideMark/>
          </w:tcPr>
          <w:p w14:paraId="7D4D04E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w:t>
            </w:r>
          </w:p>
        </w:tc>
        <w:tc>
          <w:tcPr>
            <w:tcW w:w="266" w:type="dxa"/>
            <w:tcBorders>
              <w:top w:val="nil"/>
              <w:left w:val="nil"/>
              <w:bottom w:val="nil"/>
              <w:right w:val="nil"/>
            </w:tcBorders>
            <w:noWrap/>
            <w:vAlign w:val="bottom"/>
            <w:hideMark/>
          </w:tcPr>
          <w:p w14:paraId="0EC2ED4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6715E6A7"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.001</w:t>
            </w:r>
          </w:p>
        </w:tc>
        <w:tc>
          <w:tcPr>
            <w:tcW w:w="222" w:type="dxa"/>
            <w:tcBorders>
              <w:top w:val="nil"/>
              <w:left w:val="nil"/>
              <w:bottom w:val="nil"/>
              <w:right w:val="nil"/>
            </w:tcBorders>
            <w:noWrap/>
            <w:vAlign w:val="bottom"/>
            <w:hideMark/>
          </w:tcPr>
          <w:p w14:paraId="4E3E8C67"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509D2F4C"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392C5552"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74D1F50A"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35B28110"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1C0E0307" w14:textId="77777777" w:rsidR="003E2AC3" w:rsidRPr="005B22F4" w:rsidRDefault="003E2AC3" w:rsidP="002D06AB">
            <w:pPr>
              <w:spacing w:after="0" w:line="240" w:lineRule="auto"/>
              <w:jc w:val="center"/>
              <w:rPr>
                <w:rFonts w:eastAsia="Times New Roman"/>
                <w:color w:val="000000"/>
                <w:sz w:val="20"/>
                <w:szCs w:val="20"/>
              </w:rPr>
            </w:pPr>
            <w:r>
              <w:rPr>
                <w:color w:val="1F4E9E"/>
              </w:rPr>
              <w:t>p = .012</w:t>
            </w:r>
          </w:p>
        </w:tc>
      </w:tr>
      <w:tr w:rsidR="003E2AC3" w:rsidRPr="001E5E27" w14:paraId="328DF457" w14:textId="77777777" w:rsidTr="007972EC">
        <w:trPr>
          <w:trHeight w:val="300"/>
        </w:trPr>
        <w:tc>
          <w:tcPr>
            <w:tcW w:w="1701" w:type="dxa"/>
            <w:vMerge/>
            <w:tcBorders>
              <w:top w:val="nil"/>
              <w:left w:val="nil"/>
              <w:bottom w:val="single" w:sz="4" w:space="0" w:color="000000"/>
              <w:right w:val="nil"/>
            </w:tcBorders>
            <w:vAlign w:val="center"/>
            <w:hideMark/>
          </w:tcPr>
          <w:p w14:paraId="1997E06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2881D83"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w:t>
            </w:r>
          </w:p>
        </w:tc>
        <w:tc>
          <w:tcPr>
            <w:tcW w:w="266" w:type="dxa"/>
            <w:tcBorders>
              <w:top w:val="nil"/>
              <w:left w:val="nil"/>
              <w:bottom w:val="nil"/>
              <w:right w:val="nil"/>
            </w:tcBorders>
            <w:noWrap/>
            <w:vAlign w:val="bottom"/>
            <w:hideMark/>
          </w:tcPr>
          <w:p w14:paraId="6AE12BD7"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B5BBDAE"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.021</w:t>
            </w:r>
          </w:p>
        </w:tc>
        <w:tc>
          <w:tcPr>
            <w:tcW w:w="222" w:type="dxa"/>
            <w:tcBorders>
              <w:top w:val="nil"/>
              <w:left w:val="nil"/>
              <w:bottom w:val="nil"/>
              <w:right w:val="nil"/>
            </w:tcBorders>
            <w:noWrap/>
            <w:vAlign w:val="bottom"/>
            <w:hideMark/>
          </w:tcPr>
          <w:p w14:paraId="6988AFA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3BC8562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.045</w:t>
            </w:r>
          </w:p>
        </w:tc>
        <w:tc>
          <w:tcPr>
            <w:tcW w:w="222" w:type="dxa"/>
            <w:tcBorders>
              <w:top w:val="nil"/>
              <w:left w:val="nil"/>
              <w:bottom w:val="nil"/>
              <w:right w:val="nil"/>
            </w:tcBorders>
            <w:noWrap/>
            <w:vAlign w:val="bottom"/>
            <w:hideMark/>
          </w:tcPr>
          <w:p w14:paraId="0F9E6CB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4BBC7733"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1835C28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6173CD0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06B564D2" w14:textId="77777777" w:rsidTr="007972EC">
        <w:trPr>
          <w:trHeight w:val="300"/>
        </w:trPr>
        <w:tc>
          <w:tcPr>
            <w:tcW w:w="1701" w:type="dxa"/>
            <w:vMerge/>
            <w:tcBorders>
              <w:top w:val="nil"/>
              <w:left w:val="nil"/>
              <w:bottom w:val="single" w:sz="4" w:space="0" w:color="000000"/>
              <w:right w:val="nil"/>
            </w:tcBorders>
            <w:vAlign w:val="center"/>
            <w:hideMark/>
          </w:tcPr>
          <w:p w14:paraId="0AE3832D"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52C197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17D97B9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0D681546" w14:textId="77777777" w:rsidR="00205CBC" w:rsidRDefault="00000000">
            <w:r>
              <w:t>p &lt; .001</w:t>
            </w:r>
          </w:p>
        </w:tc>
        <w:tc>
          <w:tcPr>
            <w:tcW w:w="222" w:type="dxa"/>
            <w:tcBorders>
              <w:top w:val="nil"/>
              <w:left w:val="nil"/>
              <w:bottom w:val="nil"/>
              <w:right w:val="nil"/>
            </w:tcBorders>
            <w:noWrap/>
            <w:vAlign w:val="bottom"/>
            <w:hideMark/>
          </w:tcPr>
          <w:p w14:paraId="6D04CCBC"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6C2F2BE0" w14:textId="77777777" w:rsidR="00205CBC" w:rsidRDefault="00000000">
            <w:r>
              <w:t>p &lt; .001</w:t>
            </w:r>
          </w:p>
        </w:tc>
        <w:tc>
          <w:tcPr>
            <w:tcW w:w="222" w:type="dxa"/>
            <w:tcBorders>
              <w:top w:val="nil"/>
              <w:left w:val="nil"/>
              <w:bottom w:val="nil"/>
              <w:right w:val="nil"/>
            </w:tcBorders>
            <w:noWrap/>
            <w:vAlign w:val="bottom"/>
            <w:hideMark/>
          </w:tcPr>
          <w:p w14:paraId="68B319A6"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39EBD71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27A74268"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56AB5A55"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486E9ED4" w14:textId="77777777" w:rsidTr="007972EC">
        <w:trPr>
          <w:trHeight w:val="300"/>
        </w:trPr>
        <w:tc>
          <w:tcPr>
            <w:tcW w:w="1701" w:type="dxa"/>
            <w:vMerge/>
            <w:tcBorders>
              <w:top w:val="nil"/>
              <w:left w:val="nil"/>
              <w:bottom w:val="single" w:sz="4" w:space="0" w:color="000000"/>
              <w:right w:val="nil"/>
            </w:tcBorders>
            <w:vAlign w:val="center"/>
            <w:hideMark/>
          </w:tcPr>
          <w:p w14:paraId="77E97C0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3479A5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coherence</w:t>
            </w:r>
          </w:p>
        </w:tc>
        <w:tc>
          <w:tcPr>
            <w:tcW w:w="266" w:type="dxa"/>
            <w:tcBorders>
              <w:top w:val="nil"/>
              <w:left w:val="nil"/>
              <w:bottom w:val="nil"/>
              <w:right w:val="nil"/>
            </w:tcBorders>
            <w:noWrap/>
            <w:vAlign w:val="bottom"/>
            <w:hideMark/>
          </w:tcPr>
          <w:p w14:paraId="7CF8E33A"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7332304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67736943"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519A1C36"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.042</w:t>
            </w:r>
          </w:p>
        </w:tc>
        <w:tc>
          <w:tcPr>
            <w:tcW w:w="222" w:type="dxa"/>
            <w:tcBorders>
              <w:top w:val="nil"/>
              <w:left w:val="nil"/>
              <w:bottom w:val="nil"/>
              <w:right w:val="nil"/>
            </w:tcBorders>
            <w:noWrap/>
            <w:vAlign w:val="bottom"/>
            <w:hideMark/>
          </w:tcPr>
          <w:p w14:paraId="20391A8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49BBC838"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43FCED00"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591CFEF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7EF5E3C6" w14:textId="77777777" w:rsidTr="007972EC">
        <w:trPr>
          <w:trHeight w:val="300"/>
        </w:trPr>
        <w:tc>
          <w:tcPr>
            <w:tcW w:w="1701" w:type="dxa"/>
            <w:vMerge/>
            <w:tcBorders>
              <w:top w:val="nil"/>
              <w:left w:val="nil"/>
              <w:bottom w:val="single" w:sz="4" w:space="0" w:color="000000"/>
              <w:right w:val="nil"/>
            </w:tcBorders>
            <w:vAlign w:val="center"/>
            <w:hideMark/>
          </w:tcPr>
          <w:p w14:paraId="56CFF4F8"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02F5B2A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time (linear)</w:t>
            </w:r>
          </w:p>
        </w:tc>
        <w:tc>
          <w:tcPr>
            <w:tcW w:w="266" w:type="dxa"/>
            <w:tcBorders>
              <w:top w:val="nil"/>
              <w:left w:val="nil"/>
              <w:bottom w:val="nil"/>
              <w:right w:val="nil"/>
            </w:tcBorders>
            <w:noWrap/>
            <w:vAlign w:val="bottom"/>
            <w:hideMark/>
          </w:tcPr>
          <w:p w14:paraId="26D35B0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155700E5" w14:textId="77777777" w:rsidR="00205CBC" w:rsidRDefault="00000000">
            <w:r>
              <w:rPr>
                <w:color w:val="1F4E9E"/>
              </w:rPr>
              <w:t>p = .006</w:t>
            </w:r>
          </w:p>
        </w:tc>
        <w:tc>
          <w:tcPr>
            <w:tcW w:w="222" w:type="dxa"/>
            <w:tcBorders>
              <w:top w:val="nil"/>
              <w:left w:val="nil"/>
              <w:bottom w:val="nil"/>
              <w:right w:val="nil"/>
            </w:tcBorders>
            <w:noWrap/>
            <w:vAlign w:val="bottom"/>
            <w:hideMark/>
          </w:tcPr>
          <w:p w14:paraId="45CA1F44"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761E57E1" w14:textId="77777777" w:rsidR="00205CBC" w:rsidRDefault="00000000">
            <w:r>
              <w:rPr>
                <w:color w:val="1F4E9E"/>
              </w:rPr>
              <w:t>p = .002</w:t>
            </w:r>
          </w:p>
        </w:tc>
        <w:tc>
          <w:tcPr>
            <w:tcW w:w="222" w:type="dxa"/>
            <w:tcBorders>
              <w:top w:val="nil"/>
              <w:left w:val="nil"/>
              <w:bottom w:val="nil"/>
              <w:right w:val="nil"/>
            </w:tcBorders>
            <w:noWrap/>
            <w:vAlign w:val="bottom"/>
            <w:hideMark/>
          </w:tcPr>
          <w:p w14:paraId="051E4D5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768922EB"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sz w:val="20"/>
                <w:szCs w:val="20"/>
              </w:rPr>
              <w:t>p</w:t>
            </w:r>
            <w:r w:rsidRPr="005B22F4">
              <w:rPr>
                <w:rFonts w:eastAsia="Times New Roman"/>
                <w:sz w:val="20"/>
                <w:szCs w:val="20"/>
              </w:rPr>
              <w:t xml:space="preserve"> = .015</w:t>
            </w:r>
          </w:p>
        </w:tc>
        <w:tc>
          <w:tcPr>
            <w:tcW w:w="222" w:type="dxa"/>
            <w:tcBorders>
              <w:top w:val="nil"/>
              <w:left w:val="nil"/>
              <w:bottom w:val="nil"/>
              <w:right w:val="nil"/>
            </w:tcBorders>
            <w:noWrap/>
            <w:vAlign w:val="bottom"/>
            <w:hideMark/>
          </w:tcPr>
          <w:p w14:paraId="060D934D"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51D8A319"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19C0DE17" w14:textId="77777777" w:rsidTr="007972EC">
        <w:trPr>
          <w:trHeight w:val="416"/>
        </w:trPr>
        <w:tc>
          <w:tcPr>
            <w:tcW w:w="1701" w:type="dxa"/>
            <w:vMerge/>
            <w:tcBorders>
              <w:top w:val="nil"/>
              <w:left w:val="nil"/>
              <w:bottom w:val="single" w:sz="4" w:space="0" w:color="000000"/>
              <w:right w:val="nil"/>
            </w:tcBorders>
            <w:vAlign w:val="center"/>
            <w:hideMark/>
          </w:tcPr>
          <w:p w14:paraId="3A302023"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634DA64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34F090D0"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BF05D0C" w14:textId="77777777" w:rsidR="00205CBC" w:rsidRDefault="00000000">
            <w:r>
              <w:rPr>
                <w:color w:val="1F4E9E"/>
              </w:rPr>
              <w:t>p = .007</w:t>
            </w:r>
          </w:p>
        </w:tc>
        <w:tc>
          <w:tcPr>
            <w:tcW w:w="222" w:type="dxa"/>
            <w:tcBorders>
              <w:top w:val="nil"/>
              <w:left w:val="nil"/>
              <w:bottom w:val="single" w:sz="4" w:space="0" w:color="auto"/>
              <w:right w:val="nil"/>
            </w:tcBorders>
            <w:noWrap/>
            <w:hideMark/>
          </w:tcPr>
          <w:p w14:paraId="1F2E54E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4F7BD698" w14:textId="77777777" w:rsidR="00205CBC" w:rsidRDefault="00000000">
            <w:r>
              <w:t>–</w:t>
            </w:r>
          </w:p>
        </w:tc>
        <w:tc>
          <w:tcPr>
            <w:tcW w:w="222" w:type="dxa"/>
            <w:tcBorders>
              <w:top w:val="nil"/>
              <w:left w:val="nil"/>
              <w:bottom w:val="single" w:sz="4" w:space="0" w:color="auto"/>
              <w:right w:val="nil"/>
            </w:tcBorders>
            <w:noWrap/>
            <w:vAlign w:val="center"/>
            <w:hideMark/>
          </w:tcPr>
          <w:p w14:paraId="5CE4534B"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3E5C486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755351D0"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18769F1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5A9B9FF5" w14:textId="77777777" w:rsidTr="007972EC">
        <w:trPr>
          <w:trHeight w:val="416"/>
        </w:trPr>
        <w:tc>
          <w:tcPr>
            <w:tcW w:w="1701" w:type="dxa"/>
            <w:vMerge/>
            <w:tcBorders>
              <w:top w:val="nil"/>
              <w:left w:val="nil"/>
              <w:bottom w:val="single" w:sz="4" w:space="0" w:color="000000"/>
              <w:right w:val="nil"/>
            </w:tcBorders>
            <w:vAlign w:val="center"/>
            <w:hideMark/>
          </w:tcPr>
          <w:p w14:paraId="1714D174"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14B4125B"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5B30DDE9"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7CBE1DF7" w14:textId="77777777" w:rsidR="00205CBC" w:rsidRDefault="00000000">
            <w:r>
              <w:t>–</w:t>
            </w:r>
          </w:p>
        </w:tc>
        <w:tc>
          <w:tcPr>
            <w:tcW w:w="222" w:type="dxa"/>
            <w:tcBorders>
              <w:top w:val="nil"/>
              <w:left w:val="nil"/>
              <w:bottom w:val="single" w:sz="4" w:space="0" w:color="auto"/>
              <w:right w:val="nil"/>
            </w:tcBorders>
            <w:noWrap/>
            <w:hideMark/>
          </w:tcPr>
          <w:p w14:paraId="24908345"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5708AF2E" w14:textId="77777777" w:rsidR="00205CBC" w:rsidRDefault="00000000">
            <w:r>
              <w:t>p &lt; .001</w:t>
            </w:r>
          </w:p>
        </w:tc>
        <w:tc>
          <w:tcPr>
            <w:tcW w:w="222" w:type="dxa"/>
            <w:tcBorders>
              <w:top w:val="nil"/>
              <w:left w:val="nil"/>
              <w:bottom w:val="single" w:sz="4" w:space="0" w:color="auto"/>
              <w:right w:val="nil"/>
            </w:tcBorders>
            <w:noWrap/>
            <w:vAlign w:val="center"/>
            <w:hideMark/>
          </w:tcPr>
          <w:p w14:paraId="03354BA2"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EA34A1D"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vAlign w:val="center"/>
            <w:hideMark/>
          </w:tcPr>
          <w:p w14:paraId="495F0038"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5C985256"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1AC63E44" w14:textId="77777777" w:rsidTr="007972EC">
        <w:trPr>
          <w:trHeight w:val="419"/>
        </w:trPr>
        <w:tc>
          <w:tcPr>
            <w:tcW w:w="1701" w:type="dxa"/>
            <w:vMerge w:val="restart"/>
            <w:tcBorders>
              <w:top w:val="nil"/>
              <w:left w:val="nil"/>
              <w:bottom w:val="single" w:sz="4" w:space="0" w:color="000000"/>
              <w:right w:val="nil"/>
            </w:tcBorders>
            <w:noWrap/>
            <w:vAlign w:val="center"/>
            <w:hideMark/>
          </w:tcPr>
          <w:p w14:paraId="1F54575E" w14:textId="77777777" w:rsidR="003E2AC3" w:rsidRPr="005B22F4" w:rsidRDefault="003E2AC3" w:rsidP="002D06AB">
            <w:pPr>
              <w:spacing w:after="0" w:line="240" w:lineRule="auto"/>
              <w:jc w:val="center"/>
              <w:rPr>
                <w:rFonts w:eastAsia="Times New Roman"/>
                <w:bCs/>
                <w:color w:val="000000"/>
                <w:sz w:val="22"/>
                <w:szCs w:val="20"/>
              </w:rPr>
            </w:pPr>
            <w:r>
              <w:t>MBL amplitude</w:t>
            </w:r>
          </w:p>
        </w:tc>
        <w:tc>
          <w:tcPr>
            <w:tcW w:w="2079" w:type="dxa"/>
            <w:tcBorders>
              <w:top w:val="nil"/>
              <w:left w:val="nil"/>
              <w:bottom w:val="nil"/>
              <w:right w:val="nil"/>
            </w:tcBorders>
            <w:noWrap/>
            <w:vAlign w:val="bottom"/>
            <w:hideMark/>
          </w:tcPr>
          <w:p w14:paraId="01A8711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36064A54"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A5E585A" w14:textId="77777777" w:rsidR="00205CBC" w:rsidRDefault="00000000">
            <w:r>
              <w:rPr>
                <w:color w:val="1F4E9E"/>
              </w:rPr>
              <w:t>p = .003</w:t>
            </w:r>
          </w:p>
        </w:tc>
        <w:tc>
          <w:tcPr>
            <w:tcW w:w="222" w:type="dxa"/>
            <w:tcBorders>
              <w:top w:val="nil"/>
              <w:left w:val="nil"/>
              <w:bottom w:val="nil"/>
              <w:right w:val="nil"/>
            </w:tcBorders>
            <w:noWrap/>
            <w:vAlign w:val="bottom"/>
            <w:hideMark/>
          </w:tcPr>
          <w:p w14:paraId="00703FDA"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6D4E48C9" w14:textId="77777777" w:rsidR="00205CBC" w:rsidRDefault="00000000">
            <w:r>
              <w:rPr>
                <w:color w:val="1F4E9E"/>
              </w:rPr>
              <w:t>p = .014</w:t>
            </w:r>
          </w:p>
        </w:tc>
        <w:tc>
          <w:tcPr>
            <w:tcW w:w="222" w:type="dxa"/>
            <w:tcBorders>
              <w:top w:val="nil"/>
              <w:left w:val="nil"/>
              <w:bottom w:val="nil"/>
              <w:right w:val="nil"/>
            </w:tcBorders>
            <w:noWrap/>
            <w:vAlign w:val="bottom"/>
            <w:hideMark/>
          </w:tcPr>
          <w:p w14:paraId="6F4B48DE"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36377000"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07D07384"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62EC355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51FB26B9" w14:textId="77777777" w:rsidTr="007972EC">
        <w:trPr>
          <w:trHeight w:val="372"/>
        </w:trPr>
        <w:tc>
          <w:tcPr>
            <w:tcW w:w="1701" w:type="dxa"/>
            <w:vMerge/>
            <w:tcBorders>
              <w:top w:val="nil"/>
              <w:left w:val="nil"/>
              <w:bottom w:val="single" w:sz="4" w:space="0" w:color="000000"/>
              <w:right w:val="nil"/>
            </w:tcBorders>
            <w:vAlign w:val="center"/>
            <w:hideMark/>
          </w:tcPr>
          <w:p w14:paraId="424F886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02FA44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3EBD92EE"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9BA8038" w14:textId="77777777" w:rsidR="00205CBC" w:rsidRDefault="00000000">
            <w:r>
              <w:rPr>
                <w:color w:val="1F4E9E"/>
              </w:rPr>
              <w:t>– ‡</w:t>
            </w:r>
          </w:p>
        </w:tc>
        <w:tc>
          <w:tcPr>
            <w:tcW w:w="222" w:type="dxa"/>
            <w:tcBorders>
              <w:top w:val="nil"/>
              <w:left w:val="nil"/>
              <w:bottom w:val="single" w:sz="4" w:space="0" w:color="auto"/>
              <w:right w:val="nil"/>
            </w:tcBorders>
            <w:noWrap/>
            <w:hideMark/>
          </w:tcPr>
          <w:p w14:paraId="52D59858"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742440E" w14:textId="77777777" w:rsidR="00205CBC" w:rsidRDefault="00000000">
            <w:r>
              <w:t>–</w:t>
            </w:r>
          </w:p>
        </w:tc>
        <w:tc>
          <w:tcPr>
            <w:tcW w:w="222" w:type="dxa"/>
            <w:tcBorders>
              <w:top w:val="nil"/>
              <w:left w:val="nil"/>
              <w:bottom w:val="single" w:sz="4" w:space="0" w:color="auto"/>
              <w:right w:val="nil"/>
            </w:tcBorders>
            <w:noWrap/>
            <w:vAlign w:val="center"/>
            <w:hideMark/>
          </w:tcPr>
          <w:p w14:paraId="7439AFF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421741F"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7270A2CC"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66226EA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3A7A3306" w14:textId="77777777" w:rsidTr="007972EC">
        <w:trPr>
          <w:trHeight w:val="372"/>
        </w:trPr>
        <w:tc>
          <w:tcPr>
            <w:tcW w:w="1701" w:type="dxa"/>
            <w:vMerge/>
            <w:tcBorders>
              <w:top w:val="nil"/>
              <w:left w:val="nil"/>
              <w:bottom w:val="single" w:sz="4" w:space="0" w:color="000000"/>
              <w:right w:val="nil"/>
            </w:tcBorders>
            <w:vAlign w:val="center"/>
            <w:hideMark/>
          </w:tcPr>
          <w:p w14:paraId="2B097A4C"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25A58F73" w14:textId="77777777" w:rsidR="003E2AC3" w:rsidRPr="005B22F4" w:rsidRDefault="003E2AC3" w:rsidP="002D06AB">
            <w:pPr>
              <w:spacing w:after="0" w:line="240" w:lineRule="auto"/>
              <w:jc w:val="center"/>
              <w:rPr>
                <w:rFonts w:eastAsia="Times New Roman"/>
                <w:color w:val="000000"/>
                <w:sz w:val="20"/>
                <w:szCs w:val="20"/>
              </w:rPr>
            </w:pPr>
            <w:r>
              <w:rPr>
                <w:color w:val="1F4E9E"/>
              </w:rPr>
              <w:t>duration × time (linear)</w:t>
            </w:r>
          </w:p>
        </w:tc>
        <w:tc>
          <w:tcPr>
            <w:tcW w:w="266" w:type="dxa"/>
            <w:tcBorders>
              <w:top w:val="nil"/>
              <w:left w:val="nil"/>
              <w:bottom w:val="single" w:sz="4" w:space="0" w:color="auto"/>
              <w:right w:val="nil"/>
            </w:tcBorders>
            <w:noWrap/>
            <w:hideMark/>
          </w:tcPr>
          <w:p w14:paraId="5B7D0073"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6587152A" w14:textId="77777777" w:rsidR="00205CBC" w:rsidRDefault="00000000">
            <w:r>
              <w:rPr>
                <w:color w:val="1F4E9E"/>
              </w:rPr>
              <w:t>p = .046 §</w:t>
            </w:r>
          </w:p>
        </w:tc>
        <w:tc>
          <w:tcPr>
            <w:tcW w:w="222" w:type="dxa"/>
            <w:tcBorders>
              <w:top w:val="nil"/>
              <w:left w:val="nil"/>
              <w:bottom w:val="single" w:sz="4" w:space="0" w:color="auto"/>
              <w:right w:val="nil"/>
            </w:tcBorders>
            <w:noWrap/>
            <w:hideMark/>
          </w:tcPr>
          <w:p w14:paraId="0A43E0D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6915B095" w14:textId="77777777" w:rsidR="00205CBC" w:rsidRDefault="00000000">
            <w:r>
              <w:rPr>
                <w:color w:val="1F4E9E"/>
              </w:rPr>
              <w:t>–</w:t>
            </w:r>
          </w:p>
        </w:tc>
        <w:tc>
          <w:tcPr>
            <w:tcW w:w="222" w:type="dxa"/>
            <w:tcBorders>
              <w:top w:val="nil"/>
              <w:left w:val="nil"/>
              <w:bottom w:val="single" w:sz="4" w:space="0" w:color="auto"/>
              <w:right w:val="nil"/>
            </w:tcBorders>
            <w:noWrap/>
            <w:vAlign w:val="center"/>
            <w:hideMark/>
          </w:tcPr>
          <w:p w14:paraId="0024367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84A7A7B"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c>
          <w:tcPr>
            <w:tcW w:w="222" w:type="dxa"/>
            <w:tcBorders>
              <w:top w:val="nil"/>
              <w:left w:val="nil"/>
              <w:bottom w:val="single" w:sz="4" w:space="0" w:color="auto"/>
              <w:right w:val="nil"/>
            </w:tcBorders>
            <w:noWrap/>
            <w:hideMark/>
          </w:tcPr>
          <w:p w14:paraId="2C496ED8"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82E1221"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r>
      <w:tr w:rsidR="003E2AC3" w:rsidRPr="001E5E27" w14:paraId="0201E9B4" w14:textId="77777777" w:rsidTr="007972EC">
        <w:trPr>
          <w:trHeight w:val="372"/>
        </w:trPr>
        <w:tc>
          <w:tcPr>
            <w:tcW w:w="1701" w:type="dxa"/>
            <w:vMerge/>
            <w:tcBorders>
              <w:top w:val="nil"/>
              <w:left w:val="nil"/>
              <w:bottom w:val="single" w:sz="4" w:space="0" w:color="000000"/>
              <w:right w:val="nil"/>
            </w:tcBorders>
            <w:vAlign w:val="center"/>
            <w:hideMark/>
          </w:tcPr>
          <w:p w14:paraId="7D0443C2"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27A85227"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7F647290"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4B8BFAB1" w14:textId="77777777" w:rsidR="00205CBC" w:rsidRDefault="00000000">
            <w:r>
              <w:t>p = .007</w:t>
            </w:r>
          </w:p>
        </w:tc>
        <w:tc>
          <w:tcPr>
            <w:tcW w:w="222" w:type="dxa"/>
            <w:tcBorders>
              <w:top w:val="nil"/>
              <w:left w:val="nil"/>
              <w:bottom w:val="single" w:sz="4" w:space="0" w:color="auto"/>
              <w:right w:val="nil"/>
            </w:tcBorders>
            <w:noWrap/>
            <w:hideMark/>
          </w:tcPr>
          <w:p w14:paraId="541D4638"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21BBE18" w14:textId="77777777" w:rsidR="00205CBC" w:rsidRDefault="00000000">
            <w:r>
              <w:t>–</w:t>
            </w:r>
          </w:p>
        </w:tc>
        <w:tc>
          <w:tcPr>
            <w:tcW w:w="222" w:type="dxa"/>
            <w:tcBorders>
              <w:top w:val="nil"/>
              <w:left w:val="nil"/>
              <w:bottom w:val="single" w:sz="4" w:space="0" w:color="auto"/>
              <w:right w:val="nil"/>
            </w:tcBorders>
            <w:noWrap/>
            <w:vAlign w:val="center"/>
            <w:hideMark/>
          </w:tcPr>
          <w:p w14:paraId="7D5859D5"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417B4CA6"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hideMark/>
          </w:tcPr>
          <w:p w14:paraId="323847E9"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342B73B0"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20FA0354" w14:textId="77777777" w:rsidTr="007972EC">
        <w:trPr>
          <w:trHeight w:val="472"/>
        </w:trPr>
        <w:tc>
          <w:tcPr>
            <w:tcW w:w="1701" w:type="dxa"/>
            <w:vMerge w:val="restart"/>
            <w:tcBorders>
              <w:top w:val="nil"/>
              <w:left w:val="nil"/>
              <w:bottom w:val="single" w:sz="12" w:space="0" w:color="auto"/>
              <w:right w:val="nil"/>
            </w:tcBorders>
            <w:noWrap/>
            <w:vAlign w:val="center"/>
            <w:hideMark/>
          </w:tcPr>
          <w:p w14:paraId="1E6F4BCD"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LRP</w:t>
            </w:r>
            <w:r w:rsidR="0085372A" w:rsidRPr="005B22F4">
              <w:rPr>
                <w:rFonts w:eastAsia="Times New Roman"/>
                <w:bCs/>
                <w:sz w:val="22"/>
                <w:szCs w:val="20"/>
              </w:rPr>
              <w:t xml:space="preserve"> amplitude</w:t>
            </w:r>
          </w:p>
        </w:tc>
        <w:tc>
          <w:tcPr>
            <w:tcW w:w="2079" w:type="dxa"/>
            <w:tcBorders>
              <w:top w:val="nil"/>
              <w:left w:val="nil"/>
              <w:bottom w:val="single" w:sz="12" w:space="0" w:color="auto"/>
              <w:right w:val="nil"/>
            </w:tcBorders>
            <w:noWrap/>
            <w:vAlign w:val="center"/>
            <w:hideMark/>
          </w:tcPr>
          <w:p w14:paraId="2EBBADC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single" w:sz="12" w:space="0" w:color="auto"/>
              <w:right w:val="nil"/>
            </w:tcBorders>
            <w:noWrap/>
            <w:vAlign w:val="center"/>
            <w:hideMark/>
          </w:tcPr>
          <w:p w14:paraId="71075009"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40965CCF" w14:textId="77777777" w:rsidR="00205CBC" w:rsidRDefault="00000000">
            <w:r>
              <w:t>–</w:t>
            </w:r>
          </w:p>
        </w:tc>
        <w:tc>
          <w:tcPr>
            <w:tcW w:w="222" w:type="dxa"/>
            <w:tcBorders>
              <w:top w:val="nil"/>
              <w:left w:val="nil"/>
              <w:bottom w:val="single" w:sz="12" w:space="0" w:color="auto"/>
              <w:right w:val="nil"/>
            </w:tcBorders>
            <w:noWrap/>
            <w:vAlign w:val="center"/>
            <w:hideMark/>
          </w:tcPr>
          <w:p w14:paraId="63734E7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5996CA5B" w14:textId="77777777" w:rsidR="00205CBC" w:rsidRDefault="00000000">
            <w:r>
              <w:rPr>
                <w:color w:val="1F4E9E"/>
              </w:rPr>
              <w:t>p = .001</w:t>
            </w:r>
          </w:p>
        </w:tc>
        <w:tc>
          <w:tcPr>
            <w:tcW w:w="222" w:type="dxa"/>
            <w:tcBorders>
              <w:top w:val="nil"/>
              <w:left w:val="nil"/>
              <w:bottom w:val="single" w:sz="12" w:space="0" w:color="auto"/>
              <w:right w:val="nil"/>
            </w:tcBorders>
            <w:noWrap/>
            <w:vAlign w:val="center"/>
            <w:hideMark/>
          </w:tcPr>
          <w:p w14:paraId="08DDE0B3"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4301EC1F"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 .001</w:t>
            </w:r>
          </w:p>
        </w:tc>
        <w:tc>
          <w:tcPr>
            <w:tcW w:w="222" w:type="dxa"/>
            <w:tcBorders>
              <w:top w:val="nil"/>
              <w:left w:val="nil"/>
              <w:bottom w:val="single" w:sz="12" w:space="0" w:color="auto"/>
              <w:right w:val="nil"/>
            </w:tcBorders>
            <w:noWrap/>
            <w:vAlign w:val="center"/>
            <w:hideMark/>
          </w:tcPr>
          <w:p w14:paraId="3BCC4AD6"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275FCAF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&lt; .001</w:t>
            </w:r>
          </w:p>
        </w:tc>
      </w:tr>
      <w:tr w:rsidR="003E2AC3" w:rsidRPr="001E5E27" w14:paraId="6A0C565E" w14:textId="77777777" w:rsidTr="007972EC">
        <w:trPr>
          <w:trHeight w:val="472"/>
        </w:trPr>
        <w:tc>
          <w:tcPr>
            <w:tcW w:w="1701" w:type="dxa"/>
            <w:vMerge w:val="restart"/>
            <w:tcBorders>
              <w:top w:val="nil"/>
              <w:left w:val="nil"/>
              <w:bottom w:val="single" w:sz="12" w:space="0" w:color="auto"/>
              <w:right w:val="nil"/>
            </w:tcBorders>
            <w:noWrap/>
            <w:vAlign w:val="center"/>
            <w:hideMark/>
          </w:tcPr>
          <w:p w14:paraId="325E7DB1" w14:textId="77777777" w:rsidR="003E2AC3" w:rsidRPr="005B22F4" w:rsidRDefault="003E2AC3" w:rsidP="002D06AB">
            <w:pPr>
              <w:spacing w:after="0" w:line="240" w:lineRule="auto"/>
              <w:jc w:val="center"/>
              <w:rPr>
                <w:rFonts w:eastAsia="Times New Roman"/>
                <w:bCs/>
                <w:color w:val="000000"/>
                <w:sz w:val="22"/>
                <w:szCs w:val="20"/>
              </w:rPr>
            </w:pPr>
            <w:r>
              <w:t>LRP amplitude</w:t>
            </w:r>
          </w:p>
        </w:tc>
        <w:tc>
          <w:tcPr>
            <w:tcW w:w="2079" w:type="dxa"/>
            <w:tcBorders>
              <w:top w:val="nil"/>
              <w:left w:val="nil"/>
              <w:bottom w:val="single" w:sz="12" w:space="0" w:color="auto"/>
              <w:right w:val="nil"/>
            </w:tcBorders>
            <w:noWrap/>
            <w:vAlign w:val="center"/>
            <w:hideMark/>
          </w:tcPr>
          <w:p w14:paraId="6E08B069" w14:textId="77777777" w:rsidR="003E2AC3" w:rsidRPr="005B22F4" w:rsidRDefault="003E2AC3" w:rsidP="002D06AB">
            <w:pPr>
              <w:spacing w:after="0" w:line="240" w:lineRule="auto"/>
              <w:jc w:val="center"/>
              <w:rPr>
                <w:rFonts w:eastAsia="Times New Roman"/>
                <w:color w:val="000000"/>
                <w:sz w:val="20"/>
                <w:szCs w:val="20"/>
              </w:rPr>
            </w:pPr>
            <w:r>
              <w:t>duration × time (quadratic)</w:t>
            </w:r>
          </w:p>
        </w:tc>
        <w:tc>
          <w:tcPr>
            <w:tcW w:w="266" w:type="dxa"/>
            <w:tcBorders>
              <w:top w:val="nil"/>
              <w:left w:val="nil"/>
              <w:bottom w:val="single" w:sz="12" w:space="0" w:color="auto"/>
              <w:right w:val="nil"/>
            </w:tcBorders>
            <w:noWrap/>
            <w:vAlign w:val="center"/>
            <w:hideMark/>
          </w:tcPr>
          <w:p w14:paraId="5E64A66D"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56518E38" w14:textId="77777777" w:rsidR="00205CBC" w:rsidRDefault="00000000">
            <w:r>
              <w:t>p = .014</w:t>
            </w:r>
          </w:p>
        </w:tc>
        <w:tc>
          <w:tcPr>
            <w:tcW w:w="222" w:type="dxa"/>
            <w:tcBorders>
              <w:top w:val="nil"/>
              <w:left w:val="nil"/>
              <w:bottom w:val="single" w:sz="12" w:space="0" w:color="auto"/>
              <w:right w:val="nil"/>
            </w:tcBorders>
            <w:noWrap/>
            <w:vAlign w:val="center"/>
            <w:hideMark/>
          </w:tcPr>
          <w:p w14:paraId="11C9E665"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09986153" w14:textId="77777777" w:rsidR="00205CBC" w:rsidRDefault="00000000">
            <w:r>
              <w:t>–</w:t>
            </w:r>
          </w:p>
        </w:tc>
        <w:tc>
          <w:tcPr>
            <w:tcW w:w="222" w:type="dxa"/>
            <w:tcBorders>
              <w:top w:val="nil"/>
              <w:left w:val="nil"/>
              <w:bottom w:val="single" w:sz="12" w:space="0" w:color="auto"/>
              <w:right w:val="nil"/>
            </w:tcBorders>
            <w:noWrap/>
            <w:vAlign w:val="center"/>
            <w:hideMark/>
          </w:tcPr>
          <w:p w14:paraId="35DA5C35"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151039CB" w14:textId="77777777" w:rsidR="003E2AC3" w:rsidRPr="005B22F4" w:rsidRDefault="003E2AC3" w:rsidP="002D06AB">
            <w:pPr>
              <w:spacing w:after="0" w:line="240" w:lineRule="auto"/>
              <w:jc w:val="center"/>
              <w:rPr>
                <w:rFonts w:eastAsia="Times New Roman"/>
                <w:i/>
                <w:iCs/>
                <w:color w:val="000000"/>
                <w:sz w:val="20"/>
                <w:szCs w:val="20"/>
              </w:rPr>
            </w:pPr>
            <w:r>
              <w:t>– ¶</w:t>
            </w:r>
          </w:p>
        </w:tc>
        <w:tc>
          <w:tcPr>
            <w:tcW w:w="222" w:type="dxa"/>
            <w:tcBorders>
              <w:top w:val="nil"/>
              <w:left w:val="nil"/>
              <w:bottom w:val="single" w:sz="12" w:space="0" w:color="auto"/>
              <w:right w:val="nil"/>
            </w:tcBorders>
            <w:noWrap/>
            <w:vAlign w:val="center"/>
            <w:hideMark/>
          </w:tcPr>
          <w:p w14:paraId="2A85E0BD"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6D0B6AC7" w14:textId="77777777" w:rsidR="003E2AC3" w:rsidRPr="005B22F4" w:rsidRDefault="003E2AC3" w:rsidP="002D06AB">
            <w:pPr>
              <w:spacing w:after="0" w:line="240" w:lineRule="auto"/>
              <w:jc w:val="center"/>
              <w:rPr>
                <w:rFonts w:eastAsia="Times New Roman"/>
                <w:i/>
                <w:iCs/>
                <w:color w:val="000000"/>
                <w:sz w:val="20"/>
                <w:szCs w:val="20"/>
              </w:rPr>
            </w:pPr>
            <w:r>
              <w:t>– ¶</w:t>
            </w:r>
          </w:p>
        </w:tc>
      </w:tr>
    </w:tbl>
    <w:p w14:paraId="765A3A93" w14:textId="77777777" w:rsidR="003009E9" w:rsidRPr="00DD789D" w:rsidRDefault="003E2AC3" w:rsidP="00643E25">
      <w:pPr>
        <w:spacing w:before="120" w:after="120" w:line="259" w:lineRule="auto"/>
        <w:rPr>
          <w:iCs/>
          <w:sz w:val="20"/>
          <w:szCs w:val="18"/>
        </w:rPr>
      </w:pPr>
      <w:r>
        <w:rPr>
          <w:color w:val="1F4E9E"/>
        </w:rPr>
        <w:lastRenderedPageBreak/>
        <w:t>Note. Entries indicate p-values for significant effects. For stimulus- and delay-period time-bin effects, significance is based on the linear-trend or quadratic contrast rather than on the omnibus ANOVA (Methods). RS and response periods are unaffected (RS has only two time bins, where the omnibus and trend tests coincide exactly; the response period is analyzed on a single bin, so no trend decomposition applies there). Full ANOVA results, including effect sizes, are reported in Tables S2–S3. Time refers to the time-bin factor. RS = response signal. The response period is analyzed on its single informative bin, so its time-bin main effect and time-bin interactions (marked n/a†) are not separate tests (Methods). ‡ Significant on the omnibus test (p &lt; .001) but not as a full-window linear trend (p = .596): the effect is confined to the first half of the stimulus period and absent in the second half (Results; Table S4). § Not significant on the omnibus test (p = .136) but significant as a linear trend (p = .046); reported here for consistency with the trend criterion used throughout this table. ¶ No quadratic contrast exists for RS or Response (only two time bins).</w:t>
      </w:r>
    </w:p>
    <w:p w14:paraId="7E85FEDA" w14:textId="77777777" w:rsidR="00205CBC" w:rsidRDefault="00000000">
      <w:pPr>
        <w:pStyle w:val="Titre1"/>
      </w:pPr>
      <w:r>
        <w:rPr>
          <w:b w:val="0"/>
          <w:color w:val="1F4E9E"/>
        </w:rPr>
        <w:t>Appendix A. Behavioral predictions</w:t>
      </w:r>
    </w:p>
    <w:p w14:paraId="758EEF26" w14:textId="77777777" w:rsidR="00205CBC" w:rsidRDefault="00000000">
      <w:r>
        <w:rPr>
          <w:color w:val="1F4E9E"/>
        </w:rPr>
        <w:t>This appendix and the four that follow derive the predictions tested in each section of the Results. These derivations are what the empirical results are tested against; the parameter-space evaluation reported in Materials and Methods is used only to establish the range of effect sizes each architecture can produce. Where a proposition is established by a monotonicity argument rather than in closed form, this is stated.</w:t>
      </w:r>
    </w:p>
    <w:p w14:paraId="07796BAF" w14:textId="77777777" w:rsidR="00205CBC" w:rsidRDefault="00000000">
      <w:r>
        <w:rPr>
          <w:color w:val="1F4E9E"/>
        </w:rPr>
        <w:t xml:space="preserve">Setup and notation. Notation follows Theory (Materials and Methods) and Table A1. Write </w:t>
      </w:r>
      <m:oMath>
        <m:r>
          <w:rPr>
            <w:rFonts w:ascii="Cambria Math" w:hAnsi="Cambria Math"/>
            <w:color w:val="1F4E9E"/>
          </w:rPr>
          <m:t>c</m:t>
        </m:r>
      </m:oMath>
      <w:r>
        <w:rPr>
          <w:color w:val="1F4E9E"/>
        </w:rPr>
        <w:t xml:space="preserve"> for motion coherence, </w:t>
      </w:r>
      <m:oMath>
        <m:r>
          <w:rPr>
            <w:rFonts w:ascii="Cambria Math" w:hAnsi="Cambria Math"/>
            <w:color w:val="1F4E9E"/>
          </w:rPr>
          <m:t>D</m:t>
        </m:r>
      </m:oMath>
      <w:r>
        <w:rPr>
          <w:color w:val="1F4E9E"/>
        </w:rPr>
        <w:t xml:space="preserve"> for stimulus duration and </w:t>
      </w:r>
      <m:oMath>
        <m:r>
          <w:rPr>
            <w:rFonts w:ascii="Cambria Math" w:hAnsi="Cambria Math"/>
            <w:color w:val="1F4E9E"/>
          </w:rPr>
          <m:t>t</m:t>
        </m:r>
      </m:oMath>
      <w:r>
        <w:rPr>
          <w:color w:val="1F4E9E"/>
        </w:rPr>
        <w:t xml:space="preserve"> for time from motion-stimulus onset. Encoded motion evidence is available to the first accumulator over the interval from </w:t>
      </w:r>
      <m:oMath>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xml:space="preserve"> to </w:t>
      </w:r>
      <m:oMath>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r>
          <m:rPr>
            <m:nor/>
          </m:rPr>
          <w:rPr>
            <w:rFonts w:ascii="Cambria Math" w:hAnsi="Cambria Math"/>
            <w:color w:val="1F4E9E"/>
          </w:rPr>
          <m:t>+</m:t>
        </m:r>
        <m:r>
          <w:rPr>
            <w:rFonts w:ascii="Cambria Math" w:hAnsi="Cambria Math"/>
            <w:color w:val="1F4E9E"/>
          </w:rPr>
          <m:t>D</m:t>
        </m:r>
      </m:oMath>
      <w:r>
        <w:rPr>
          <w:color w:val="1F4E9E"/>
        </w:rPr>
        <w:t xml:space="preserve">, where </w:t>
      </w:r>
      <m:oMath>
        <m:r>
          <m:rPr>
            <m:nor/>
          </m:rPr>
          <w:rPr>
            <w:rFonts w:ascii="Cambria Math" w:hAnsi="Cambria Math"/>
            <w:color w:val="1F4E9E"/>
          </w:rPr>
          <m:t>d</m:t>
        </m:r>
        <m:r>
          <w:rPr>
            <w:rFonts w:ascii="Cambria Math" w:hAnsi="Cambria Math"/>
            <w:color w:val="1F4E9E"/>
          </w:rPr>
          <m:t>x</m:t>
        </m:r>
        <m:r>
          <m:rPr>
            <m:nor/>
          </m:rPr>
          <w:rPr>
            <w:rFonts w:ascii="Cambria Math" w:hAnsi="Cambria Math"/>
            <w:color w:val="1F4E9E"/>
          </w:rPr>
          <m:t>=</m:t>
        </m:r>
        <m:r>
          <w:rPr>
            <w:rFonts w:ascii="Cambria Math" w:hAnsi="Cambria Math"/>
            <w:color w:val="1F4E9E"/>
          </w:rPr>
          <m:t>skc</m:t>
        </m:r>
        <m:r>
          <m:rPr>
            <m:nor/>
          </m:rPr>
          <w:rPr>
            <w:rFonts w:ascii="Cambria Math" w:hAnsi="Cambria Math"/>
            <w:color w:val="1F4E9E"/>
          </w:rPr>
          <m:t> d</m:t>
        </m:r>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x</m:t>
            </m:r>
          </m:sub>
        </m:sSub>
        <m:r>
          <m:rPr>
            <m:nor/>
          </m:rPr>
          <w:rPr>
            <w:rFonts w:ascii="Cambria Math" w:hAnsi="Cambria Math"/>
            <w:color w:val="1F4E9E"/>
          </w:rPr>
          <m:t> d</m:t>
        </m:r>
        <m:sSub>
          <m:sSubPr>
            <m:ctrlPr>
              <w:rPr>
                <w:rFonts w:ascii="Cambria Math" w:hAnsi="Cambria Math"/>
              </w:rPr>
            </m:ctrlPr>
          </m:sSubPr>
          <m:e>
            <m:r>
              <w:rPr>
                <w:rFonts w:ascii="Cambria Math" w:hAnsi="Cambria Math"/>
                <w:color w:val="1F4E9E"/>
              </w:rPr>
              <m:t>W</m:t>
            </m:r>
          </m:e>
          <m:sub>
            <m:r>
              <w:rPr>
                <w:rFonts w:ascii="Cambria Math" w:hAnsi="Cambria Math"/>
                <w:color w:val="1F4E9E"/>
              </w:rPr>
              <m:t>x</m:t>
            </m:r>
          </m:sub>
        </m:sSub>
      </m:oMath>
      <w:r>
        <w:rPr>
          <w:color w:val="1F4E9E"/>
        </w:rPr>
        <w:t xml:space="preserve"> with </w:t>
      </w:r>
      <m:oMath>
        <m:r>
          <w:rPr>
            <w:rFonts w:ascii="Cambria Math" w:hAnsi="Cambria Math"/>
            <w:color w:val="1F4E9E"/>
          </w:rPr>
          <m:t>s</m:t>
        </m:r>
        <m:r>
          <m:rPr>
            <m:nor/>
          </m:rPr>
          <w:rPr>
            <w:rFonts w:ascii="Cambria Math" w:hAnsi="Cambria Math"/>
            <w:color w:val="1F4E9E"/>
          </w:rPr>
          <m:t>=±1</m:t>
        </m:r>
      </m:oMath>
      <w:r>
        <w:rPr>
          <w:color w:val="1F4E9E"/>
        </w:rPr>
        <w:t xml:space="preserve"> the direction of motion, and is transmitted to motor preparation through the first-order filter </w:t>
      </w:r>
      <m:oMath>
        <m:r>
          <m:rPr>
            <m:nor/>
          </m:rPr>
          <w:rPr>
            <w:rFonts w:ascii="Cambria Math" w:hAnsi="Cambria Math"/>
            <w:color w:val="1F4E9E"/>
          </w:rPr>
          <m:t>d</m:t>
        </m:r>
        <m:r>
          <w:rPr>
            <w:rFonts w:ascii="Cambria Math" w:hAnsi="Cambria Math"/>
            <w:color w:val="1F4E9E"/>
          </w:rPr>
          <m:t>y</m:t>
        </m:r>
        <m:r>
          <m:rPr>
            <m:nor/>
          </m:rPr>
          <w:rPr>
            <w:rFonts w:ascii="Cambria Math" w:hAnsi="Cambria Math"/>
            <w:color w:val="1F4E9E"/>
          </w:rPr>
          <m:t>=</m:t>
        </m:r>
        <m:r>
          <w:rPr>
            <w:rFonts w:ascii="Cambria Math" w:hAnsi="Cambria Math"/>
            <w:color w:val="1F4E9E"/>
          </w:rPr>
          <m:t>λ</m:t>
        </m:r>
        <m:d>
          <m:dPr>
            <m:ctrlPr>
              <w:rPr>
                <w:rFonts w:ascii="Cambria Math" w:hAnsi="Cambria Math"/>
              </w:rPr>
            </m:ctrlPr>
          </m:dPr>
          <m:e>
            <m:r>
              <w:rPr>
                <w:rFonts w:ascii="Cambria Math" w:hAnsi="Cambria Math"/>
                <w:color w:val="1F4E9E"/>
              </w:rPr>
              <m:t>x</m:t>
            </m:r>
            <m:r>
              <m:rPr>
                <m:nor/>
              </m:rPr>
              <w:rPr>
                <w:rFonts w:ascii="Cambria Math" w:hAnsi="Cambria Math"/>
                <w:color w:val="1F4E9E"/>
              </w:rPr>
              <m:t>-</m:t>
            </m:r>
            <m:r>
              <w:rPr>
                <w:rFonts w:ascii="Cambria Math" w:hAnsi="Cambria Math"/>
                <w:color w:val="1F4E9E"/>
              </w:rPr>
              <m:t>y</m:t>
            </m:r>
          </m:e>
        </m:d>
        <m:r>
          <m:rPr>
            <m:nor/>
          </m:rPr>
          <w:rPr>
            <w:rFonts w:ascii="Cambria Math" w:hAnsi="Cambria Math"/>
            <w:color w:val="1F4E9E"/>
          </w:rPr>
          <m:t> d</m:t>
        </m:r>
        <m:r>
          <w:rPr>
            <w:rFonts w:ascii="Cambria Math" w:hAnsi="Cambria Math"/>
            <w:color w:val="1F4E9E"/>
          </w:rPr>
          <m:t>t</m:t>
        </m:r>
      </m:oMath>
      <w:r>
        <w:rPr>
          <w:color w:val="1F4E9E"/>
        </w:rPr>
        <w:t xml:space="preserve"> (Equations (1) and (2)). Maintenance begins at the first time in that interval at which </w:t>
      </w:r>
      <m:oMath>
        <m:d>
          <m:dPr>
            <m:begChr m:val="|"/>
            <m:endChr m:val="|"/>
            <m:ctrlPr>
              <w:rPr>
                <w:rFonts w:ascii="Cambria Math" w:hAnsi="Cambria Math"/>
              </w:rPr>
            </m:ctrlPr>
          </m:dPr>
          <m:e>
            <m:r>
              <w:rPr>
                <w:rFonts w:ascii="Cambria Math" w:hAnsi="Cambria Math"/>
                <w:color w:val="1F4E9E"/>
              </w:rPr>
              <m:t>y</m:t>
            </m:r>
          </m:e>
        </m:d>
      </m:oMath>
      <w:r>
        <w:rPr>
          <w:color w:val="1F4E9E"/>
        </w:rPr>
        <w:t xml:space="preserve"> reaches the internal threshold </w:t>
      </w:r>
      <m:oMath>
        <m:r>
          <w:rPr>
            <w:rFonts w:ascii="Cambria Math" w:hAnsi="Cambria Math"/>
            <w:color w:val="1F4E9E"/>
          </w:rPr>
          <m:t>θ</m:t>
        </m:r>
      </m:oMath>
      <w:r>
        <w:rPr>
          <w:color w:val="1F4E9E"/>
        </w:rPr>
        <w:t xml:space="preserve">, and otherwise at its end; the maintained level is </w:t>
      </w:r>
      <m:oMath>
        <m:r>
          <w:rPr>
            <w:rFonts w:ascii="Cambria Math" w:hAnsi="Cambria Math"/>
            <w:color w:val="1F4E9E"/>
          </w:rPr>
          <m:t>m</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θ</m:t>
        </m:r>
      </m:oMath>
      <w:r>
        <w:rPr>
          <w:color w:val="1F4E9E"/>
        </w:rPr>
        <w:t xml:space="preserve"> in the first case and </w:t>
      </w:r>
      <m:oMath>
        <m:r>
          <w:rPr>
            <w:rFonts w:ascii="Cambria Math" w:hAnsi="Cambria Math"/>
            <w:color w:val="1F4E9E"/>
          </w:rPr>
          <m:t>m</m:t>
        </m:r>
        <m:r>
          <m:rPr>
            <m:nor/>
          </m:rPr>
          <w:rPr>
            <w:rFonts w:ascii="Cambria Math" w:hAnsi="Cambria Math"/>
            <w:color w:val="1F4E9E"/>
          </w:rPr>
          <m:t>=</m:t>
        </m:r>
        <m:r>
          <w:rPr>
            <w:rFonts w:ascii="Cambria Math" w:hAnsi="Cambria Math"/>
            <w:color w:val="1F4E9E"/>
          </w:rPr>
          <m:t>y</m:t>
        </m:r>
        <m:d>
          <m:dPr>
            <m:ctrlPr>
              <w:rPr>
                <w:rFonts w:ascii="Cambria Math" w:hAnsi="Cambria Math"/>
              </w:rPr>
            </m:ctrlPr>
          </m:dPr>
          <m:e>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r>
              <m:rPr>
                <m:nor/>
              </m:rPr>
              <w:rPr>
                <w:rFonts w:ascii="Cambria Math" w:hAnsi="Cambria Math"/>
                <w:color w:val="1F4E9E"/>
              </w:rPr>
              <m:t>+</m:t>
            </m:r>
            <m:r>
              <w:rPr>
                <w:rFonts w:ascii="Cambria Math" w:hAnsi="Cambria Math"/>
                <w:color w:val="1F4E9E"/>
              </w:rPr>
              <m:t>D</m:t>
            </m:r>
          </m:e>
        </m:d>
      </m:oMath>
      <w:r>
        <w:rPr>
          <w:color w:val="1F4E9E"/>
        </w:rPr>
        <w:t xml:space="preserve"> in the second, so that </w:t>
      </w:r>
      <m:oMath>
        <m:d>
          <m:dPr>
            <m:begChr m:val="|"/>
            <m:endChr m:val="|"/>
            <m:ctrlPr>
              <w:rPr>
                <w:rFonts w:ascii="Cambria Math" w:hAnsi="Cambria Math"/>
              </w:rPr>
            </m:ctrlPr>
          </m:dPr>
          <m:e>
            <m:r>
              <w:rPr>
                <w:rFonts w:ascii="Cambria Math" w:hAnsi="Cambria Math"/>
                <w:color w:val="1F4E9E"/>
              </w:rPr>
              <m:t>m</m:t>
            </m:r>
          </m:e>
        </m:d>
        <m:r>
          <m:rPr>
            <m:nor/>
          </m:rPr>
          <w:rPr>
            <w:rFonts w:ascii="Cambria Math" w:hAnsi="Cambria Math"/>
            <w:color w:val="1F4E9E"/>
          </w:rPr>
          <m:t>≤</m:t>
        </m:r>
        <m:r>
          <w:rPr>
            <w:rFonts w:ascii="Cambria Math" w:hAnsi="Cambria Math"/>
            <w:color w:val="1F4E9E"/>
          </w:rPr>
          <m:t>θ</m:t>
        </m:r>
      </m:oMath>
      <w:r>
        <w:rPr>
          <w:color w:val="1F4E9E"/>
        </w:rPr>
        <w:t xml:space="preserve"> on every trial. Write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xml:space="preserve"> and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RS</m:t>
            </m:r>
          </m:sub>
        </m:sSub>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+3+</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RS</m:t>
            </m:r>
          </m:sub>
        </m:sSub>
      </m:oMath>
      <w:r>
        <w:rPr>
          <w:color w:val="1F4E9E"/>
        </w:rPr>
        <w:t xml:space="preserve">. Under Model 2 the gate-facing signal carries in addition a ramp of magnitude </w:t>
      </w:r>
      <m:oMath>
        <m:r>
          <w:rPr>
            <w:rFonts w:ascii="Cambria Math" w:hAnsi="Cambria Math"/>
            <w:color w:val="1F4E9E"/>
          </w:rPr>
          <m:t>β</m:t>
        </m:r>
        <m:d>
          <m:dPr>
            <m:ctrlPr>
              <w:rPr>
                <w:rFonts w:ascii="Cambria Math" w:hAnsi="Cambria Math"/>
              </w:rPr>
            </m:ctrlPr>
          </m:dPr>
          <m:e>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r>
          <m:rPr>
            <m:nor/>
          </m:rPr>
          <w:rPr>
            <w:rFonts w:ascii="Cambria Math" w:hAnsi="Cambria Math"/>
            <w:color w:val="1F4E9E"/>
          </w:rPr>
          <m:t>/</m:t>
        </m:r>
        <m:r>
          <w:rPr>
            <w:rFonts w:ascii="Cambria Math" w:hAnsi="Cambria Math"/>
            <w:color w:val="1F4E9E"/>
          </w:rPr>
          <m:t>Δ</m:t>
        </m:r>
      </m:oMath>
      <w:r>
        <w:rPr>
          <w:color w:val="1F4E9E"/>
        </w:rPr>
        <w:t xml:space="preserve"> over the delay, with </w:t>
      </w:r>
      <m:oMath>
        <m:r>
          <w:rPr>
            <w:rFonts w:ascii="Cambria Math" w:hAnsi="Cambria Math"/>
            <w:color w:val="1F4E9E"/>
          </w:rPr>
          <m:t>Δ</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RS</m:t>
            </m:r>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oMath>
      <w:r>
        <w:rPr>
          <w:color w:val="1F4E9E"/>
        </w:rPr>
        <w:t xml:space="preserve">; under Model 1, </w:t>
      </w:r>
      <m:oMath>
        <m:r>
          <w:rPr>
            <w:rFonts w:ascii="Cambria Math" w:hAnsi="Cambria Math"/>
            <w:color w:val="1F4E9E"/>
          </w:rPr>
          <m:t>β</m:t>
        </m:r>
        <m:r>
          <m:rPr>
            <m:nor/>
          </m:rPr>
          <w:rPr>
            <w:rFonts w:ascii="Cambria Math" w:hAnsi="Cambria Math"/>
            <w:color w:val="1F4E9E"/>
          </w:rPr>
          <m:t>=0</m:t>
        </m:r>
      </m:oMath>
      <w:r>
        <w:rPr>
          <w:color w:val="1F4E9E"/>
        </w:rPr>
        <w:t>.</w:t>
      </w:r>
    </w:p>
    <w:p w14:paraId="5824DB2F" w14:textId="77777777" w:rsidR="0099074B" w:rsidRPr="0099074B" w:rsidRDefault="0099074B" w:rsidP="0099074B">
      <w:pPr>
        <w:spacing w:before="100" w:beforeAutospacing="1" w:after="100" w:afterAutospacing="1" w:line="240" w:lineRule="auto"/>
        <w:rPr>
          <w:rFonts w:eastAsia="Times New Roman"/>
          <w:color w:val="1F4E9E"/>
          <w:lang w:eastAsia="fr-FR"/>
        </w:rPr>
      </w:pPr>
      <w:r w:rsidRPr="0099074B">
        <w:rPr>
          <w:rFonts w:eastAsia="Times New Roman"/>
          <w:b/>
          <w:bCs/>
          <w:color w:val="1F4E9E"/>
          <w:lang w:eastAsia="fr-FR"/>
        </w:rPr>
        <w:lastRenderedPageBreak/>
        <w:t xml:space="preserve">Table A1. </w:t>
      </w:r>
      <w:r w:rsidRPr="0099074B">
        <w:rPr>
          <w:rFonts w:eastAsia="Times New Roman"/>
          <w:bCs/>
          <w:color w:val="FF0000"/>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5F8210D9" w14:textId="77777777" w:rsidTr="009D11F7">
        <w:tc>
          <w:tcPr>
            <w:tcW w:w="993" w:type="dxa"/>
            <w:tcBorders>
              <w:top w:val="single" w:sz="4" w:space="0" w:color="auto"/>
              <w:left w:val="nil"/>
              <w:bottom w:val="single" w:sz="4" w:space="0" w:color="auto"/>
              <w:right w:val="nil"/>
            </w:tcBorders>
            <w:vAlign w:val="center"/>
            <w:hideMark/>
          </w:tcPr>
          <w:p w14:paraId="18F98646" w14:textId="77777777" w:rsidR="0099074B" w:rsidRPr="0099074B" w:rsidRDefault="0099074B" w:rsidP="0099074B">
            <w:pPr>
              <w:spacing w:line="259" w:lineRule="auto"/>
              <w:rPr>
                <w:b/>
                <w:bCs/>
                <w:color w:val="1F4E9E"/>
                <w:sz w:val="22"/>
                <w:szCs w:val="22"/>
                <w:lang w:val="fr-FR"/>
              </w:rPr>
            </w:pPr>
            <w:r w:rsidRPr="0099074B">
              <w:rPr>
                <w:bCs/>
                <w:color w:val="FF0000"/>
                <w:sz w:val="22"/>
                <w:szCs w:val="22"/>
                <w:lang w:val="fr-FR"/>
              </w:rPr>
              <w:t>Symbol</w:t>
            </w:r>
          </w:p>
        </w:tc>
        <w:tc>
          <w:tcPr>
            <w:tcW w:w="4394" w:type="dxa"/>
            <w:tcBorders>
              <w:top w:val="single" w:sz="4" w:space="0" w:color="auto"/>
              <w:left w:val="nil"/>
              <w:bottom w:val="single" w:sz="4" w:space="0" w:color="auto"/>
              <w:right w:val="nil"/>
            </w:tcBorders>
            <w:vAlign w:val="center"/>
            <w:hideMark/>
          </w:tcPr>
          <w:p w14:paraId="37A0E9FF" w14:textId="77777777" w:rsidR="0099074B" w:rsidRPr="0099074B" w:rsidRDefault="0099074B" w:rsidP="0099074B">
            <w:pPr>
              <w:spacing w:line="259" w:lineRule="auto"/>
              <w:jc w:val="center"/>
              <w:rPr>
                <w:b/>
                <w:bCs/>
                <w:color w:val="1F4E9E"/>
                <w:sz w:val="22"/>
                <w:szCs w:val="22"/>
                <w:lang w:val="fr-FR"/>
              </w:rPr>
            </w:pPr>
            <w:r w:rsidRPr="0099074B">
              <w:rPr>
                <w:bCs/>
                <w:color w:val="FF0000"/>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333DA8D0" w14:textId="77777777" w:rsidR="0099074B" w:rsidRPr="0099074B" w:rsidRDefault="0099074B" w:rsidP="0099074B">
            <w:pPr>
              <w:spacing w:line="259" w:lineRule="auto"/>
              <w:jc w:val="center"/>
              <w:rPr>
                <w:b/>
                <w:bCs/>
                <w:color w:val="1F4E9E"/>
                <w:sz w:val="22"/>
                <w:szCs w:val="22"/>
              </w:rPr>
            </w:pPr>
            <w:r w:rsidRPr="0099074B">
              <w:rPr>
                <w:bCs/>
                <w:color w:val="FF0000"/>
                <w:sz w:val="22"/>
                <w:szCs w:val="22"/>
              </w:rPr>
              <w:t>Value or range used in simulations (if applicable)</w:t>
            </w:r>
          </w:p>
        </w:tc>
      </w:tr>
      <w:tr w:rsidR="0099074B" w:rsidRPr="0099074B" w14:paraId="262C63C3" w14:textId="77777777" w:rsidTr="009D11F7">
        <w:tc>
          <w:tcPr>
            <w:tcW w:w="993" w:type="dxa"/>
            <w:tcBorders>
              <w:top w:val="single" w:sz="4" w:space="0" w:color="auto"/>
              <w:left w:val="nil"/>
              <w:bottom w:val="nil"/>
              <w:right w:val="nil"/>
            </w:tcBorders>
            <w:vAlign w:val="center"/>
            <w:hideMark/>
          </w:tcPr>
          <w:p w14:paraId="1BCD342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t</w:t>
            </w:r>
          </w:p>
        </w:tc>
        <w:tc>
          <w:tcPr>
            <w:tcW w:w="4394" w:type="dxa"/>
            <w:tcBorders>
              <w:top w:val="single" w:sz="4" w:space="0" w:color="auto"/>
              <w:left w:val="nil"/>
              <w:bottom w:val="nil"/>
              <w:right w:val="nil"/>
            </w:tcBorders>
            <w:vAlign w:val="center"/>
            <w:hideMark/>
          </w:tcPr>
          <w:p w14:paraId="2A5624B8" w14:textId="77777777" w:rsidR="0099074B" w:rsidRPr="0099074B" w:rsidRDefault="0099074B" w:rsidP="0099074B">
            <w:pPr>
              <w:spacing w:line="259" w:lineRule="auto"/>
              <w:jc w:val="center"/>
              <w:rPr>
                <w:color w:val="1F4E9E"/>
                <w:sz w:val="22"/>
                <w:szCs w:val="22"/>
              </w:rPr>
            </w:pPr>
            <w:r w:rsidRPr="0099074B">
              <w:rPr>
                <w:color w:val="FF0000"/>
                <w:sz w:val="22"/>
                <w:szCs w:val="22"/>
              </w:rPr>
              <w:t>Time measured from motion-stimulus onset</w:t>
            </w:r>
          </w:p>
        </w:tc>
        <w:tc>
          <w:tcPr>
            <w:tcW w:w="3685" w:type="dxa"/>
            <w:tcBorders>
              <w:top w:val="single" w:sz="4" w:space="0" w:color="auto"/>
              <w:left w:val="nil"/>
              <w:bottom w:val="nil"/>
              <w:right w:val="nil"/>
            </w:tcBorders>
            <w:vAlign w:val="center"/>
            <w:hideMark/>
          </w:tcPr>
          <w:p w14:paraId="45CB5FF0"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w:t>
            </w:r>
          </w:p>
        </w:tc>
      </w:tr>
      <w:tr w:rsidR="0099074B" w:rsidRPr="0099074B" w14:paraId="3CA464E7" w14:textId="77777777" w:rsidTr="009D11F7">
        <w:tc>
          <w:tcPr>
            <w:tcW w:w="993" w:type="dxa"/>
            <w:tcBorders>
              <w:top w:val="nil"/>
              <w:left w:val="nil"/>
              <w:bottom w:val="nil"/>
              <w:right w:val="nil"/>
            </w:tcBorders>
            <w:vAlign w:val="center"/>
            <w:hideMark/>
          </w:tcPr>
          <w:p w14:paraId="0FFC070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x(t)</w:t>
            </w:r>
          </w:p>
        </w:tc>
        <w:tc>
          <w:tcPr>
            <w:tcW w:w="4394" w:type="dxa"/>
            <w:tcBorders>
              <w:top w:val="nil"/>
              <w:left w:val="nil"/>
              <w:bottom w:val="nil"/>
              <w:right w:val="nil"/>
            </w:tcBorders>
            <w:vAlign w:val="center"/>
            <w:hideMark/>
          </w:tcPr>
          <w:p w14:paraId="52A78E69"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Accumulated</w:t>
            </w:r>
            <w:proofErr w:type="spellEnd"/>
            <w:r w:rsidRPr="0099074B">
              <w:rPr>
                <w:color w:val="FF0000"/>
                <w:sz w:val="22"/>
                <w:szCs w:val="22"/>
                <w:lang w:val="fr-FR"/>
              </w:rPr>
              <w:t xml:space="preserve"> motion </w:t>
            </w:r>
            <w:proofErr w:type="spellStart"/>
            <w:r w:rsidRPr="0099074B">
              <w:rPr>
                <w:color w:val="FF0000"/>
                <w:sz w:val="22"/>
                <w:szCs w:val="22"/>
                <w:lang w:val="fr-FR"/>
              </w:rPr>
              <w:t>evidence</w:t>
            </w:r>
            <w:proofErr w:type="spellEnd"/>
          </w:p>
        </w:tc>
        <w:tc>
          <w:tcPr>
            <w:tcW w:w="3685" w:type="dxa"/>
            <w:tcBorders>
              <w:top w:val="nil"/>
              <w:left w:val="nil"/>
              <w:bottom w:val="nil"/>
              <w:right w:val="nil"/>
            </w:tcBorders>
            <w:vAlign w:val="center"/>
            <w:hideMark/>
          </w:tcPr>
          <w:p w14:paraId="010F2252"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(1)</w:t>
            </w:r>
          </w:p>
        </w:tc>
      </w:tr>
      <w:tr w:rsidR="0099074B" w:rsidRPr="0099074B" w14:paraId="4A8A4FA4" w14:textId="77777777" w:rsidTr="009D11F7">
        <w:tc>
          <w:tcPr>
            <w:tcW w:w="993" w:type="dxa"/>
            <w:tcBorders>
              <w:top w:val="nil"/>
              <w:left w:val="nil"/>
              <w:bottom w:val="nil"/>
              <w:right w:val="nil"/>
            </w:tcBorders>
            <w:vAlign w:val="center"/>
            <w:hideMark/>
          </w:tcPr>
          <w:p w14:paraId="09BFC5D8"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ₘₒₜᵢₒₙ</w:t>
            </w:r>
          </w:p>
        </w:tc>
        <w:tc>
          <w:tcPr>
            <w:tcW w:w="4394" w:type="dxa"/>
            <w:tcBorders>
              <w:top w:val="nil"/>
              <w:left w:val="nil"/>
              <w:bottom w:val="nil"/>
              <w:right w:val="nil"/>
            </w:tcBorders>
            <w:vAlign w:val="center"/>
            <w:hideMark/>
          </w:tcPr>
          <w:p w14:paraId="1D1598D5"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6094E10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2F1D3D07" w14:textId="77777777" w:rsidTr="009D11F7">
        <w:tc>
          <w:tcPr>
            <w:tcW w:w="993" w:type="dxa"/>
            <w:tcBorders>
              <w:top w:val="nil"/>
              <w:left w:val="nil"/>
              <w:bottom w:val="nil"/>
              <w:right w:val="nil"/>
            </w:tcBorders>
            <w:vAlign w:val="center"/>
            <w:hideMark/>
          </w:tcPr>
          <w:p w14:paraId="371E2EF4"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p>
        </w:tc>
        <w:tc>
          <w:tcPr>
            <w:tcW w:w="4394" w:type="dxa"/>
            <w:tcBorders>
              <w:top w:val="nil"/>
              <w:left w:val="nil"/>
              <w:bottom w:val="nil"/>
              <w:right w:val="nil"/>
            </w:tcBorders>
            <w:vAlign w:val="center"/>
            <w:hideMark/>
          </w:tcPr>
          <w:p w14:paraId="1BFC2175"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direction</w:t>
            </w:r>
          </w:p>
        </w:tc>
        <w:tc>
          <w:tcPr>
            <w:tcW w:w="3685" w:type="dxa"/>
            <w:tcBorders>
              <w:top w:val="nil"/>
              <w:left w:val="nil"/>
              <w:bottom w:val="nil"/>
              <w:right w:val="nil"/>
            </w:tcBorders>
            <w:vAlign w:val="center"/>
            <w:hideMark/>
          </w:tcPr>
          <w:p w14:paraId="329C3EAD"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−1 or +1</w:t>
            </w:r>
          </w:p>
        </w:tc>
      </w:tr>
      <w:tr w:rsidR="0099074B" w:rsidRPr="0099074B" w14:paraId="65CAE643" w14:textId="77777777" w:rsidTr="009D11F7">
        <w:tc>
          <w:tcPr>
            <w:tcW w:w="993" w:type="dxa"/>
            <w:tcBorders>
              <w:top w:val="nil"/>
              <w:left w:val="nil"/>
              <w:bottom w:val="nil"/>
              <w:right w:val="nil"/>
            </w:tcBorders>
            <w:vAlign w:val="center"/>
            <w:hideMark/>
          </w:tcPr>
          <w:p w14:paraId="0FBB08A4"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c</w:t>
            </w:r>
          </w:p>
        </w:tc>
        <w:tc>
          <w:tcPr>
            <w:tcW w:w="4394" w:type="dxa"/>
            <w:tcBorders>
              <w:top w:val="nil"/>
              <w:left w:val="nil"/>
              <w:bottom w:val="nil"/>
              <w:right w:val="nil"/>
            </w:tcBorders>
            <w:vAlign w:val="center"/>
            <w:hideMark/>
          </w:tcPr>
          <w:p w14:paraId="15473FE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Motion </w:t>
            </w:r>
            <w:proofErr w:type="spellStart"/>
            <w:r w:rsidRPr="0099074B">
              <w:rPr>
                <w:color w:val="FF0000"/>
                <w:sz w:val="22"/>
                <w:szCs w:val="22"/>
                <w:lang w:val="fr-FR"/>
              </w:rPr>
              <w:t>coherence</w:t>
            </w:r>
            <w:proofErr w:type="spellEnd"/>
          </w:p>
        </w:tc>
        <w:tc>
          <w:tcPr>
            <w:tcW w:w="3685" w:type="dxa"/>
            <w:tcBorders>
              <w:top w:val="nil"/>
              <w:left w:val="nil"/>
              <w:bottom w:val="nil"/>
              <w:right w:val="nil"/>
            </w:tcBorders>
            <w:vAlign w:val="center"/>
            <w:hideMark/>
          </w:tcPr>
          <w:p w14:paraId="696BC0A8"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 0.12, or 0.50</w:t>
            </w:r>
          </w:p>
        </w:tc>
      </w:tr>
      <w:tr w:rsidR="0099074B" w:rsidRPr="0099074B" w14:paraId="5D84E35D" w14:textId="77777777" w:rsidTr="009D11F7">
        <w:tc>
          <w:tcPr>
            <w:tcW w:w="993" w:type="dxa"/>
            <w:tcBorders>
              <w:top w:val="nil"/>
              <w:left w:val="nil"/>
              <w:bottom w:val="nil"/>
              <w:right w:val="nil"/>
            </w:tcBorders>
            <w:vAlign w:val="center"/>
            <w:hideMark/>
          </w:tcPr>
          <w:p w14:paraId="33F0947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k</w:t>
            </w:r>
          </w:p>
        </w:tc>
        <w:tc>
          <w:tcPr>
            <w:tcW w:w="4394" w:type="dxa"/>
            <w:tcBorders>
              <w:top w:val="nil"/>
              <w:left w:val="nil"/>
              <w:bottom w:val="nil"/>
              <w:right w:val="nil"/>
            </w:tcBorders>
            <w:vAlign w:val="center"/>
            <w:hideMark/>
          </w:tcPr>
          <w:p w14:paraId="2F7DA527" w14:textId="77777777" w:rsidR="0099074B" w:rsidRPr="0099074B" w:rsidRDefault="0099074B" w:rsidP="0099074B">
            <w:pPr>
              <w:spacing w:line="259" w:lineRule="auto"/>
              <w:jc w:val="center"/>
              <w:rPr>
                <w:color w:val="1F4E9E"/>
                <w:sz w:val="22"/>
                <w:szCs w:val="22"/>
              </w:rPr>
            </w:pPr>
            <w:r w:rsidRPr="0099074B">
              <w:rPr>
                <w:color w:val="FF0000"/>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02359AEB" w14:textId="77777777" w:rsidR="0099074B" w:rsidRPr="0099074B" w:rsidRDefault="0099074B" w:rsidP="0099074B">
            <w:pPr>
              <w:spacing w:line="259" w:lineRule="auto"/>
              <w:jc w:val="right"/>
              <w:rPr>
                <w:color w:val="1F4E9E"/>
                <w:sz w:val="22"/>
                <w:szCs w:val="22"/>
              </w:rPr>
            </w:pPr>
            <w:r w:rsidRPr="0099074B">
              <w:rPr>
                <w:color w:val="1F4E9E"/>
                <w:sz w:val="22"/>
                <w:szCs w:val="22"/>
              </w:rPr>
              <w:t>0.5–2.0 (log-uniform); Dendauw et al. (2024) estimate 1.183</w:t>
            </w:r>
          </w:p>
        </w:tc>
      </w:tr>
      <w:tr w:rsidR="0099074B" w:rsidRPr="0099074B" w14:paraId="4D621865" w14:textId="77777777" w:rsidTr="009D11F7">
        <w:tc>
          <w:tcPr>
            <w:tcW w:w="993" w:type="dxa"/>
            <w:tcBorders>
              <w:top w:val="nil"/>
              <w:left w:val="nil"/>
              <w:bottom w:val="nil"/>
              <w:right w:val="nil"/>
            </w:tcBorders>
            <w:vAlign w:val="center"/>
            <w:hideMark/>
          </w:tcPr>
          <w:p w14:paraId="4E135741"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σ</w:t>
            </w:r>
            <w:r w:rsidRPr="0099074B">
              <w:rPr>
                <w:color w:val="FF0000"/>
                <w:sz w:val="22"/>
                <w:szCs w:val="22"/>
                <w:lang w:val="fr-FR"/>
              </w:rPr>
              <w:t>ₓ</w:t>
            </w:r>
          </w:p>
        </w:tc>
        <w:tc>
          <w:tcPr>
            <w:tcW w:w="4394" w:type="dxa"/>
            <w:tcBorders>
              <w:top w:val="nil"/>
              <w:left w:val="nil"/>
              <w:bottom w:val="nil"/>
              <w:right w:val="nil"/>
            </w:tcBorders>
            <w:vAlign w:val="center"/>
            <w:hideMark/>
          </w:tcPr>
          <w:p w14:paraId="57073BBE"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motion-</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nil"/>
              <w:right w:val="nil"/>
            </w:tcBorders>
            <w:vAlign w:val="center"/>
            <w:hideMark/>
          </w:tcPr>
          <w:p w14:paraId="4B8BCDC7"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0.100</w:t>
            </w:r>
          </w:p>
        </w:tc>
      </w:tr>
      <w:tr w:rsidR="0099074B" w:rsidRPr="0099074B" w14:paraId="48D648BA" w14:textId="77777777" w:rsidTr="009D11F7">
        <w:tc>
          <w:tcPr>
            <w:tcW w:w="993" w:type="dxa"/>
            <w:tcBorders>
              <w:top w:val="nil"/>
              <w:left w:val="nil"/>
              <w:bottom w:val="nil"/>
              <w:right w:val="nil"/>
            </w:tcBorders>
            <w:vAlign w:val="center"/>
            <w:hideMark/>
          </w:tcPr>
          <w:p w14:paraId="474EB10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y(t)</w:t>
            </w:r>
          </w:p>
        </w:tc>
        <w:tc>
          <w:tcPr>
            <w:tcW w:w="4394" w:type="dxa"/>
            <w:tcBorders>
              <w:top w:val="nil"/>
              <w:left w:val="nil"/>
              <w:bottom w:val="nil"/>
              <w:right w:val="nil"/>
            </w:tcBorders>
            <w:vAlign w:val="center"/>
            <w:hideMark/>
          </w:tcPr>
          <w:p w14:paraId="30E97D28"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Filtered</w:t>
            </w:r>
            <w:proofErr w:type="spellEnd"/>
            <w:r w:rsidRPr="0099074B">
              <w:rPr>
                <w:color w:val="FF0000"/>
                <w:sz w:val="22"/>
                <w:szCs w:val="22"/>
                <w:lang w:val="fr-FR"/>
              </w:rPr>
              <w:t xml:space="preserve"> </w:t>
            </w:r>
            <w:proofErr w:type="spellStart"/>
            <w:r w:rsidRPr="0099074B">
              <w:rPr>
                <w:color w:val="FF0000"/>
                <w:sz w:val="22"/>
                <w:szCs w:val="22"/>
                <w:lang w:val="fr-FR"/>
              </w:rPr>
              <w:t>motor-preparatory</w:t>
            </w:r>
            <w:proofErr w:type="spellEnd"/>
            <w:r w:rsidRPr="0099074B">
              <w:rPr>
                <w:color w:val="FF0000"/>
                <w:sz w:val="22"/>
                <w:szCs w:val="22"/>
                <w:lang w:val="fr-FR"/>
              </w:rPr>
              <w:t xml:space="preserve"> state</w:t>
            </w:r>
          </w:p>
        </w:tc>
        <w:tc>
          <w:tcPr>
            <w:tcW w:w="3685" w:type="dxa"/>
            <w:tcBorders>
              <w:top w:val="nil"/>
              <w:left w:val="nil"/>
              <w:bottom w:val="nil"/>
              <w:right w:val="nil"/>
            </w:tcBorders>
            <w:vAlign w:val="center"/>
            <w:hideMark/>
          </w:tcPr>
          <w:p w14:paraId="087342CC"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Eqs</w:t>
            </w:r>
            <w:proofErr w:type="spellEnd"/>
            <w:r>
              <w:rPr>
                <w:color w:val="FF0000"/>
                <w:sz w:val="22"/>
                <w:szCs w:val="22"/>
                <w:lang w:val="fr-FR"/>
              </w:rPr>
              <w:t>. (2), (6), and (9</w:t>
            </w:r>
            <w:r w:rsidR="0099074B" w:rsidRPr="0099074B">
              <w:rPr>
                <w:color w:val="FF0000"/>
                <w:sz w:val="22"/>
                <w:szCs w:val="22"/>
                <w:lang w:val="fr-FR"/>
              </w:rPr>
              <w:t>)</w:t>
            </w:r>
          </w:p>
        </w:tc>
      </w:tr>
      <w:tr w:rsidR="0099074B" w:rsidRPr="0099074B" w14:paraId="413A352D" w14:textId="77777777" w:rsidTr="009D11F7">
        <w:tc>
          <w:tcPr>
            <w:tcW w:w="993" w:type="dxa"/>
            <w:tcBorders>
              <w:top w:val="nil"/>
              <w:left w:val="nil"/>
              <w:bottom w:val="nil"/>
              <w:right w:val="nil"/>
            </w:tcBorders>
            <w:vAlign w:val="center"/>
            <w:hideMark/>
          </w:tcPr>
          <w:p w14:paraId="5FB0DF6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λ</w:t>
            </w:r>
          </w:p>
        </w:tc>
        <w:tc>
          <w:tcPr>
            <w:tcW w:w="4394" w:type="dxa"/>
            <w:tcBorders>
              <w:top w:val="nil"/>
              <w:left w:val="nil"/>
              <w:bottom w:val="nil"/>
              <w:right w:val="nil"/>
            </w:tcBorders>
            <w:vAlign w:val="center"/>
            <w:hideMark/>
          </w:tcPr>
          <w:p w14:paraId="1F76AE4F" w14:textId="77777777" w:rsidR="0099074B" w:rsidRPr="0099074B" w:rsidRDefault="0099074B" w:rsidP="0099074B">
            <w:pPr>
              <w:spacing w:line="259" w:lineRule="auto"/>
              <w:jc w:val="center"/>
              <w:rPr>
                <w:color w:val="1F4E9E"/>
                <w:sz w:val="22"/>
                <w:szCs w:val="22"/>
              </w:rPr>
            </w:pPr>
            <w:r w:rsidRPr="0099074B">
              <w:rPr>
                <w:color w:val="FF0000"/>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2709E245" w14:textId="77777777" w:rsidR="0099074B" w:rsidRPr="0099074B" w:rsidRDefault="0099074B" w:rsidP="0099074B">
            <w:pPr>
              <w:spacing w:line="259" w:lineRule="auto"/>
              <w:jc w:val="right"/>
              <w:rPr>
                <w:color w:val="1F4E9E"/>
                <w:sz w:val="22"/>
                <w:szCs w:val="22"/>
              </w:rPr>
            </w:pPr>
            <w:r w:rsidRPr="0099074B">
              <w:rPr>
                <w:color w:val="1F4E9E"/>
                <w:sz w:val="22"/>
                <w:szCs w:val="22"/>
              </w:rPr>
              <w:t>10–50 s⁻¹ (log-uniform); Dendauw et al. (2024) estimate 21.471</w:t>
            </w:r>
          </w:p>
        </w:tc>
      </w:tr>
      <w:tr w:rsidR="0099074B" w:rsidRPr="0099074B" w14:paraId="63DDB4F7" w14:textId="77777777" w:rsidTr="009D11F7">
        <w:tc>
          <w:tcPr>
            <w:tcW w:w="993" w:type="dxa"/>
            <w:tcBorders>
              <w:top w:val="nil"/>
              <w:left w:val="nil"/>
              <w:bottom w:val="nil"/>
              <w:right w:val="nil"/>
            </w:tcBorders>
            <w:vAlign w:val="center"/>
            <w:hideMark/>
          </w:tcPr>
          <w:p w14:paraId="7116DD74" w14:textId="77777777" w:rsidR="0099074B" w:rsidRPr="0099074B" w:rsidRDefault="0099074B" w:rsidP="0099074B">
            <w:pPr>
              <w:spacing w:line="259" w:lineRule="auto"/>
              <w:rPr>
                <w:color w:val="1F4E9E"/>
                <w:sz w:val="22"/>
                <w:szCs w:val="22"/>
                <w:lang w:val="fr-FR"/>
              </w:rPr>
            </w:pPr>
            <w:proofErr w:type="spellStart"/>
            <w:r w:rsidRPr="0099074B">
              <w:rPr>
                <w:iCs/>
                <w:color w:val="FF0000"/>
                <w:sz w:val="22"/>
                <w:szCs w:val="22"/>
                <w:lang w:val="fr-FR"/>
              </w:rPr>
              <w:t>z</w:t>
            </w:r>
            <w:r w:rsidRPr="0099074B">
              <w:rPr>
                <w:i/>
                <w:color w:val="FF0000"/>
                <w:sz w:val="22"/>
                <w:szCs w:val="22"/>
                <w:vertAlign w:val="subscript"/>
                <w:lang w:val="fr-FR"/>
              </w:rPr>
              <w:t>L</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 xml:space="preserve">), </w:t>
            </w:r>
            <w:proofErr w:type="spellStart"/>
            <w:r w:rsidRPr="0099074B">
              <w:rPr>
                <w:iCs/>
                <w:color w:val="FF0000"/>
                <w:sz w:val="22"/>
                <w:szCs w:val="22"/>
                <w:lang w:val="fr-FR"/>
              </w:rPr>
              <w:t>z</w:t>
            </w:r>
            <w:r w:rsidRPr="0099074B">
              <w:rPr>
                <w:i/>
                <w:color w:val="FF0000"/>
                <w:sz w:val="22"/>
                <w:szCs w:val="22"/>
                <w:vertAlign w:val="subscript"/>
                <w:lang w:val="fr-FR"/>
              </w:rPr>
              <w:t>R</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w:t>
            </w:r>
          </w:p>
        </w:tc>
        <w:tc>
          <w:tcPr>
            <w:tcW w:w="4394" w:type="dxa"/>
            <w:tcBorders>
              <w:top w:val="nil"/>
              <w:left w:val="nil"/>
              <w:bottom w:val="nil"/>
              <w:right w:val="nil"/>
            </w:tcBorders>
            <w:vAlign w:val="center"/>
            <w:hideMark/>
          </w:tcPr>
          <w:p w14:paraId="153AB0BE" w14:textId="77777777" w:rsidR="0099074B" w:rsidRPr="0099074B" w:rsidRDefault="0099074B" w:rsidP="0099074B">
            <w:pPr>
              <w:spacing w:line="259" w:lineRule="auto"/>
              <w:jc w:val="center"/>
              <w:rPr>
                <w:color w:val="1F4E9E"/>
                <w:sz w:val="22"/>
                <w:szCs w:val="22"/>
              </w:rPr>
            </w:pPr>
            <w:r w:rsidRPr="0099074B">
              <w:rPr>
                <w:color w:val="FF0000"/>
                <w:sz w:val="22"/>
                <w:szCs w:val="22"/>
              </w:rPr>
              <w:t>Neural drives to the left and right response agonists</w:t>
            </w:r>
          </w:p>
        </w:tc>
        <w:tc>
          <w:tcPr>
            <w:tcW w:w="3685" w:type="dxa"/>
            <w:tcBorders>
              <w:top w:val="nil"/>
              <w:left w:val="nil"/>
              <w:bottom w:val="nil"/>
              <w:right w:val="nil"/>
            </w:tcBorders>
            <w:vAlign w:val="center"/>
            <w:hideMark/>
          </w:tcPr>
          <w:p w14:paraId="079B1768"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(3)</w:t>
            </w:r>
          </w:p>
        </w:tc>
      </w:tr>
      <w:tr w:rsidR="0099074B" w:rsidRPr="0099074B" w14:paraId="74B991DD" w14:textId="77777777" w:rsidTr="009D11F7">
        <w:tc>
          <w:tcPr>
            <w:tcW w:w="993" w:type="dxa"/>
            <w:tcBorders>
              <w:top w:val="nil"/>
              <w:left w:val="nil"/>
              <w:bottom w:val="nil"/>
              <w:right w:val="nil"/>
            </w:tcBorders>
            <w:vAlign w:val="center"/>
            <w:hideMark/>
          </w:tcPr>
          <w:p w14:paraId="4B744CC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g</w:t>
            </w:r>
          </w:p>
        </w:tc>
        <w:tc>
          <w:tcPr>
            <w:tcW w:w="4394" w:type="dxa"/>
            <w:tcBorders>
              <w:top w:val="nil"/>
              <w:left w:val="nil"/>
              <w:bottom w:val="nil"/>
              <w:right w:val="nil"/>
            </w:tcBorders>
            <w:vAlign w:val="center"/>
            <w:hideMark/>
          </w:tcPr>
          <w:p w14:paraId="47B37C50"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Level</w:t>
            </w:r>
            <w:proofErr w:type="spellEnd"/>
            <w:r w:rsidRPr="0099074B">
              <w:rPr>
                <w:color w:val="FF0000"/>
                <w:sz w:val="22"/>
                <w:szCs w:val="22"/>
                <w:lang w:val="fr-FR"/>
              </w:rPr>
              <w:t xml:space="preserve"> of </w:t>
            </w:r>
            <w:proofErr w:type="spellStart"/>
            <w:r w:rsidRPr="0099074B">
              <w:rPr>
                <w:color w:val="FF0000"/>
                <w:sz w:val="22"/>
                <w:szCs w:val="22"/>
                <w:lang w:val="fr-FR"/>
              </w:rPr>
              <w:t>gating</w:t>
            </w:r>
            <w:proofErr w:type="spellEnd"/>
            <w:r w:rsidRPr="0099074B">
              <w:rPr>
                <w:color w:val="FF0000"/>
                <w:sz w:val="22"/>
                <w:szCs w:val="22"/>
                <w:lang w:val="fr-FR"/>
              </w:rPr>
              <w:t xml:space="preserve"> inhibition</w:t>
            </w:r>
          </w:p>
        </w:tc>
        <w:tc>
          <w:tcPr>
            <w:tcW w:w="3685" w:type="dxa"/>
            <w:tcBorders>
              <w:top w:val="nil"/>
              <w:left w:val="nil"/>
              <w:bottom w:val="nil"/>
              <w:right w:val="nil"/>
            </w:tcBorders>
            <w:vAlign w:val="center"/>
            <w:hideMark/>
          </w:tcPr>
          <w:p w14:paraId="4BB4DE1B"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0.050–0.200</w:t>
            </w:r>
          </w:p>
        </w:tc>
      </w:tr>
      <w:tr w:rsidR="0099074B" w:rsidRPr="0099074B" w14:paraId="7F2B58BC" w14:textId="77777777" w:rsidTr="009D11F7">
        <w:tc>
          <w:tcPr>
            <w:tcW w:w="993" w:type="dxa"/>
            <w:tcBorders>
              <w:top w:val="nil"/>
              <w:left w:val="nil"/>
              <w:bottom w:val="nil"/>
              <w:right w:val="nil"/>
            </w:tcBorders>
            <w:vAlign w:val="center"/>
            <w:hideMark/>
          </w:tcPr>
          <w:p w14:paraId="0E1DC63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r</w:t>
            </w:r>
          </w:p>
        </w:tc>
        <w:tc>
          <w:tcPr>
            <w:tcW w:w="4394" w:type="dxa"/>
            <w:tcBorders>
              <w:top w:val="nil"/>
              <w:left w:val="nil"/>
              <w:bottom w:val="nil"/>
              <w:right w:val="nil"/>
            </w:tcBorders>
            <w:vAlign w:val="center"/>
            <w:hideMark/>
          </w:tcPr>
          <w:p w14:paraId="274B1536" w14:textId="77777777" w:rsidR="0099074B" w:rsidRPr="0099074B" w:rsidRDefault="0099074B" w:rsidP="0099074B">
            <w:pPr>
              <w:spacing w:line="259" w:lineRule="auto"/>
              <w:jc w:val="center"/>
              <w:rPr>
                <w:color w:val="1F4E9E"/>
                <w:sz w:val="22"/>
                <w:szCs w:val="22"/>
              </w:rPr>
            </w:pPr>
            <w:r w:rsidRPr="0099074B">
              <w:rPr>
                <w:color w:val="FF0000"/>
                <w:sz w:val="22"/>
                <w:szCs w:val="22"/>
              </w:rPr>
              <w:t>Response criterion applied to the neural drive</w:t>
            </w:r>
          </w:p>
        </w:tc>
        <w:tc>
          <w:tcPr>
            <w:tcW w:w="3685" w:type="dxa"/>
            <w:tcBorders>
              <w:top w:val="nil"/>
              <w:left w:val="nil"/>
              <w:bottom w:val="nil"/>
              <w:right w:val="nil"/>
            </w:tcBorders>
            <w:vAlign w:val="center"/>
            <w:hideMark/>
          </w:tcPr>
          <w:p w14:paraId="0679868C" w14:textId="77777777" w:rsidR="0099074B" w:rsidRPr="0099074B" w:rsidRDefault="0099074B" w:rsidP="0099074B">
            <w:pPr>
              <w:spacing w:line="259" w:lineRule="auto"/>
              <w:jc w:val="right"/>
              <w:rPr>
                <w:color w:val="1F4E9E"/>
                <w:sz w:val="22"/>
                <w:szCs w:val="22"/>
              </w:rPr>
            </w:pPr>
            <w:r w:rsidRPr="0099074B">
              <w:rPr>
                <w:color w:val="1F4E9E"/>
                <w:sz w:val="22"/>
                <w:szCs w:val="22"/>
              </w:rPr>
              <w:t>0.010–0.200 (log-uniform)</w:t>
            </w:r>
          </w:p>
        </w:tc>
      </w:tr>
      <w:tr w:rsidR="0099074B" w:rsidRPr="0099074B" w14:paraId="6C78E932" w14:textId="77777777" w:rsidTr="009D11F7">
        <w:tc>
          <w:tcPr>
            <w:tcW w:w="993" w:type="dxa"/>
            <w:tcBorders>
              <w:top w:val="nil"/>
              <w:left w:val="nil"/>
              <w:bottom w:val="nil"/>
              <w:right w:val="nil"/>
            </w:tcBorders>
            <w:vAlign w:val="center"/>
            <w:hideMark/>
          </w:tcPr>
          <w:p w14:paraId="3CF8271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ₘₒₜₒᵣ</w:t>
            </w:r>
          </w:p>
        </w:tc>
        <w:tc>
          <w:tcPr>
            <w:tcW w:w="4394" w:type="dxa"/>
            <w:tcBorders>
              <w:top w:val="nil"/>
              <w:left w:val="nil"/>
              <w:bottom w:val="nil"/>
              <w:right w:val="nil"/>
            </w:tcBorders>
            <w:vAlign w:val="center"/>
            <w:hideMark/>
          </w:tcPr>
          <w:p w14:paraId="1701AFA6" w14:textId="77777777" w:rsidR="0099074B" w:rsidRPr="0099074B" w:rsidRDefault="0099074B" w:rsidP="0099074B">
            <w:pPr>
              <w:spacing w:line="259" w:lineRule="auto"/>
              <w:jc w:val="center"/>
              <w:rPr>
                <w:color w:val="1F4E9E"/>
                <w:sz w:val="22"/>
                <w:szCs w:val="22"/>
              </w:rPr>
            </w:pPr>
            <w:r w:rsidRPr="0099074B">
              <w:rPr>
                <w:color w:val="FF0000"/>
                <w:sz w:val="22"/>
                <w:szCs w:val="22"/>
              </w:rPr>
              <w:t>Residual motor latency between response triggering and the overt response</w:t>
            </w:r>
          </w:p>
        </w:tc>
        <w:tc>
          <w:tcPr>
            <w:tcW w:w="3685" w:type="dxa"/>
            <w:tcBorders>
              <w:top w:val="nil"/>
              <w:left w:val="nil"/>
              <w:bottom w:val="nil"/>
              <w:right w:val="nil"/>
            </w:tcBorders>
            <w:vAlign w:val="center"/>
            <w:hideMark/>
          </w:tcPr>
          <w:p w14:paraId="36BC2F8C" w14:textId="77777777" w:rsidR="0099074B" w:rsidRPr="0099074B" w:rsidRDefault="0099074B" w:rsidP="0099074B">
            <w:pPr>
              <w:spacing w:line="259" w:lineRule="auto"/>
              <w:jc w:val="right"/>
              <w:rPr>
                <w:color w:val="1F4E9E"/>
                <w:sz w:val="22"/>
                <w:szCs w:val="22"/>
              </w:rPr>
            </w:pPr>
            <w:r w:rsidRPr="0099074B">
              <w:rPr>
                <w:color w:val="1F4E9E"/>
                <w:sz w:val="22"/>
                <w:szCs w:val="22"/>
              </w:rPr>
              <w:t>0.093 s (fixed; Dendauw et al. 2024)</w:t>
            </w:r>
          </w:p>
        </w:tc>
      </w:tr>
      <w:tr w:rsidR="0099074B" w:rsidRPr="0099074B" w14:paraId="70B63015" w14:textId="77777777" w:rsidTr="009D11F7">
        <w:tc>
          <w:tcPr>
            <w:tcW w:w="993" w:type="dxa"/>
            <w:tcBorders>
              <w:top w:val="nil"/>
              <w:left w:val="nil"/>
              <w:bottom w:val="nil"/>
              <w:right w:val="nil"/>
            </w:tcBorders>
            <w:vAlign w:val="center"/>
            <w:hideMark/>
          </w:tcPr>
          <w:p w14:paraId="75970D1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D</w:t>
            </w:r>
          </w:p>
        </w:tc>
        <w:tc>
          <w:tcPr>
            <w:tcW w:w="4394" w:type="dxa"/>
            <w:tcBorders>
              <w:top w:val="nil"/>
              <w:left w:val="nil"/>
              <w:bottom w:val="nil"/>
              <w:right w:val="nil"/>
            </w:tcBorders>
            <w:vAlign w:val="center"/>
            <w:hideMark/>
          </w:tcPr>
          <w:p w14:paraId="3EDEE53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duration</w:t>
            </w:r>
          </w:p>
        </w:tc>
        <w:tc>
          <w:tcPr>
            <w:tcW w:w="3685" w:type="dxa"/>
            <w:tcBorders>
              <w:top w:val="nil"/>
              <w:left w:val="nil"/>
              <w:bottom w:val="nil"/>
              <w:right w:val="nil"/>
            </w:tcBorders>
            <w:vAlign w:val="center"/>
            <w:hideMark/>
          </w:tcPr>
          <w:p w14:paraId="080CDE3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0.300 or 2.000 s</w:t>
            </w:r>
          </w:p>
        </w:tc>
      </w:tr>
      <w:tr w:rsidR="0099074B" w:rsidRPr="0099074B" w14:paraId="01BD24C2" w14:textId="77777777" w:rsidTr="009D11F7">
        <w:tc>
          <w:tcPr>
            <w:tcW w:w="993" w:type="dxa"/>
            <w:tcBorders>
              <w:top w:val="nil"/>
              <w:left w:val="nil"/>
              <w:bottom w:val="nil"/>
              <w:right w:val="nil"/>
            </w:tcBorders>
            <w:vAlign w:val="center"/>
            <w:hideMark/>
          </w:tcPr>
          <w:p w14:paraId="185F8DBE"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θ</w:t>
            </w:r>
          </w:p>
        </w:tc>
        <w:tc>
          <w:tcPr>
            <w:tcW w:w="4394" w:type="dxa"/>
            <w:tcBorders>
              <w:top w:val="nil"/>
              <w:left w:val="nil"/>
              <w:bottom w:val="nil"/>
              <w:right w:val="nil"/>
            </w:tcBorders>
            <w:vAlign w:val="center"/>
            <w:hideMark/>
          </w:tcPr>
          <w:p w14:paraId="24CD6C18" w14:textId="77777777" w:rsidR="0099074B" w:rsidRPr="0099074B" w:rsidRDefault="0099074B" w:rsidP="0099074B">
            <w:pPr>
              <w:spacing w:line="259" w:lineRule="auto"/>
              <w:jc w:val="center"/>
              <w:rPr>
                <w:color w:val="1F4E9E"/>
                <w:sz w:val="22"/>
                <w:szCs w:val="22"/>
              </w:rPr>
            </w:pPr>
            <w:r w:rsidRPr="0099074B">
              <w:rPr>
                <w:color w:val="FF0000"/>
                <w:sz w:val="22"/>
                <w:szCs w:val="22"/>
              </w:rPr>
              <w:t>Internal motor-preparation threshold triggering maintenance</w:t>
            </w:r>
          </w:p>
        </w:tc>
        <w:tc>
          <w:tcPr>
            <w:tcW w:w="3685" w:type="dxa"/>
            <w:tcBorders>
              <w:top w:val="nil"/>
              <w:left w:val="nil"/>
              <w:bottom w:val="nil"/>
              <w:right w:val="nil"/>
            </w:tcBorders>
            <w:vAlign w:val="center"/>
            <w:hideMark/>
          </w:tcPr>
          <w:p w14:paraId="77B8A5CA"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θ/g</w:t>
            </w:r>
            <w:r w:rsidRPr="0099074B">
              <w:rPr>
                <w:color w:val="FF0000"/>
                <w:sz w:val="22"/>
                <w:szCs w:val="22"/>
                <w:lang w:val="fr-FR"/>
              </w:rPr>
              <w:t xml:space="preserve"> </w:t>
            </w:r>
            <w:proofErr w:type="spellStart"/>
            <w:r w:rsidRPr="0099074B">
              <w:rPr>
                <w:color w:val="FF0000"/>
                <w:sz w:val="22"/>
                <w:szCs w:val="22"/>
                <w:lang w:val="fr-FR"/>
              </w:rPr>
              <w:t>sampled</w:t>
            </w:r>
            <w:proofErr w:type="spellEnd"/>
            <w:r w:rsidRPr="0099074B">
              <w:rPr>
                <w:color w:val="FF0000"/>
                <w:sz w:val="22"/>
                <w:szCs w:val="22"/>
                <w:lang w:val="fr-FR"/>
              </w:rPr>
              <w:t xml:space="preserve"> </w:t>
            </w:r>
            <w:proofErr w:type="spellStart"/>
            <w:r w:rsidRPr="0099074B">
              <w:rPr>
                <w:color w:val="FF0000"/>
                <w:sz w:val="22"/>
                <w:szCs w:val="22"/>
                <w:lang w:val="fr-FR"/>
              </w:rPr>
              <w:t>from</w:t>
            </w:r>
            <w:proofErr w:type="spellEnd"/>
            <w:r w:rsidRPr="0099074B">
              <w:rPr>
                <w:color w:val="FF0000"/>
                <w:sz w:val="22"/>
                <w:szCs w:val="22"/>
                <w:lang w:val="fr-FR"/>
              </w:rPr>
              <w:t xml:space="preserve"> 0.25–0.90</w:t>
            </w:r>
          </w:p>
        </w:tc>
      </w:tr>
      <w:tr w:rsidR="0099074B" w:rsidRPr="0099074B" w14:paraId="37BAC7D7" w14:textId="77777777" w:rsidTr="009D11F7">
        <w:tc>
          <w:tcPr>
            <w:tcW w:w="993" w:type="dxa"/>
            <w:tcBorders>
              <w:top w:val="nil"/>
              <w:left w:val="nil"/>
              <w:bottom w:val="nil"/>
              <w:right w:val="nil"/>
            </w:tcBorders>
            <w:vAlign w:val="center"/>
            <w:hideMark/>
          </w:tcPr>
          <w:p w14:paraId="5037C90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τ</w:t>
            </w:r>
          </w:p>
        </w:tc>
        <w:tc>
          <w:tcPr>
            <w:tcW w:w="4394" w:type="dxa"/>
            <w:tcBorders>
              <w:top w:val="nil"/>
              <w:left w:val="nil"/>
              <w:bottom w:val="nil"/>
              <w:right w:val="nil"/>
            </w:tcBorders>
            <w:vAlign w:val="center"/>
            <w:hideMark/>
          </w:tcPr>
          <w:p w14:paraId="0727948C"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Maintenance-</w:t>
            </w:r>
            <w:proofErr w:type="spellStart"/>
            <w:r w:rsidRPr="0099074B">
              <w:rPr>
                <w:color w:val="FF0000"/>
                <w:sz w:val="22"/>
                <w:szCs w:val="22"/>
                <w:lang w:val="fr-FR"/>
              </w:rPr>
              <w:t>onset</w:t>
            </w:r>
            <w:proofErr w:type="spellEnd"/>
            <w:r w:rsidRPr="0099074B">
              <w:rPr>
                <w:color w:val="FF0000"/>
                <w:sz w:val="22"/>
                <w:szCs w:val="22"/>
                <w:lang w:val="fr-FR"/>
              </w:rPr>
              <w:t xml:space="preserve"> time</w:t>
            </w:r>
          </w:p>
        </w:tc>
        <w:tc>
          <w:tcPr>
            <w:tcW w:w="3685" w:type="dxa"/>
            <w:tcBorders>
              <w:top w:val="nil"/>
              <w:left w:val="nil"/>
              <w:bottom w:val="nil"/>
              <w:right w:val="nil"/>
            </w:tcBorders>
            <w:vAlign w:val="center"/>
            <w:hideMark/>
          </w:tcPr>
          <w:p w14:paraId="147A6D2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Trial-</w:t>
            </w:r>
            <w:proofErr w:type="spellStart"/>
            <w:r w:rsidRPr="0099074B">
              <w:rPr>
                <w:color w:val="FF0000"/>
                <w:sz w:val="22"/>
                <w:szCs w:val="22"/>
                <w:lang w:val="fr-FR"/>
              </w:rPr>
              <w:t>dependent</w:t>
            </w:r>
            <w:proofErr w:type="spellEnd"/>
          </w:p>
        </w:tc>
      </w:tr>
      <w:tr w:rsidR="0099074B" w:rsidRPr="0099074B" w14:paraId="4792EE14" w14:textId="77777777" w:rsidTr="009D11F7">
        <w:tc>
          <w:tcPr>
            <w:tcW w:w="993" w:type="dxa"/>
            <w:tcBorders>
              <w:top w:val="nil"/>
              <w:left w:val="nil"/>
              <w:bottom w:val="nil"/>
              <w:right w:val="nil"/>
            </w:tcBorders>
            <w:vAlign w:val="center"/>
            <w:hideMark/>
          </w:tcPr>
          <w:p w14:paraId="139145F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m</w:t>
            </w:r>
          </w:p>
        </w:tc>
        <w:tc>
          <w:tcPr>
            <w:tcW w:w="4394" w:type="dxa"/>
            <w:tcBorders>
              <w:top w:val="nil"/>
              <w:left w:val="nil"/>
              <w:bottom w:val="nil"/>
              <w:right w:val="nil"/>
            </w:tcBorders>
            <w:vAlign w:val="center"/>
            <w:hideMark/>
          </w:tcPr>
          <w:p w14:paraId="4735094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Maintenance </w:t>
            </w:r>
            <w:proofErr w:type="spellStart"/>
            <w:r w:rsidRPr="0099074B">
              <w:rPr>
                <w:color w:val="FF0000"/>
                <w:sz w:val="22"/>
                <w:szCs w:val="22"/>
                <w:lang w:val="fr-FR"/>
              </w:rPr>
              <w:t>target</w:t>
            </w:r>
            <w:proofErr w:type="spellEnd"/>
          </w:p>
        </w:tc>
        <w:tc>
          <w:tcPr>
            <w:tcW w:w="3685" w:type="dxa"/>
            <w:tcBorders>
              <w:top w:val="nil"/>
              <w:left w:val="nil"/>
              <w:bottom w:val="nil"/>
              <w:right w:val="nil"/>
            </w:tcBorders>
            <w:vAlign w:val="center"/>
            <w:hideMark/>
          </w:tcPr>
          <w:p w14:paraId="58B23472"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(4)</w:t>
            </w:r>
          </w:p>
        </w:tc>
      </w:tr>
      <w:tr w:rsidR="0099074B" w:rsidRPr="0099074B" w14:paraId="07C1FBBD" w14:textId="77777777" w:rsidTr="009D11F7">
        <w:tc>
          <w:tcPr>
            <w:tcW w:w="993" w:type="dxa"/>
            <w:tcBorders>
              <w:top w:val="nil"/>
              <w:left w:val="nil"/>
              <w:bottom w:val="nil"/>
              <w:right w:val="nil"/>
            </w:tcBorders>
            <w:vAlign w:val="center"/>
            <w:hideMark/>
          </w:tcPr>
          <w:p w14:paraId="6AC447F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r w:rsidRPr="0099074B">
              <w:rPr>
                <w:color w:val="FF0000"/>
                <w:sz w:val="22"/>
                <w:szCs w:val="22"/>
                <w:lang w:val="fr-FR"/>
              </w:rPr>
              <w:t>ᵣₑₛₚ</w:t>
            </w:r>
          </w:p>
        </w:tc>
        <w:tc>
          <w:tcPr>
            <w:tcW w:w="4394" w:type="dxa"/>
            <w:tcBorders>
              <w:top w:val="nil"/>
              <w:left w:val="nil"/>
              <w:bottom w:val="nil"/>
              <w:right w:val="nil"/>
            </w:tcBorders>
            <w:vAlign w:val="center"/>
            <w:hideMark/>
          </w:tcPr>
          <w:p w14:paraId="070A7CC5"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Selected</w:t>
            </w:r>
            <w:proofErr w:type="spellEnd"/>
            <w:r w:rsidRPr="0099074B">
              <w:rPr>
                <w:color w:val="FF0000"/>
                <w:sz w:val="22"/>
                <w:szCs w:val="22"/>
                <w:lang w:val="fr-FR"/>
              </w:rPr>
              <w:t xml:space="preserve"> </w:t>
            </w:r>
            <w:proofErr w:type="spellStart"/>
            <w:r w:rsidRPr="0099074B">
              <w:rPr>
                <w:color w:val="FF0000"/>
                <w:sz w:val="22"/>
                <w:szCs w:val="22"/>
                <w:lang w:val="fr-FR"/>
              </w:rPr>
              <w:t>response</w:t>
            </w:r>
            <w:proofErr w:type="spellEnd"/>
            <w:r w:rsidRPr="0099074B">
              <w:rPr>
                <w:color w:val="FF0000"/>
                <w:sz w:val="22"/>
                <w:szCs w:val="22"/>
                <w:lang w:val="fr-FR"/>
              </w:rPr>
              <w:t xml:space="preserve"> direction</w:t>
            </w:r>
          </w:p>
        </w:tc>
        <w:tc>
          <w:tcPr>
            <w:tcW w:w="3685" w:type="dxa"/>
            <w:tcBorders>
              <w:top w:val="nil"/>
              <w:left w:val="nil"/>
              <w:bottom w:val="nil"/>
              <w:right w:val="nil"/>
            </w:tcBorders>
            <w:vAlign w:val="center"/>
            <w:hideMark/>
          </w:tcPr>
          <w:p w14:paraId="38614C8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 xml:space="preserve">−1: </w:t>
            </w:r>
            <w:proofErr w:type="spellStart"/>
            <w:r w:rsidRPr="0099074B">
              <w:rPr>
                <w:color w:val="FF0000"/>
                <w:sz w:val="22"/>
                <w:szCs w:val="22"/>
                <w:lang w:val="fr-FR"/>
              </w:rPr>
              <w:t>left</w:t>
            </w:r>
            <w:proofErr w:type="spellEnd"/>
            <w:r w:rsidRPr="0099074B">
              <w:rPr>
                <w:color w:val="FF0000"/>
                <w:sz w:val="22"/>
                <w:szCs w:val="22"/>
                <w:lang w:val="fr-FR"/>
              </w:rPr>
              <w:t>; +1: right</w:t>
            </w:r>
          </w:p>
        </w:tc>
      </w:tr>
      <w:tr w:rsidR="0099074B" w:rsidRPr="0099074B" w14:paraId="7E8916D4" w14:textId="77777777" w:rsidTr="009D11F7">
        <w:tc>
          <w:tcPr>
            <w:tcW w:w="993" w:type="dxa"/>
            <w:tcBorders>
              <w:top w:val="nil"/>
              <w:left w:val="nil"/>
              <w:bottom w:val="nil"/>
              <w:right w:val="nil"/>
            </w:tcBorders>
            <w:vAlign w:val="center"/>
            <w:hideMark/>
          </w:tcPr>
          <w:p w14:paraId="37E33E94"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ε(t)</w:t>
            </w:r>
          </w:p>
        </w:tc>
        <w:tc>
          <w:tcPr>
            <w:tcW w:w="4394" w:type="dxa"/>
            <w:tcBorders>
              <w:top w:val="nil"/>
              <w:left w:val="nil"/>
              <w:bottom w:val="nil"/>
              <w:right w:val="nil"/>
            </w:tcBorders>
            <w:vAlign w:val="center"/>
            <w:hideMark/>
          </w:tcPr>
          <w:p w14:paraId="23E48118" w14:textId="77777777" w:rsidR="0099074B" w:rsidRPr="0099074B" w:rsidRDefault="0099074B" w:rsidP="0099074B">
            <w:pPr>
              <w:spacing w:line="259" w:lineRule="auto"/>
              <w:jc w:val="center"/>
              <w:rPr>
                <w:color w:val="1F4E9E"/>
                <w:sz w:val="22"/>
                <w:szCs w:val="22"/>
              </w:rPr>
            </w:pPr>
            <w:r w:rsidRPr="0099074B">
              <w:rPr>
                <w:color w:val="FF0000"/>
                <w:sz w:val="22"/>
                <w:szCs w:val="22"/>
              </w:rPr>
              <w:t>Stochastic fluctuations around the maintenance target</w:t>
            </w:r>
          </w:p>
        </w:tc>
        <w:tc>
          <w:tcPr>
            <w:tcW w:w="3685" w:type="dxa"/>
            <w:tcBorders>
              <w:top w:val="nil"/>
              <w:left w:val="nil"/>
              <w:bottom w:val="nil"/>
              <w:right w:val="nil"/>
            </w:tcBorders>
            <w:vAlign w:val="center"/>
            <w:hideMark/>
          </w:tcPr>
          <w:p w14:paraId="10393A95"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(5)</w:t>
            </w:r>
          </w:p>
        </w:tc>
      </w:tr>
      <w:tr w:rsidR="0099074B" w:rsidRPr="0099074B" w14:paraId="1979BC5A" w14:textId="77777777" w:rsidTr="009D11F7">
        <w:tc>
          <w:tcPr>
            <w:tcW w:w="993" w:type="dxa"/>
            <w:tcBorders>
              <w:top w:val="nil"/>
              <w:left w:val="nil"/>
              <w:bottom w:val="nil"/>
              <w:right w:val="nil"/>
            </w:tcBorders>
            <w:vAlign w:val="center"/>
            <w:hideMark/>
          </w:tcPr>
          <w:p w14:paraId="6C3DC5C3"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κ</w:t>
            </w:r>
          </w:p>
        </w:tc>
        <w:tc>
          <w:tcPr>
            <w:tcW w:w="4394" w:type="dxa"/>
            <w:tcBorders>
              <w:top w:val="nil"/>
              <w:left w:val="nil"/>
              <w:bottom w:val="nil"/>
              <w:right w:val="nil"/>
            </w:tcBorders>
            <w:vAlign w:val="center"/>
            <w:hideMark/>
          </w:tcPr>
          <w:p w14:paraId="18D8C8B2" w14:textId="77777777" w:rsidR="0099074B" w:rsidRPr="0099074B" w:rsidRDefault="0099074B" w:rsidP="0099074B">
            <w:pPr>
              <w:spacing w:line="259" w:lineRule="auto"/>
              <w:jc w:val="center"/>
              <w:rPr>
                <w:color w:val="1F4E9E"/>
                <w:sz w:val="22"/>
                <w:szCs w:val="22"/>
              </w:rPr>
            </w:pPr>
            <w:r w:rsidRPr="0099074B">
              <w:rPr>
                <w:color w:val="FF0000"/>
                <w:sz w:val="22"/>
                <w:szCs w:val="22"/>
              </w:rPr>
              <w:t>Mean-reversion rate of maintenance fluctuations</w:t>
            </w:r>
          </w:p>
        </w:tc>
        <w:tc>
          <w:tcPr>
            <w:tcW w:w="3685" w:type="dxa"/>
            <w:tcBorders>
              <w:top w:val="nil"/>
              <w:left w:val="nil"/>
              <w:bottom w:val="nil"/>
              <w:right w:val="nil"/>
            </w:tcBorders>
            <w:vAlign w:val="center"/>
            <w:hideMark/>
          </w:tcPr>
          <w:p w14:paraId="4F981C12"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0.20–30.0 s⁻¹ (log-uniform)</w:t>
            </w:r>
          </w:p>
        </w:tc>
      </w:tr>
      <w:tr w:rsidR="0099074B" w:rsidRPr="0099074B" w14:paraId="19CF7386" w14:textId="77777777" w:rsidTr="009D11F7">
        <w:tc>
          <w:tcPr>
            <w:tcW w:w="993" w:type="dxa"/>
            <w:tcBorders>
              <w:top w:val="nil"/>
              <w:left w:val="nil"/>
              <w:bottom w:val="nil"/>
              <w:right w:val="nil"/>
            </w:tcBorders>
            <w:vAlign w:val="center"/>
          </w:tcPr>
          <w:p w14:paraId="6E3B8C0E"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σ</w:t>
            </w:r>
            <w:r w:rsidRPr="0099074B">
              <w:rPr>
                <w:color w:val="FF0000"/>
                <w:sz w:val="22"/>
                <w:szCs w:val="22"/>
                <w:vertAlign w:val="subscript"/>
                <w:lang w:val="fr-FR"/>
              </w:rPr>
              <w:t>ε</w:t>
            </w:r>
            <w:proofErr w:type="spellEnd"/>
          </w:p>
        </w:tc>
        <w:tc>
          <w:tcPr>
            <w:tcW w:w="4394" w:type="dxa"/>
            <w:tcBorders>
              <w:top w:val="nil"/>
              <w:left w:val="nil"/>
              <w:bottom w:val="nil"/>
              <w:right w:val="nil"/>
            </w:tcBorders>
            <w:vAlign w:val="center"/>
          </w:tcPr>
          <w:p w14:paraId="7D78DA3C"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maintenance fluctuations</w:t>
            </w:r>
          </w:p>
        </w:tc>
        <w:tc>
          <w:tcPr>
            <w:tcW w:w="3685" w:type="dxa"/>
            <w:tcBorders>
              <w:top w:val="nil"/>
              <w:left w:val="nil"/>
              <w:bottom w:val="nil"/>
              <w:right w:val="nil"/>
            </w:tcBorders>
            <w:vAlign w:val="center"/>
          </w:tcPr>
          <w:p w14:paraId="2059383E" w14:textId="77777777" w:rsidR="0099074B" w:rsidRPr="0099074B" w:rsidRDefault="0099074B" w:rsidP="0099074B">
            <w:pPr>
              <w:spacing w:line="259" w:lineRule="auto"/>
              <w:jc w:val="right"/>
              <w:rPr>
                <w:color w:val="1F4E9E"/>
                <w:sz w:val="22"/>
                <w:szCs w:val="22"/>
              </w:rPr>
            </w:pPr>
            <w:r w:rsidRPr="0099074B">
              <w:rPr>
                <w:color w:val="1F4E9E"/>
                <w:sz w:val="22"/>
                <w:szCs w:val="22"/>
              </w:rPr>
              <w:t>0.003–0.060 (log-uniform)</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rad>
                <m:radPr>
                  <m:degHide m:val="1"/>
                  <m:ctrlPr>
                    <w:rPr>
                      <w:rFonts w:ascii="Cambria Math" w:hAnsi="Cambria Math"/>
                      <w:i/>
                      <w:color w:val="1F4E9E"/>
                      <w:sz w:val="22"/>
                      <w:szCs w:val="22"/>
                      <w:vertAlign w:val="subscript"/>
                      <w:lang w:val="fr-FR"/>
                    </w:rPr>
                  </m:ctrlPr>
                </m:radPr>
                <m:deg/>
                <m:e>
                  <m:r>
                    <w:rPr>
                      <w:rFonts w:ascii="Cambria Math" w:hAnsi="Cambria Math"/>
                      <w:color w:val="1F4E9E"/>
                      <w:sz w:val="22"/>
                      <w:szCs w:val="22"/>
                      <w:vertAlign w:val="subscript"/>
                    </w:rPr>
                    <m:t>2</m:t>
                  </m:r>
                  <m:r>
                    <w:rPr>
                      <w:rFonts w:ascii="Cambria Math" w:hAnsi="Cambria Math"/>
                      <w:color w:val="1F4E9E"/>
                    </w:rPr>
                    <m:t>κ</m:t>
                  </m:r>
                </m:e>
              </m:rad>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oMath>
          </w:p>
        </w:tc>
      </w:tr>
      <w:tr w:rsidR="0099074B" w:rsidRPr="0099074B" w14:paraId="11BEFC16" w14:textId="77777777" w:rsidTr="009D11F7">
        <w:tc>
          <w:tcPr>
            <w:tcW w:w="993" w:type="dxa"/>
            <w:tcBorders>
              <w:top w:val="nil"/>
              <w:left w:val="nil"/>
              <w:bottom w:val="nil"/>
              <w:right w:val="nil"/>
            </w:tcBorders>
            <w:vAlign w:val="center"/>
            <w:hideMark/>
          </w:tcPr>
          <w:p w14:paraId="468F9CB8"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offset</w:t>
            </w:r>
            <w:proofErr w:type="spellEnd"/>
          </w:p>
        </w:tc>
        <w:tc>
          <w:tcPr>
            <w:tcW w:w="4394" w:type="dxa"/>
            <w:tcBorders>
              <w:top w:val="nil"/>
              <w:left w:val="nil"/>
              <w:bottom w:val="nil"/>
              <w:right w:val="nil"/>
            </w:tcBorders>
            <w:vAlign w:val="center"/>
            <w:hideMark/>
          </w:tcPr>
          <w:p w14:paraId="0E7C0BCC"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47DD597D"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 xml:space="preserve">D </w:t>
            </w:r>
            <w:r w:rsidRPr="0099074B">
              <w:rPr>
                <w:color w:val="FF0000"/>
                <w:sz w:val="22"/>
                <w:szCs w:val="22"/>
                <w:lang w:val="fr-FR"/>
              </w:rPr>
              <w:t xml:space="preserve">+ </w:t>
            </w:r>
            <w:proofErr w:type="spellStart"/>
            <w:r w:rsidRPr="0099074B">
              <w:rPr>
                <w:i/>
                <w:color w:val="FF0000"/>
                <w:sz w:val="22"/>
                <w:szCs w:val="22"/>
                <w:lang w:val="fr-FR"/>
              </w:rPr>
              <w:t>L</w:t>
            </w:r>
            <w:r w:rsidR="00FF40B9">
              <w:rPr>
                <w:color w:val="FF0000"/>
                <w:sz w:val="22"/>
                <w:szCs w:val="22"/>
                <w:vertAlign w:val="subscript"/>
                <w:lang w:val="fr-FR"/>
              </w:rPr>
              <w:t>motion</w:t>
            </w:r>
            <w:proofErr w:type="spellEnd"/>
          </w:p>
        </w:tc>
      </w:tr>
      <w:tr w:rsidR="0099074B" w:rsidRPr="0099074B" w14:paraId="7EF986C4" w14:textId="77777777" w:rsidTr="009D11F7">
        <w:tc>
          <w:tcPr>
            <w:tcW w:w="993" w:type="dxa"/>
            <w:tcBorders>
              <w:top w:val="nil"/>
              <w:left w:val="nil"/>
              <w:bottom w:val="nil"/>
              <w:right w:val="nil"/>
            </w:tcBorders>
            <w:vAlign w:val="center"/>
            <w:hideMark/>
          </w:tcPr>
          <w:p w14:paraId="66D98C24"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lastRenderedPageBreak/>
              <w:t>L</w:t>
            </w:r>
            <w:r w:rsidRPr="0099074B">
              <w:rPr>
                <w:color w:val="FF0000"/>
                <w:sz w:val="22"/>
                <w:szCs w:val="22"/>
                <w:vertAlign w:val="subscript"/>
                <w:lang w:val="fr-FR"/>
              </w:rPr>
              <w:t>RS</w:t>
            </w:r>
          </w:p>
        </w:tc>
        <w:tc>
          <w:tcPr>
            <w:tcW w:w="4394" w:type="dxa"/>
            <w:tcBorders>
              <w:top w:val="nil"/>
              <w:left w:val="nil"/>
              <w:bottom w:val="nil"/>
              <w:right w:val="nil"/>
            </w:tcBorders>
            <w:vAlign w:val="center"/>
            <w:hideMark/>
          </w:tcPr>
          <w:p w14:paraId="42E22B1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RS-</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799C5F1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74F274A6" w14:textId="77777777" w:rsidTr="009D11F7">
        <w:tc>
          <w:tcPr>
            <w:tcW w:w="993" w:type="dxa"/>
            <w:tcBorders>
              <w:top w:val="nil"/>
              <w:left w:val="nil"/>
              <w:bottom w:val="nil"/>
              <w:right w:val="nil"/>
            </w:tcBorders>
            <w:vAlign w:val="center"/>
            <w:hideMark/>
          </w:tcPr>
          <w:p w14:paraId="45B40610"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26596D34"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RS evidence becomes available to the accumulation process</w:t>
            </w:r>
          </w:p>
        </w:tc>
        <w:tc>
          <w:tcPr>
            <w:tcW w:w="3685" w:type="dxa"/>
            <w:tcBorders>
              <w:top w:val="nil"/>
              <w:left w:val="nil"/>
              <w:bottom w:val="nil"/>
              <w:right w:val="nil"/>
            </w:tcBorders>
            <w:vAlign w:val="center"/>
            <w:hideMark/>
          </w:tcPr>
          <w:p w14:paraId="4FBF321D"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D</w:t>
            </w:r>
            <w:r w:rsidRPr="0099074B">
              <w:rPr>
                <w:color w:val="FF0000"/>
                <w:sz w:val="22"/>
                <w:szCs w:val="22"/>
                <w:lang w:val="fr-FR"/>
              </w:rPr>
              <w:t xml:space="preserve"> + 3 + </w:t>
            </w:r>
            <w:r w:rsidRPr="0099074B">
              <w:rPr>
                <w:i/>
                <w:iCs/>
                <w:color w:val="FF0000"/>
                <w:sz w:val="22"/>
                <w:szCs w:val="22"/>
                <w:lang w:val="fr-FR"/>
              </w:rPr>
              <w:t>L</w:t>
            </w:r>
            <w:r w:rsidRPr="0099074B">
              <w:rPr>
                <w:color w:val="FF0000"/>
                <w:sz w:val="22"/>
                <w:szCs w:val="22"/>
                <w:vertAlign w:val="subscript"/>
                <w:lang w:val="fr-FR"/>
              </w:rPr>
              <w:t>RS</w:t>
            </w:r>
          </w:p>
        </w:tc>
      </w:tr>
      <w:tr w:rsidR="0099074B" w:rsidRPr="0099074B" w14:paraId="3CECECA1" w14:textId="77777777" w:rsidTr="009D11F7">
        <w:tc>
          <w:tcPr>
            <w:tcW w:w="993" w:type="dxa"/>
            <w:tcBorders>
              <w:top w:val="nil"/>
              <w:left w:val="nil"/>
              <w:bottom w:val="nil"/>
              <w:right w:val="nil"/>
            </w:tcBorders>
            <w:vAlign w:val="center"/>
            <w:hideMark/>
          </w:tcPr>
          <w:p w14:paraId="1471F6A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β</w:t>
            </w:r>
          </w:p>
        </w:tc>
        <w:tc>
          <w:tcPr>
            <w:tcW w:w="4394" w:type="dxa"/>
            <w:tcBorders>
              <w:top w:val="nil"/>
              <w:left w:val="nil"/>
              <w:bottom w:val="nil"/>
              <w:right w:val="nil"/>
            </w:tcBorders>
            <w:vAlign w:val="center"/>
            <w:hideMark/>
          </w:tcPr>
          <w:p w14:paraId="730FF8D2" w14:textId="77777777" w:rsidR="0099074B" w:rsidRPr="0099074B" w:rsidRDefault="0099074B" w:rsidP="0099074B">
            <w:pPr>
              <w:spacing w:line="259" w:lineRule="auto"/>
              <w:jc w:val="center"/>
              <w:rPr>
                <w:color w:val="1F4E9E"/>
                <w:sz w:val="22"/>
                <w:szCs w:val="22"/>
              </w:rPr>
            </w:pPr>
            <w:r w:rsidRPr="0099074B">
              <w:rPr>
                <w:color w:val="FF0000"/>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46C98B2C"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Model 1: 0; Model 2: 0.0015–0.100 (log-uniform)</w:t>
            </w:r>
          </w:p>
        </w:tc>
      </w:tr>
      <w:tr w:rsidR="0099074B" w:rsidRPr="0099074B" w14:paraId="0B5AB34D" w14:textId="77777777" w:rsidTr="009D11F7">
        <w:tc>
          <w:tcPr>
            <w:tcW w:w="993" w:type="dxa"/>
            <w:tcBorders>
              <w:top w:val="nil"/>
              <w:left w:val="nil"/>
              <w:bottom w:val="nil"/>
              <w:right w:val="nil"/>
            </w:tcBorders>
            <w:vAlign w:val="center"/>
            <w:hideMark/>
          </w:tcPr>
          <w:p w14:paraId="683EA790"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q(t)</w:t>
            </w:r>
          </w:p>
        </w:tc>
        <w:tc>
          <w:tcPr>
            <w:tcW w:w="4394" w:type="dxa"/>
            <w:tcBorders>
              <w:top w:val="nil"/>
              <w:left w:val="nil"/>
              <w:bottom w:val="nil"/>
              <w:right w:val="nil"/>
            </w:tcBorders>
            <w:vAlign w:val="center"/>
            <w:hideMark/>
          </w:tcPr>
          <w:p w14:paraId="46AF3FAA" w14:textId="77777777" w:rsidR="0099074B" w:rsidRPr="0099074B" w:rsidRDefault="0099074B" w:rsidP="0099074B">
            <w:pPr>
              <w:spacing w:line="259" w:lineRule="auto"/>
              <w:jc w:val="center"/>
              <w:rPr>
                <w:color w:val="1F4E9E"/>
                <w:sz w:val="22"/>
                <w:szCs w:val="22"/>
              </w:rPr>
            </w:pPr>
            <w:r w:rsidRPr="0099074B">
              <w:rPr>
                <w:color w:val="FF0000"/>
                <w:sz w:val="22"/>
                <w:szCs w:val="22"/>
              </w:rPr>
              <w:t>Accumulated evidence that the RS is present</w:t>
            </w:r>
          </w:p>
        </w:tc>
        <w:tc>
          <w:tcPr>
            <w:tcW w:w="3685" w:type="dxa"/>
            <w:tcBorders>
              <w:top w:val="nil"/>
              <w:left w:val="nil"/>
              <w:bottom w:val="nil"/>
              <w:right w:val="nil"/>
            </w:tcBorders>
            <w:vAlign w:val="center"/>
            <w:hideMark/>
          </w:tcPr>
          <w:p w14:paraId="4C2A3C5E"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Eq. (8</w:t>
            </w:r>
            <w:r w:rsidR="0099074B" w:rsidRPr="0099074B">
              <w:rPr>
                <w:color w:val="FF0000"/>
                <w:sz w:val="22"/>
                <w:szCs w:val="22"/>
                <w:lang w:val="fr-FR"/>
              </w:rPr>
              <w:t>)</w:t>
            </w:r>
          </w:p>
        </w:tc>
      </w:tr>
      <w:tr w:rsidR="0099074B" w:rsidRPr="0099074B" w14:paraId="1C48FC73" w14:textId="77777777" w:rsidTr="009D11F7">
        <w:tc>
          <w:tcPr>
            <w:tcW w:w="993" w:type="dxa"/>
            <w:tcBorders>
              <w:top w:val="nil"/>
              <w:left w:val="nil"/>
              <w:bottom w:val="nil"/>
              <w:right w:val="nil"/>
            </w:tcBorders>
            <w:vAlign w:val="center"/>
            <w:hideMark/>
          </w:tcPr>
          <w:p w14:paraId="319D3996"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μ</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77B6F433" w14:textId="77777777" w:rsidR="0099074B" w:rsidRPr="0099074B" w:rsidRDefault="0099074B" w:rsidP="0099074B">
            <w:pPr>
              <w:spacing w:line="259" w:lineRule="auto"/>
              <w:jc w:val="center"/>
              <w:rPr>
                <w:color w:val="1F4E9E"/>
                <w:sz w:val="22"/>
                <w:szCs w:val="22"/>
              </w:rPr>
            </w:pPr>
            <w:r w:rsidRPr="0099074B">
              <w:rPr>
                <w:color w:val="FF0000"/>
                <w:sz w:val="22"/>
                <w:szCs w:val="22"/>
              </w:rPr>
              <w:t>Mean rate of RS-evidence accumulation</w:t>
            </w:r>
          </w:p>
        </w:tc>
        <w:tc>
          <w:tcPr>
            <w:tcW w:w="3685" w:type="dxa"/>
            <w:tcBorders>
              <w:top w:val="nil"/>
              <w:left w:val="nil"/>
              <w:bottom w:val="nil"/>
              <w:right w:val="nil"/>
            </w:tcBorders>
            <w:vAlign w:val="center"/>
            <w:hideMark/>
          </w:tcPr>
          <w:p w14:paraId="40C33805"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0.30–1.50</w:t>
            </w:r>
          </w:p>
        </w:tc>
      </w:tr>
      <w:tr w:rsidR="0099074B" w:rsidRPr="0099074B" w14:paraId="149555FE" w14:textId="77777777" w:rsidTr="009D11F7">
        <w:tc>
          <w:tcPr>
            <w:tcW w:w="993" w:type="dxa"/>
            <w:tcBorders>
              <w:top w:val="nil"/>
              <w:left w:val="nil"/>
              <w:bottom w:val="single" w:sz="4" w:space="0" w:color="auto"/>
              <w:right w:val="nil"/>
            </w:tcBorders>
            <w:vAlign w:val="center"/>
            <w:hideMark/>
          </w:tcPr>
          <w:p w14:paraId="37097915"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σ</w:t>
            </w:r>
            <w:r w:rsidRPr="0099074B">
              <w:rPr>
                <w:i/>
                <w:color w:val="FF0000"/>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0176E20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RS-</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single" w:sz="4" w:space="0" w:color="auto"/>
              <w:right w:val="nil"/>
            </w:tcBorders>
            <w:vAlign w:val="center"/>
            <w:hideMark/>
          </w:tcPr>
          <w:p w14:paraId="48CA5114"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0.03–0.30 (log-uniform)</w:t>
            </w:r>
          </w:p>
        </w:tc>
      </w:tr>
    </w:tbl>
    <w:p w14:paraId="4010BB87" w14:textId="77777777" w:rsidR="0099074B" w:rsidRPr="00FF40B9" w:rsidRDefault="0099074B" w:rsidP="0099074B">
      <w:pPr>
        <w:spacing w:line="259" w:lineRule="auto"/>
        <w:rPr>
          <w:color w:val="1F4E9E"/>
          <w:sz w:val="22"/>
          <w:szCs w:val="22"/>
        </w:rPr>
      </w:pPr>
      <w:r>
        <w:rPr>
          <w:color w:val="1F4E9E"/>
        </w:rPr>
        <w:t xml:space="preserve">Note. The values and ranges in this table come from the design of the experiment, from published estimates, or from the structure of the model itself; none is derived from these data, since a range drawn around a value estimated from the data cannot test whether a prediction survives away from that value. σx is not an empirical quantity at all: the model is exactly invariant under a joint rescaling of every amplitude it contains (k, σx, θ, g, r, SDε, μRS, σq and β), so one of them must be fixed to set the units, and the remaining amplitudes are in effect expressed in units of σx. k and λ were estimated by Dendauw et al. (2024) in an immediate-report task; because constants inherited from immediate report are not guaranteed to transfer to delayed report, both were sampled over roughly a factor of two either side of those estimates rather than fixed at them — as was the response criterion r, for the same reason. The residual motor latency Lmotor is the one exception: it is fixed at Dendauw et al.’s 0.093 s, on the ground that a peripheral electromechanical delay between muscle activation and the overt response has better reason to transfer between tasks than a decision-related constant does. The upper end of λ follows from reading 1/λ as the time constant of the filter relating decision-related input to motor preparation: the sampled range corresponds to time constants between 100 and 20 ms, whereas </w:t>
      </w:r>
      <m:oMath>
        <m:r>
          <w:rPr>
            <w:rFonts w:ascii="Cambria Math" w:hAnsi="Cambria Math"/>
          </w:rPr>
          <m:t>λ</m:t>
        </m:r>
        <m:r>
          <m:rPr>
            <m:nor/>
          </m:rPr>
          <w:rPr>
            <w:rFonts w:ascii="Cambria Math" w:hAnsi="Cambria Math"/>
          </w:rPr>
          <m:t xml:space="preserve">=100 </m:t>
        </m:r>
        <m:sSup>
          <m:sSupPr>
            <m:ctrlPr>
              <w:rPr>
                <w:rFonts w:ascii="Cambria Math" w:hAnsi="Cambria Math"/>
              </w:rPr>
            </m:ctrlPr>
          </m:sSupPr>
          <m:e>
            <m:r>
              <m:rPr>
                <m:nor/>
              </m:rPr>
              <w:rPr>
                <w:rFonts w:ascii="Cambria Math" w:hAnsi="Cambria Math"/>
              </w:rPr>
              <m:t>s</m:t>
            </m:r>
          </m:e>
          <m:sup>
            <m:r>
              <m:rPr>
                <m:nor/>
              </m:rPr>
              <w:rPr>
                <w:rFonts w:ascii="Cambria Math" w:hAnsi="Cambria Math"/>
              </w:rPr>
              <m:t>-1</m:t>
            </m:r>
          </m:sup>
        </m:sSup>
      </m:oMath>
      <w:r>
        <w:rPr>
          <w:color w:val="1F4E9E"/>
        </w:rPr>
        <w:t xml:space="preserve"> would imply 10 ms, faster than plausible neuromuscular filtering. That bound also bears on the ceiling argument of Results (Delay-locked), which weakens as λ grows, and is stated here so that it is visible as a modeling commitment rather than a convenience. σq was likewise sampled rather than fixed, over a factor of three either side of parity with σx, on the structural analogy between the two accumulators; it is weakly identified by behavior, so fixing it would amount to an unexamined assumption. κ is not constrained by any prior study in this paradigm and was sampled over more than two orders of magnitude, from a maintenance fluctuation whose correlation time exceeds the entire delay </w:t>
      </w:r>
      <m:oMath>
        <m:d>
          <m:dPr>
            <m:ctrlPr>
              <w:rPr>
                <w:rFonts w:ascii="Cambria Math" w:hAnsi="Cambria Math"/>
              </w:rPr>
            </m:ctrlPr>
          </m:dPr>
          <m:e>
            <m:r>
              <m:rPr>
                <m:nor/>
              </m:rPr>
              <w:rPr>
                <w:rFonts w:ascii="Cambria Math" w:hAnsi="Cambria Math"/>
              </w:rPr>
              <m:t>1/</m:t>
            </m:r>
            <m:r>
              <w:rPr>
                <w:rFonts w:ascii="Cambria Math" w:hAnsi="Cambria Math"/>
              </w:rPr>
              <m:t>κ</m:t>
            </m:r>
            <m:r>
              <m:rPr>
                <m:nor/>
              </m:rPr>
              <w:rPr>
                <w:rFonts w:ascii="Cambria Math" w:hAnsi="Cambria Math"/>
              </w:rPr>
              <m:t>=5 s</m:t>
            </m:r>
          </m:e>
        </m:d>
      </m:oMath>
      <w:r>
        <w:rPr>
          <w:color w:val="1F4E9E"/>
        </w:rPr>
        <w:t xml:space="preserve"> to one that decorrelates within a single analysis bin (33 ms); the range is deliberately generous, and generous in the direction that favors Model 1, whose only route to a delay-period rate still rising at the end of the delay is a small κ. The motion- and RS-evidence encoding latencies Lmotion and LRS were both fixed at 0.200 s as a simplifying choice for the simulations. The </w:t>
      </w:r>
      <m:oMath>
        <m:r>
          <w:rPr>
            <w:rFonts w:ascii="Cambria Math" w:hAnsi="Cambria Math"/>
          </w:rPr>
          <m:t>θ</m:t>
        </m:r>
        <m:r>
          <m:rPr>
            <m:nor/>
          </m:rPr>
          <w:rPr>
            <w:rFonts w:ascii="Cambria Math" w:hAnsi="Cambria Math"/>
          </w:rPr>
          <m:t>/</m:t>
        </m:r>
        <m:r>
          <w:rPr>
            <w:rFonts w:ascii="Cambria Math" w:hAnsi="Cambria Math"/>
          </w:rPr>
          <m:t>g</m:t>
        </m:r>
      </m:oMath>
      <w:r>
        <w:rPr>
          <w:color w:val="1F4E9E"/>
        </w:rPr>
        <w:t xml:space="preserve">, rather than θ itself, was sampled to ensure </w:t>
      </w:r>
      <m:oMath>
        <m:r>
          <w:rPr>
            <w:rFonts w:ascii="Cambria Math" w:hAnsi="Cambria Math"/>
          </w:rPr>
          <m:t>θ</m:t>
        </m:r>
        <m:r>
          <m:rPr>
            <m:nor/>
          </m:rPr>
          <w:rPr>
            <w:rFonts w:ascii="Cambria Math" w:hAnsi="Cambria Math"/>
          </w:rPr>
          <m:t>&lt;</m:t>
        </m:r>
        <m:r>
          <w:rPr>
            <w:rFonts w:ascii="Cambria Math" w:hAnsi="Cambria Math"/>
          </w:rPr>
          <m:t>g</m:t>
        </m:r>
      </m:oMath>
      <w:r>
        <w:rPr>
          <w:color w:val="1F4E9E"/>
        </w:rPr>
        <w:t xml:space="preserve">, which the architecture requires. For the maintenance-noise process, the stationary standard deviation SDε is sampled rather than σε, so that fluctuation amplitude varies independently of κ; it is sampled directly rather than through any quantity derived from it, so that the sampling law over the space is the one the table states. The remaining ranges — g, θ/g, SDε, β and μRS — are deliberately wider than the region the task-admissibility screen </w:t>
      </w:r>
      <w:r>
        <w:rPr>
          <w:color w:val="1F4E9E"/>
        </w:rPr>
        <w:lastRenderedPageBreak/>
        <w:t>accepts, so that what constrains the space evaluated is that screen, whose criteria are taken from the design of the experiment, rather than the choice of endpoints. RS: response signal.</w:t>
      </w:r>
    </w:p>
    <w:p w14:paraId="5CF7041B" w14:textId="77777777" w:rsidR="00205CBC" w:rsidRDefault="00000000">
      <w:r>
        <w:rPr>
          <w:color w:val="1F4E9E"/>
        </w:rPr>
        <w:t xml:space="preserve">Remark A.0. </w:t>
      </w:r>
      <m:oMath>
        <m:r>
          <w:rPr>
            <w:rFonts w:ascii="Cambria Math" w:hAnsi="Cambria Math"/>
            <w:color w:val="1F4E9E"/>
          </w:rPr>
          <m:t>Δ</m:t>
        </m:r>
        <m:r>
          <m:rPr>
            <m:nor/>
          </m:rPr>
          <w:rPr>
            <w:rFonts w:ascii="Cambria Math" w:hAnsi="Cambria Math"/>
            <w:color w:val="1F4E9E"/>
          </w:rPr>
          <m:t>=3+</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RS</m:t>
            </m:r>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xml:space="preserve"> does not depend on </w:t>
      </w:r>
      <m:oMath>
        <m:r>
          <w:rPr>
            <w:rFonts w:ascii="Cambria Math" w:hAnsi="Cambria Math"/>
            <w:color w:val="1F4E9E"/>
          </w:rPr>
          <m:t>D</m:t>
        </m:r>
      </m:oMath>
      <w:r>
        <w:rPr>
          <w:color w:val="1F4E9E"/>
        </w:rPr>
        <w:t>. The temporal-preparation contribution is therefore identical in all six conditions, and cannot by itself generate any effect of coherence or of duration, nor any interaction between them. Every prediction in this appendix consequently holds in both models, which is why behavior alone cannot discriminate between them.</w:t>
      </w:r>
    </w:p>
    <w:p w14:paraId="0B656664" w14:textId="77777777" w:rsidR="00205CBC" w:rsidRDefault="00000000">
      <w:r>
        <w:rPr>
          <w:color w:val="1F4E9E"/>
        </w:rPr>
        <w:t xml:space="preserve">Proposition A.1 (accuracy). Response accuracy is nondecreasing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xml:space="preserve">. Proof. The response is the sign of </w:t>
      </w:r>
      <m:oMath>
        <m:r>
          <w:rPr>
            <w:rFonts w:ascii="Cambria Math" w:hAnsi="Cambria Math"/>
            <w:color w:val="1F4E9E"/>
          </w:rPr>
          <m:t>y</m:t>
        </m:r>
      </m:oMath>
      <w:r>
        <w:rPr>
          <w:color w:val="1F4E9E"/>
        </w:rPr>
        <w:t xml:space="preserve"> at the moment maintenance begins. Ignoring the threshold for a moment, </w:t>
      </w:r>
      <m:oMath>
        <m:r>
          <w:rPr>
            <w:rFonts w:ascii="Cambria Math" w:hAnsi="Cambria Math"/>
            <w:color w:val="1F4E9E"/>
          </w:rPr>
          <m:t>y</m:t>
        </m:r>
      </m:oMath>
      <w:r>
        <w:rPr>
          <w:color w:val="1F4E9E"/>
        </w:rPr>
        <w:t xml:space="preserve"> is Gaussian, and the computation of Appendix C applies with the mean-reversion rate set to zero: </w:t>
      </w:r>
      <m:oMath>
        <m:r>
          <w:rPr>
            <w:rFonts w:ascii="Cambria Math" w:hAnsi="Cambria Math"/>
            <w:color w:val="1F4E9E"/>
          </w:rPr>
          <m:t>x</m:t>
        </m:r>
      </m:oMath>
      <w:r>
        <w:rPr>
          <w:color w:val="1F4E9E"/>
        </w:rPr>
        <w:t xml:space="preserve"> is a Brownian motion with drift, </w:t>
      </w:r>
      <m:oMath>
        <m:r>
          <w:rPr>
            <w:rFonts w:ascii="Cambria Math" w:hAnsi="Cambria Math"/>
            <w:color w:val="1F4E9E"/>
          </w:rPr>
          <m:t>y</m:t>
        </m:r>
      </m:oMath>
      <w:r>
        <w:rPr>
          <w:color w:val="1F4E9E"/>
        </w:rPr>
        <w:t xml:space="preserve"> is the same first-order filter, so by (14) with </w:t>
      </w:r>
      <m:oMath>
        <m:r>
          <w:rPr>
            <w:rFonts w:ascii="Cambria Math" w:hAnsi="Cambria Math"/>
            <w:color w:val="1F4E9E"/>
          </w:rPr>
          <m:t>κ</m:t>
        </m:r>
        <m:r>
          <m:rPr>
            <m:nor/>
          </m:rPr>
          <w:rPr>
            <w:rFonts w:ascii="Cambria Math" w:hAnsi="Cambria Math"/>
            <w:color w:val="1F4E9E"/>
          </w:rPr>
          <m:t>=0</m:t>
        </m:r>
      </m:oMath>
      <w:r>
        <w:rPr>
          <w:color w:val="1F4E9E"/>
        </w:rPr>
        <w:t xml:space="preserve"> the kernel is </w:t>
      </w:r>
      <m:oMath>
        <m:sSub>
          <m:sSubPr>
            <m:ctrlPr>
              <w:rPr>
                <w:rFonts w:ascii="Cambria Math" w:hAnsi="Cambria Math"/>
              </w:rPr>
            </m:ctrlPr>
          </m:sSubPr>
          <m:e>
            <m:r>
              <w:rPr>
                <w:rFonts w:ascii="Cambria Math" w:hAnsi="Cambria Math"/>
                <w:color w:val="1F4E9E"/>
              </w:rPr>
              <m:t>K</m:t>
            </m:r>
          </m:e>
          <m:sub>
            <m:r>
              <m:rPr>
                <m:nor/>
              </m:rPr>
              <w:rPr>
                <w:rFonts w:ascii="Cambria Math" w:hAnsi="Cambria Math"/>
                <w:color w:val="1F4E9E"/>
              </w:rPr>
              <m:t>0</m:t>
            </m:r>
          </m:sub>
        </m:sSub>
        <m:d>
          <m:dPr>
            <m:ctrlPr>
              <w:rPr>
                <w:rFonts w:ascii="Cambria Math" w:hAnsi="Cambria Math"/>
              </w:rPr>
            </m:ctrlPr>
          </m:dPr>
          <m:e>
            <m:r>
              <w:rPr>
                <w:rFonts w:ascii="Cambria Math" w:hAnsi="Cambria Math"/>
                <w:color w:val="1F4E9E"/>
              </w:rPr>
              <m:t>v</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x</m:t>
            </m:r>
          </m:sub>
        </m:sSub>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λv</m:t>
                </m:r>
              </m:sup>
            </m:sSup>
          </m:e>
        </m:d>
      </m:oMath>
      <w:r>
        <w:rPr>
          <w:color w:val="1F4E9E"/>
        </w:rPr>
        <w:t xml:space="preserve"> and, by (15) and (16),</w:t>
      </w:r>
    </w:p>
    <w:p w14:paraId="4C15B0FE" w14:textId="77777777" w:rsidR="00205CBC" w:rsidRDefault="00000000">
      <m:oMathPara>
        <m:oMath>
          <m:eqArr>
            <m:eqArrPr>
              <m:maxDist m:val="1"/>
              <m:ctrlPr>
                <w:rPr>
                  <w:rFonts w:ascii="Cambria Math" w:hAnsi="Cambria Math"/>
                </w:rPr>
              </m:ctrlPr>
            </m:eqArrPr>
            <m:e>
              <m:r>
                <m:rPr>
                  <m:nor/>
                </m:rPr>
                <w:rPr>
                  <w:rFonts w:ascii="Cambria Math" w:hAnsi="Cambria Math"/>
                  <w:color w:val="1F4E9E"/>
                </w:rPr>
                <m:t>E </m:t>
              </m:r>
              <m:r>
                <w:rPr>
                  <w:rFonts w:ascii="Cambria Math" w:hAnsi="Cambria Math"/>
                  <w:color w:val="1F4E9E"/>
                </w:rPr>
                <m:t>y</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kc</m:t>
              </m:r>
              <m:d>
                <m:dPr>
                  <m:ctrlPr>
                    <w:rPr>
                      <w:rFonts w:ascii="Cambria Math" w:hAnsi="Cambria Math"/>
                    </w:rPr>
                  </m:ctrlPr>
                </m:dPr>
                <m:e>
                  <m:r>
                    <w:rPr>
                      <w:rFonts w:ascii="Cambria Math" w:hAnsi="Cambria Math"/>
                      <w:color w:val="1F4E9E"/>
                    </w:rPr>
                    <m:t>t</m:t>
                  </m:r>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λt</m:t>
                          </m:r>
                        </m:sup>
                      </m:sSup>
                    </m:num>
                    <m:den>
                      <m:r>
                        <w:rPr>
                          <w:rFonts w:ascii="Cambria Math" w:hAnsi="Cambria Math"/>
                          <w:color w:val="1F4E9E"/>
                        </w:rPr>
                        <m:t>λ</m:t>
                      </m:r>
                    </m:den>
                  </m:f>
                </m:e>
              </m:d>
              <m:r>
                <m:rPr>
                  <m:nor/>
                </m:rPr>
                <w:rPr>
                  <w:rFonts w:ascii="Cambria Math" w:hAnsi="Cambria Math"/>
                  <w:color w:val="1F4E9E"/>
                </w:rPr>
                <m:t>,  Var </m:t>
              </m:r>
              <m:r>
                <w:rPr>
                  <w:rFonts w:ascii="Cambria Math" w:hAnsi="Cambria Math"/>
                  <w:color w:val="1F4E9E"/>
                </w:rPr>
                <m:t>y</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sSubSup>
                <m:sSubSupPr>
                  <m:ctrlPr>
                    <w:rPr>
                      <w:rFonts w:ascii="Cambria Math" w:hAnsi="Cambria Math"/>
                    </w:rPr>
                  </m:ctrlPr>
                </m:sSubSupPr>
                <m:e>
                  <m:r>
                    <w:rPr>
                      <w:rFonts w:ascii="Cambria Math" w:hAnsi="Cambria Math"/>
                      <w:color w:val="1F4E9E"/>
                    </w:rPr>
                    <m:t>σ</m:t>
                  </m:r>
                </m:e>
                <m:sub>
                  <m:r>
                    <w:rPr>
                      <w:rFonts w:ascii="Cambria Math" w:hAnsi="Cambria Math"/>
                      <w:color w:val="1F4E9E"/>
                    </w:rPr>
                    <m:t>x</m:t>
                  </m:r>
                </m:sub>
                <m:sup>
                  <m:r>
                    <m:rPr>
                      <m:nor/>
                    </m:rPr>
                    <w:rPr>
                      <w:rFonts w:ascii="Cambria Math" w:hAnsi="Cambria Math"/>
                      <w:color w:val="1F4E9E"/>
                    </w:rPr>
                    <m:t>2</m:t>
                  </m:r>
                </m:sup>
              </m:sSubSup>
              <m:d>
                <m:dPr>
                  <m:begChr m:val="["/>
                  <m:endChr m:val="]"/>
                  <m:ctrlPr>
                    <w:rPr>
                      <w:rFonts w:ascii="Cambria Math" w:hAnsi="Cambria Math"/>
                    </w:rPr>
                  </m:ctrlPr>
                </m:dPr>
                <m:e>
                  <m:r>
                    <w:rPr>
                      <w:rFonts w:ascii="Cambria Math" w:hAnsi="Cambria Math"/>
                      <w:color w:val="1F4E9E"/>
                    </w:rPr>
                    <m:t>t</m:t>
                  </m:r>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2</m:t>
                      </m:r>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λt</m:t>
                              </m:r>
                            </m:sup>
                          </m:sSup>
                        </m:e>
                      </m:d>
                    </m:num>
                    <m:den>
                      <m:r>
                        <w:rPr>
                          <w:rFonts w:ascii="Cambria Math" w:hAnsi="Cambria Math"/>
                          <w:color w:val="1F4E9E"/>
                        </w:rPr>
                        <m:t>λ</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λt</m:t>
                          </m:r>
                        </m:sup>
                      </m:sSup>
                    </m:num>
                    <m:den>
                      <m:r>
                        <m:rPr>
                          <m:nor/>
                        </m:rPr>
                        <w:rPr>
                          <w:rFonts w:ascii="Cambria Math" w:hAnsi="Cambria Math"/>
                          <w:color w:val="1F4E9E"/>
                        </w:rPr>
                        <m:t>2</m:t>
                      </m:r>
                      <m:r>
                        <w:rPr>
                          <w:rFonts w:ascii="Cambria Math" w:hAnsi="Cambria Math"/>
                          <w:color w:val="1F4E9E"/>
                        </w:rPr>
                        <m:t>λ</m:t>
                      </m:r>
                    </m:den>
                  </m:f>
                </m:e>
              </m:d>
              <m:r>
                <w:rPr>
                  <w:rFonts w:ascii="Cambria Math" w:hAnsi="Cambria Math"/>
                  <w:color w:val="1F4E9E"/>
                </w:rPr>
                <m:t>#</m:t>
              </m:r>
              <m:d>
                <m:dPr>
                  <m:ctrlPr>
                    <w:rPr>
                      <w:rFonts w:ascii="Cambria Math" w:hAnsi="Cambria Math"/>
                    </w:rPr>
                  </m:ctrlPr>
                </m:dPr>
                <m:e>
                  <m:r>
                    <m:rPr>
                      <m:nor/>
                    </m:rPr>
                    <w:rPr>
                      <w:rFonts w:ascii="Cambria Math" w:hAnsi="Cambria Math"/>
                      <w:color w:val="1F4E9E"/>
                    </w:rPr>
                    <m:t>27</m:t>
                  </m:r>
                </m:e>
              </m:d>
            </m:e>
          </m:eqArr>
        </m:oMath>
      </m:oMathPara>
    </w:p>
    <w:p w14:paraId="7733CF9F" w14:textId="77777777" w:rsidR="00205CBC" w:rsidRDefault="00000000">
      <w:r>
        <w:rPr>
          <w:color w:val="1F4E9E"/>
        </w:rPr>
        <w:t xml:space="preserve">so that once the filter transient has passed </w:t>
      </w:r>
      <m:oMath>
        <m:r>
          <w:rPr>
            <w:rFonts w:ascii="Cambria Math" w:hAnsi="Cambria Math"/>
            <w:color w:val="1F4E9E"/>
          </w:rPr>
          <m:t>y</m:t>
        </m:r>
      </m:oMath>
      <w:r>
        <w:rPr>
          <w:color w:val="1F4E9E"/>
        </w:rPr>
        <w:t xml:space="preserve"> tracks </w:t>
      </w:r>
      <m:oMath>
        <m:r>
          <w:rPr>
            <w:rFonts w:ascii="Cambria Math" w:hAnsi="Cambria Math"/>
            <w:color w:val="1F4E9E"/>
          </w:rPr>
          <m:t>x</m:t>
        </m:r>
      </m:oMath>
      <w:r>
        <w:rPr>
          <w:color w:val="1F4E9E"/>
        </w:rPr>
        <w:t xml:space="preserve"> with a lag of about </w:t>
      </w:r>
      <m:oMath>
        <m:r>
          <m:rPr>
            <m:nor/>
          </m:rPr>
          <w:rPr>
            <w:rFonts w:ascii="Cambria Math" w:hAnsi="Cambria Math"/>
            <w:color w:val="1F4E9E"/>
          </w:rPr>
          <m:t>1/</m:t>
        </m:r>
        <m:r>
          <w:rPr>
            <w:rFonts w:ascii="Cambria Math" w:hAnsi="Cambria Math"/>
            <w:color w:val="1F4E9E"/>
          </w:rPr>
          <m:t>λ</m:t>
        </m:r>
      </m:oMath>
      <w:r>
        <w:rPr>
          <w:color w:val="1F4E9E"/>
        </w:rPr>
        <w:t xml:space="preserve">: its mean is </w:t>
      </w:r>
      <m:oMath>
        <m:r>
          <w:rPr>
            <w:rFonts w:ascii="Cambria Math" w:hAnsi="Cambria Math"/>
            <w:color w:val="1F4E9E"/>
          </w:rPr>
          <m:t>kc</m:t>
        </m:r>
        <m:d>
          <m:dPr>
            <m:ctrlPr>
              <w:rPr>
                <w:rFonts w:ascii="Cambria Math" w:hAnsi="Cambria Math"/>
              </w:rPr>
            </m:ctrlPr>
          </m:dPr>
          <m:e>
            <m:r>
              <w:rPr>
                <w:rFonts w:ascii="Cambria Math" w:hAnsi="Cambria Math"/>
                <w:color w:val="1F4E9E"/>
              </w:rPr>
              <m:t>t</m:t>
            </m:r>
            <m:r>
              <m:rPr>
                <m:nor/>
              </m:rPr>
              <w:rPr>
                <w:rFonts w:ascii="Cambria Math" w:hAnsi="Cambria Math"/>
                <w:color w:val="1F4E9E"/>
              </w:rPr>
              <m:t>-1/</m:t>
            </m:r>
            <m:r>
              <w:rPr>
                <w:rFonts w:ascii="Cambria Math" w:hAnsi="Cambria Math"/>
                <w:color w:val="1F4E9E"/>
              </w:rPr>
              <m:t>λ</m:t>
            </m:r>
          </m:e>
        </m:d>
      </m:oMath>
      <w:r>
        <w:rPr>
          <w:color w:val="1F4E9E"/>
        </w:rPr>
        <w:t xml:space="preserve"> and its standard deviation </w:t>
      </w:r>
      <m:oMath>
        <m:sSub>
          <m:sSubPr>
            <m:ctrlPr>
              <w:rPr>
                <w:rFonts w:ascii="Cambria Math" w:hAnsi="Cambria Math"/>
              </w:rPr>
            </m:ctrlPr>
          </m:sSubPr>
          <m:e>
            <m:r>
              <w:rPr>
                <w:rFonts w:ascii="Cambria Math" w:hAnsi="Cambria Math"/>
                <w:color w:val="1F4E9E"/>
              </w:rPr>
              <m:t>σ</m:t>
            </m:r>
          </m:e>
          <m:sub>
            <m:r>
              <w:rPr>
                <w:rFonts w:ascii="Cambria Math" w:hAnsi="Cambria Math"/>
                <w:color w:val="1F4E9E"/>
              </w:rPr>
              <m:t>x</m:t>
            </m:r>
          </m:sub>
        </m:sSub>
        <m:rad>
          <m:radPr>
            <m:degHide m:val="1"/>
            <m:ctrlPr>
              <w:rPr>
                <w:rFonts w:ascii="Cambria Math" w:hAnsi="Cambria Math"/>
              </w:rPr>
            </m:ctrlPr>
          </m:radPr>
          <m:deg/>
          <m:e>
            <m:r>
              <w:rPr>
                <w:rFonts w:ascii="Cambria Math" w:hAnsi="Cambria Math"/>
                <w:color w:val="1F4E9E"/>
              </w:rPr>
              <m:t>t</m:t>
            </m:r>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rad>
      </m:oMath>
      <w:r>
        <w:rPr>
          <w:color w:val="1F4E9E"/>
        </w:rPr>
        <w:t xml:space="preserve">, giving a signal-to-noise ratio of about </w:t>
      </w:r>
      <m:oMath>
        <m:r>
          <w:rPr>
            <w:rFonts w:ascii="Cambria Math" w:hAnsi="Cambria Math"/>
            <w:color w:val="1F4E9E"/>
          </w:rPr>
          <m:t>kc</m:t>
        </m:r>
        <m:rad>
          <m:radPr>
            <m:degHide m:val="1"/>
            <m:ctrlPr>
              <w:rPr>
                <w:rFonts w:ascii="Cambria Math" w:hAnsi="Cambria Math"/>
              </w:rPr>
            </m:ctrlPr>
          </m:radPr>
          <m:deg/>
          <m:e>
            <m:r>
              <w:rPr>
                <w:rFonts w:ascii="Cambria Math" w:hAnsi="Cambria Math"/>
                <w:color w:val="1F4E9E"/>
              </w:rPr>
              <m:t>t</m:t>
            </m:r>
          </m:e>
        </m:rad>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x</m:t>
            </m:r>
          </m:sub>
        </m:sSub>
      </m:oMath>
      <w:r>
        <w:rPr>
          <w:color w:val="1F4E9E"/>
        </w:rPr>
        <w:t xml:space="preserve"> for </w:t>
      </w:r>
      <m:oMath>
        <m:r>
          <w:rPr>
            <w:rFonts w:ascii="Cambria Math" w:hAnsi="Cambria Math"/>
            <w:color w:val="1F4E9E"/>
          </w:rPr>
          <m:t>λt</m:t>
        </m:r>
        <m:r>
          <m:rPr>
            <m:nor/>
          </m:rPr>
          <w:rPr>
            <w:rFonts w:ascii="Cambria Math" w:hAnsi="Cambria Math"/>
            <w:color w:val="1F4E9E"/>
          </w:rPr>
          <m:t>≫1</m:t>
        </m:r>
      </m:oMath>
      <w:r>
        <w:rPr>
          <w:color w:val="1F4E9E"/>
        </w:rPr>
        <w:t xml:space="preserve">. Accuracy is the normal integral of that ratio, which increases in </w:t>
      </w:r>
      <m:oMath>
        <m:r>
          <w:rPr>
            <w:rFonts w:ascii="Cambria Math" w:hAnsi="Cambria Math"/>
            <w:color w:val="1F4E9E"/>
          </w:rPr>
          <m:t>c</m:t>
        </m:r>
      </m:oMath>
      <w:r>
        <w:rPr>
          <w:color w:val="1F4E9E"/>
        </w:rPr>
        <w:t xml:space="preserve"> at fixed </w:t>
      </w:r>
      <m:oMath>
        <m:r>
          <w:rPr>
            <w:rFonts w:ascii="Cambria Math" w:hAnsi="Cambria Math"/>
            <w:color w:val="1F4E9E"/>
          </w:rPr>
          <m:t>t</m:t>
        </m:r>
      </m:oMath>
      <w:r>
        <w:rPr>
          <w:color w:val="1F4E9E"/>
        </w:rPr>
        <w:t xml:space="preserve"> and in </w:t>
      </w:r>
      <m:oMath>
        <m:r>
          <w:rPr>
            <w:rFonts w:ascii="Cambria Math" w:hAnsi="Cambria Math"/>
            <w:color w:val="1F4E9E"/>
          </w:rPr>
          <m:t>t</m:t>
        </m:r>
      </m:oMath>
      <w:r>
        <w:rPr>
          <w:color w:val="1F4E9E"/>
        </w:rPr>
        <w:t xml:space="preserve"> at fixed </w:t>
      </w:r>
      <m:oMath>
        <m:r>
          <w:rPr>
            <w:rFonts w:ascii="Cambria Math" w:hAnsi="Cambria Math"/>
            <w:color w:val="1F4E9E"/>
          </w:rPr>
          <m:t>c</m:t>
        </m:r>
      </m:oMath>
      <w:r>
        <w:rPr>
          <w:color w:val="1F4E9E"/>
        </w:rPr>
        <w:t xml:space="preserve">. Reinstating the threshold does not disturb the ordering: on a trial that reaches </w:t>
      </w:r>
      <m:oMath>
        <m:r>
          <w:rPr>
            <w:rFonts w:ascii="Cambria Math" w:hAnsi="Cambria Math"/>
            <w:color w:val="1F4E9E"/>
          </w:rPr>
          <m:t>θ</m:t>
        </m:r>
      </m:oMath>
      <w:r>
        <w:rPr>
          <w:color w:val="1F4E9E"/>
        </w:rPr>
        <w:t xml:space="preserve"> the sign is fixed at the crossing, and the probability that the first crossing occurs on the correct side is governed by the same ratio. The second step is a monotonicity argument, not a closed-form computation. ∎</w:t>
      </w:r>
    </w:p>
    <w:p w14:paraId="19B0EE51" w14:textId="77777777" w:rsidR="00205CBC" w:rsidRDefault="00000000">
      <w:r>
        <w:rPr>
          <w:color w:val="1F4E9E"/>
        </w:rPr>
        <w:t xml:space="preserve">Proposition A.2 (the duration benefit on accuracy is confined to intermediate coherence). At </w:t>
      </w:r>
      <m:oMath>
        <m:r>
          <w:rPr>
            <w:rFonts w:ascii="Cambria Math" w:hAnsi="Cambria Math"/>
            <w:color w:val="1F4E9E"/>
          </w:rPr>
          <m:t>c</m:t>
        </m:r>
        <m:r>
          <m:rPr>
            <m:nor/>
          </m:rPr>
          <w:rPr>
            <w:rFonts w:ascii="Cambria Math" w:hAnsi="Cambria Math"/>
            <w:color w:val="1F4E9E"/>
          </w:rPr>
          <m:t>=0</m:t>
        </m:r>
      </m:oMath>
      <w:r>
        <w:rPr>
          <w:color w:val="1F4E9E"/>
        </w:rPr>
        <w:t xml:space="preserve">, accuracy is exactly </w:t>
      </w:r>
      <m:oMath>
        <m:r>
          <m:rPr>
            <m:nor/>
          </m:rPr>
          <w:rPr>
            <w:rFonts w:ascii="Cambria Math" w:hAnsi="Cambria Math"/>
            <w:color w:val="1F4E9E"/>
          </w:rPr>
          <m:t>1/2</m:t>
        </m:r>
      </m:oMath>
      <w:r>
        <w:rPr>
          <w:color w:val="1F4E9E"/>
        </w:rPr>
        <w:t xml:space="preserve"> for every </w:t>
      </w:r>
      <m:oMath>
        <m:r>
          <w:rPr>
            <w:rFonts w:ascii="Cambria Math" w:hAnsi="Cambria Math"/>
            <w:color w:val="1F4E9E"/>
          </w:rPr>
          <m:t>D</m:t>
        </m:r>
      </m:oMath>
      <w:r>
        <w:rPr>
          <w:color w:val="1F4E9E"/>
        </w:rPr>
        <w:t xml:space="preserve">. At sufficiently high </w:t>
      </w:r>
      <m:oMath>
        <m:r>
          <w:rPr>
            <w:rFonts w:ascii="Cambria Math" w:hAnsi="Cambria Math"/>
            <w:color w:val="1F4E9E"/>
          </w:rPr>
          <m:t>c</m:t>
        </m:r>
      </m:oMath>
      <w:r>
        <w:rPr>
          <w:color w:val="1F4E9E"/>
        </w:rPr>
        <w:t xml:space="preserve">, accuracy tends to 1 for every </w:t>
      </w:r>
      <m:oMath>
        <m:r>
          <w:rPr>
            <w:rFonts w:ascii="Cambria Math" w:hAnsi="Cambria Math"/>
            <w:color w:val="1F4E9E"/>
          </w:rPr>
          <m:t>D</m:t>
        </m:r>
      </m:oMath>
      <w:r>
        <w:rPr>
          <w:color w:val="1F4E9E"/>
        </w:rPr>
        <w:t xml:space="preserve"> at least as long as the shorter duration. The effect of duration on accuracy therefore vanishes at both ends of the coherence range and can be non-zero only between them. Proof. </w:t>
      </w:r>
      <w:r>
        <w:rPr>
          <w:color w:val="1F4E9E"/>
        </w:rPr>
        <w:lastRenderedPageBreak/>
        <w:t xml:space="preserve">At </w:t>
      </w:r>
      <m:oMath>
        <m:r>
          <w:rPr>
            <w:rFonts w:ascii="Cambria Math" w:hAnsi="Cambria Math"/>
            <w:color w:val="1F4E9E"/>
          </w:rPr>
          <m:t>c</m:t>
        </m:r>
        <m:r>
          <m:rPr>
            <m:nor/>
          </m:rPr>
          <w:rPr>
            <w:rFonts w:ascii="Cambria Math" w:hAnsi="Cambria Math"/>
            <w:color w:val="1F4E9E"/>
          </w:rPr>
          <m:t>=0</m:t>
        </m:r>
      </m:oMath>
      <w:r>
        <w:rPr>
          <w:color w:val="1F4E9E"/>
        </w:rPr>
        <w:t xml:space="preserve"> the increments of </w:t>
      </w:r>
      <m:oMath>
        <m:r>
          <w:rPr>
            <w:rFonts w:ascii="Cambria Math" w:hAnsi="Cambria Math"/>
            <w:color w:val="1F4E9E"/>
          </w:rPr>
          <m:t>x</m:t>
        </m:r>
      </m:oMath>
      <w:r>
        <w:rPr>
          <w:color w:val="1F4E9E"/>
        </w:rPr>
        <w:t xml:space="preserve"> are symmetric about zero and independent of the motion direction </w:t>
      </w:r>
      <m:oMath>
        <m:r>
          <w:rPr>
            <w:rFonts w:ascii="Cambria Math" w:hAnsi="Cambria Math"/>
            <w:color w:val="1F4E9E"/>
          </w:rPr>
          <m:t>s</m:t>
        </m:r>
      </m:oMath>
      <w:r>
        <w:rPr>
          <w:color w:val="1F4E9E"/>
        </w:rPr>
        <w:t xml:space="preserve">, so the sign of </w:t>
      </w:r>
      <m:oMath>
        <m:r>
          <w:rPr>
            <w:rFonts w:ascii="Cambria Math" w:hAnsi="Cambria Math"/>
            <w:color w:val="1F4E9E"/>
          </w:rPr>
          <m:t>y</m:t>
        </m:r>
      </m:oMath>
      <w:r>
        <w:rPr>
          <w:color w:val="1F4E9E"/>
        </w:rPr>
        <w:t xml:space="preserve"> at maintenance onset is independent of </w:t>
      </w:r>
      <m:oMath>
        <m:r>
          <w:rPr>
            <w:rFonts w:ascii="Cambria Math" w:hAnsi="Cambria Math"/>
            <w:color w:val="1F4E9E"/>
          </w:rPr>
          <m:t>s</m:t>
        </m:r>
      </m:oMath>
      <w:r>
        <w:rPr>
          <w:color w:val="1F4E9E"/>
        </w:rPr>
        <w:t xml:space="preserve"> and accuracy is exactly </w:t>
      </w:r>
      <m:oMath>
        <m:r>
          <m:rPr>
            <m:nor/>
          </m:rPr>
          <w:rPr>
            <w:rFonts w:ascii="Cambria Math" w:hAnsi="Cambria Math"/>
            <w:color w:val="1F4E9E"/>
          </w:rPr>
          <m:t>1/2</m:t>
        </m:r>
      </m:oMath>
      <w:r>
        <w:rPr>
          <w:color w:val="1F4E9E"/>
        </w:rPr>
        <w:t xml:space="preserve">, whatever </w:t>
      </w:r>
      <m:oMath>
        <m:r>
          <w:rPr>
            <w:rFonts w:ascii="Cambria Math" w:hAnsi="Cambria Math"/>
            <w:color w:val="1F4E9E"/>
          </w:rPr>
          <m:t>D</m:t>
        </m:r>
      </m:oMath>
      <w:r>
        <w:rPr>
          <w:color w:val="1F4E9E"/>
        </w:rPr>
        <w:t xml:space="preserve">. This half is exact. At high </w:t>
      </w:r>
      <m:oMath>
        <m:r>
          <w:rPr>
            <w:rFonts w:ascii="Cambria Math" w:hAnsi="Cambria Math"/>
            <w:color w:val="1F4E9E"/>
          </w:rPr>
          <m:t>c</m:t>
        </m:r>
      </m:oMath>
      <w:r>
        <w:rPr>
          <w:color w:val="1F4E9E"/>
        </w:rPr>
        <w:t xml:space="preserve"> the threshold is reached on the correct side before the shorter stimulus ends with probability tending to 1 by A.1, so accuracy tends to 1 at both durations. ∎</w:t>
      </w:r>
    </w:p>
    <w:p w14:paraId="33B34DF4" w14:textId="77777777" w:rsidR="00205CBC" w:rsidRDefault="00000000">
      <w:r>
        <w:rPr>
          <w:color w:val="1F4E9E"/>
        </w:rPr>
        <w:t xml:space="preserve">Proposition A.3 (mean response time). Mean response time is nonincreasing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xml:space="preserve">. Proof. From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RS</m:t>
            </m:r>
          </m:sub>
        </m:sSub>
      </m:oMath>
      <w:r>
        <w:rPr>
          <w:color w:val="1F4E9E"/>
        </w:rPr>
        <w:t xml:space="preserve"> onward the gate-facing signal is driven by the second accumulation, which has drift </w:t>
      </w:r>
      <m:oMath>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oMath>
      <w:r>
        <w:rPr>
          <w:color w:val="1F4E9E"/>
        </w:rPr>
        <w:t xml:space="preserve"> in every condition (Equations (8) and (9)), and the response is triggered when the gated drive reaches the criterion </w:t>
      </w:r>
      <m:oMath>
        <m:r>
          <w:rPr>
            <w:rFonts w:ascii="Cambria Math" w:hAnsi="Cambria Math"/>
            <w:color w:val="1F4E9E"/>
          </w:rPr>
          <m:t>r</m:t>
        </m:r>
      </m:oMath>
      <w:r>
        <w:rPr>
          <w:color w:val="1F4E9E"/>
        </w:rPr>
        <w:t xml:space="preserve">. The condition therefore enters only through the level held at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RS</m:t>
            </m:r>
          </m:sub>
        </m:sSub>
      </m:oMath>
      <w:r>
        <w:rPr>
          <w:color w:val="1F4E9E"/>
        </w:rPr>
        <w:t xml:space="preserve">: mean response time is </w:t>
      </w:r>
      <m:oMath>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RS</m:t>
            </m:r>
          </m:sub>
        </m:sSub>
        <m:r>
          <m:rPr>
            <m:nor/>
          </m:rPr>
          <w:rPr>
            <w:rFonts w:ascii="Cambria Math" w:hAnsi="Cambria Math"/>
            <w:color w:val="1F4E9E"/>
          </w:rPr>
          <m:t>+</m:t>
        </m:r>
        <m:d>
          <m:dPr>
            <m:ctrlPr>
              <w:rPr>
                <w:rFonts w:ascii="Cambria Math" w:hAnsi="Cambria Math"/>
              </w:rPr>
            </m:ctrlPr>
          </m:dPr>
          <m:e>
            <m:r>
              <w:rPr>
                <w:rFonts w:ascii="Cambria Math" w:hAnsi="Cambria Math"/>
                <w:color w:val="1F4E9E"/>
              </w:rPr>
              <m:t>g</m:t>
            </m:r>
            <m:r>
              <m:rPr>
                <m:nor/>
              </m:rPr>
              <w:rPr>
                <w:rFonts w:ascii="Cambria Math" w:hAnsi="Cambria Math"/>
                <w:color w:val="1F4E9E"/>
              </w:rPr>
              <m:t>+</m:t>
            </m:r>
            <m:r>
              <w:rPr>
                <w:rFonts w:ascii="Cambria Math" w:hAnsi="Cambria Math"/>
                <w:color w:val="1F4E9E"/>
              </w:rPr>
              <m:t>r</m:t>
            </m:r>
            <m:r>
              <m:rPr>
                <m:nor/>
              </m:rPr>
              <w:rPr>
                <w:rFonts w:ascii="Cambria Math" w:hAnsi="Cambria Math"/>
                <w:color w:val="1F4E9E"/>
              </w:rPr>
              <m:t>-</m:t>
            </m:r>
            <m:r>
              <w:rPr>
                <w:rFonts w:ascii="Cambria Math" w:hAnsi="Cambria Math"/>
                <w:color w:val="1F4E9E"/>
              </w:rPr>
              <m:t>β</m:t>
            </m:r>
            <m:r>
              <m:rPr>
                <m:nor/>
              </m:rPr>
              <w:rPr>
                <w:rFonts w:ascii="Cambria Math" w:hAnsi="Cambria Math"/>
                <w:color w:val="1F4E9E"/>
              </w:rPr>
              <m:t>-</m:t>
            </m:r>
            <m:d>
              <m:dPr>
                <m:begChr m:val="|"/>
                <m:endChr m:val="|"/>
                <m:ctrlPr>
                  <w:rPr>
                    <w:rFonts w:ascii="Cambria Math" w:hAnsi="Cambria Math"/>
                  </w:rPr>
                </m:ctrlPr>
              </m:dPr>
              <m:e>
                <m:r>
                  <w:rPr>
                    <w:rFonts w:ascii="Cambria Math" w:hAnsi="Cambria Math"/>
                    <w:color w:val="1F4E9E"/>
                  </w:rPr>
                  <m:t>m</m:t>
                </m:r>
              </m:e>
            </m:d>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motor</m:t>
            </m:r>
          </m:sub>
        </m:sSub>
      </m:oMath>
      <w:r>
        <w:rPr>
          <w:color w:val="1F4E9E"/>
        </w:rPr>
        <w:t xml:space="preserve">, an affine decreasing function of </w:t>
      </w:r>
      <m:oMath>
        <m:d>
          <m:dPr>
            <m:begChr m:val="|"/>
            <m:endChr m:val="|"/>
            <m:ctrlPr>
              <w:rPr>
                <w:rFonts w:ascii="Cambria Math" w:hAnsi="Cambria Math"/>
              </w:rPr>
            </m:ctrlPr>
          </m:dPr>
          <m:e>
            <m:r>
              <w:rPr>
                <w:rFonts w:ascii="Cambria Math" w:hAnsi="Cambria Math"/>
                <w:color w:val="1F4E9E"/>
              </w:rPr>
              <m:t>m</m:t>
            </m:r>
          </m:e>
        </m:d>
      </m:oMath>
      <w:r>
        <w:rPr>
          <w:color w:val="1F4E9E"/>
        </w:rPr>
        <w:t xml:space="preserve"> — exact for a drifting Wiener process to a fixed level, and approximate here only through the filter’s exponentially decaying residual. It is therefore enough that </w:t>
      </w:r>
      <m:oMath>
        <m:d>
          <m:dPr>
            <m:begChr m:val="|"/>
            <m:endChr m:val="|"/>
            <m:ctrlPr>
              <w:rPr>
                <w:rFonts w:ascii="Cambria Math" w:hAnsi="Cambria Math"/>
              </w:rPr>
            </m:ctrlPr>
          </m:dPr>
          <m:e>
            <m:r>
              <w:rPr>
                <w:rFonts w:ascii="Cambria Math" w:hAnsi="Cambria Math"/>
                <w:color w:val="1F4E9E"/>
              </w:rPr>
              <m:t>m</m:t>
            </m:r>
          </m:e>
        </m:d>
      </m:oMath>
      <w:r>
        <w:rPr>
          <w:color w:val="1F4E9E"/>
        </w:rPr>
        <w:t xml:space="preserve"> be stochastically nondecreasing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xml:space="preserve">, which A.1 gives: raising either makes </w:t>
      </w:r>
      <m:oMath>
        <m:r>
          <w:rPr>
            <w:rFonts w:ascii="Cambria Math" w:hAnsi="Cambria Math"/>
            <w:color w:val="1F4E9E"/>
          </w:rPr>
          <m:t>y</m:t>
        </m:r>
      </m:oMath>
      <w:r>
        <w:rPr>
          <w:color w:val="1F4E9E"/>
        </w:rPr>
        <w:t xml:space="preserve"> stochastically larger throughout the evidence window, which both raises the probability of reaching </w:t>
      </w:r>
      <m:oMath>
        <m:r>
          <w:rPr>
            <w:rFonts w:ascii="Cambria Math" w:hAnsi="Cambria Math"/>
            <w:color w:val="1F4E9E"/>
          </w:rPr>
          <m:t>θ</m:t>
        </m:r>
      </m:oMath>
      <w:r>
        <w:rPr>
          <w:color w:val="1F4E9E"/>
        </w:rPr>
        <w:t xml:space="preserve"> and raises </w:t>
      </w:r>
      <m:oMath>
        <m:r>
          <w:rPr>
            <w:rFonts w:ascii="Cambria Math" w:hAnsi="Cambria Math"/>
            <w:color w:val="1F4E9E"/>
          </w:rPr>
          <m:t>y</m:t>
        </m:r>
        <m:d>
          <m:dPr>
            <m:ctrlPr>
              <w:rPr>
                <w:rFonts w:ascii="Cambria Math" w:hAnsi="Cambria Math"/>
              </w:rPr>
            </m:ctrlPr>
          </m:dPr>
          <m:e>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oMath>
      <w:r>
        <w:rPr>
          <w:color w:val="1F4E9E"/>
        </w:rPr>
        <w:t xml:space="preserve"> on the trials that do not reach it. ∎</w:t>
      </w:r>
    </w:p>
    <w:p w14:paraId="00C249C9" w14:textId="77777777" w:rsidR="00205CBC" w:rsidRDefault="00000000">
      <w:r>
        <w:rPr>
          <w:color w:val="1F4E9E"/>
        </w:rPr>
        <w:t xml:space="preserve">Proposition A.4 (coherence × duration on response time). The effect of coherence on mean response time is larger in magnitude after the short than after the long stimulus. Proof. By A.3 the coherence effect on mean response time is the corresponding difference in </w:t>
      </w:r>
      <m:oMath>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m</m:t>
            </m:r>
          </m:e>
        </m:d>
      </m:oMath>
      <w:r>
        <w:rPr>
          <w:color w:val="1F4E9E"/>
        </w:rPr>
        <w:t xml:space="preserve">, divided by </w:t>
      </w:r>
      <m:oMath>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oMath>
      <w:r>
        <w:rPr>
          <w:color w:val="1F4E9E"/>
        </w:rPr>
        <w:t xml:space="preserve">. Write </w:t>
      </w:r>
      <m:oMath>
        <m:r>
          <w:rPr>
            <w:rFonts w:ascii="Cambria Math" w:hAnsi="Cambria Math"/>
            <w:color w:val="1F4E9E"/>
          </w:rPr>
          <m:t>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oMath>
      <w:r>
        <w:rPr>
          <w:color w:val="1F4E9E"/>
        </w:rPr>
        <w:t xml:space="preserve"> for the probability that </w:t>
      </w:r>
      <m:oMath>
        <m:r>
          <w:rPr>
            <w:rFonts w:ascii="Cambria Math" w:hAnsi="Cambria Math"/>
            <w:color w:val="1F4E9E"/>
          </w:rPr>
          <m:t>θ</m:t>
        </m:r>
      </m:oMath>
      <w:r>
        <w:rPr>
          <w:color w:val="1F4E9E"/>
        </w:rPr>
        <w:t xml:space="preserve"> is reached by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oMath>
      <w:r>
        <w:rPr>
          <w:color w:val="1F4E9E"/>
        </w:rPr>
        <w:t>. Then</w:t>
      </w:r>
    </w:p>
    <w:p w14:paraId="389543B7" w14:textId="77777777" w:rsidR="00205CBC" w:rsidRDefault="00000000">
      <m:oMathPara>
        <m:oMath>
          <m:eqArr>
            <m:eqArrPr>
              <m:maxDist m:val="1"/>
              <m:ctrlPr>
                <w:rPr>
                  <w:rFonts w:ascii="Cambria Math" w:hAnsi="Cambria Math"/>
                </w:rPr>
              </m:ctrlPr>
            </m:eqArrPr>
            <m:e>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m</m:t>
                  </m:r>
                </m:e>
              </m:d>
              <m:r>
                <m:rPr>
                  <m:nor/>
                </m:rPr>
                <w:rPr>
                  <w:rFonts w:ascii="Cambria Math" w:hAnsi="Cambria Math"/>
                  <w:color w:val="1F4E9E"/>
                </w:rPr>
                <m:t>=</m:t>
              </m:r>
              <m:r>
                <w:rPr>
                  <w:rFonts w:ascii="Cambria Math" w:hAnsi="Cambria Math"/>
                  <w:color w:val="1F4E9E"/>
                </w:rPr>
                <m:t>θF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r>
                <m:rPr>
                  <m:nor/>
                </m:rPr>
                <w:rPr>
                  <w:rFonts w:ascii="Cambria Math" w:hAnsi="Cambria Math"/>
                  <w:color w:val="1F4E9E"/>
                </w:rPr>
                <m:t>+</m:t>
              </m:r>
              <m:d>
                <m:dPr>
                  <m:ctrlPr>
                    <w:rPr>
                      <w:rFonts w:ascii="Cambria Math" w:hAnsi="Cambria Math"/>
                    </w:rPr>
                  </m:ctrlPr>
                </m:dPr>
                <m:e>
                  <m:r>
                    <m:rPr>
                      <m:nor/>
                    </m:rPr>
                    <w:rPr>
                      <w:rFonts w:ascii="Cambria Math" w:hAnsi="Cambria Math"/>
                      <w:color w:val="1F4E9E"/>
                    </w:rPr>
                    <m:t>1-</m:t>
                  </m:r>
                  <m:r>
                    <w:rPr>
                      <w:rFonts w:ascii="Cambria Math" w:hAnsi="Cambria Math"/>
                      <w:color w:val="1F4E9E"/>
                    </w:rPr>
                    <m:t>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e>
              </m:d>
              <m:r>
                <m:rPr>
                  <m:nor/>
                </m:rPr>
                <w:rPr>
                  <w:rFonts w:ascii="Cambria Math" w:hAnsi="Cambria Math"/>
                  <w:color w:val="1F4E9E"/>
                </w:rPr>
                <m:t> E</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olor w:val="1F4E9E"/>
                        </w:rPr>
                        <m:t>y</m:t>
                      </m:r>
                      <m:d>
                        <m:dPr>
                          <m:ctrlPr>
                            <w:rPr>
                              <w:rFonts w:ascii="Cambria Math" w:hAnsi="Cambria Math"/>
                            </w:rPr>
                          </m:ctrlPr>
                        </m:dPr>
                        <m:e>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e>
                  </m:d>
                  <m:r>
                    <m:rPr>
                      <m:nor/>
                    </m:rPr>
                    <w:rPr>
                      <w:rFonts w:ascii="Cambria Math" w:hAnsi="Cambria Math"/>
                      <w:color w:val="1F4E9E"/>
                    </w:rPr>
                    <m:t xml:space="preserve"> | </m:t>
                  </m:r>
                  <m:r>
                    <w:rPr>
                      <w:rFonts w:ascii="Cambria Math" w:hAnsi="Cambria Math"/>
                      <w:color w:val="1F4E9E"/>
                    </w:rPr>
                    <m:t>θ</m:t>
                  </m:r>
                  <m:r>
                    <m:rPr>
                      <m:nor/>
                    </m:rPr>
                    <w:rPr>
                      <w:rFonts w:ascii="Cambria Math" w:hAnsi="Cambria Math"/>
                      <w:color w:val="1F4E9E"/>
                    </w:rPr>
                    <m:t>notreached</m:t>
                  </m:r>
                </m:e>
              </m:d>
              <m:r>
                <m:rPr>
                  <m:nor/>
                </m:rPr>
                <w:rPr>
                  <w:rFonts w:ascii="Cambria Math" w:hAnsi="Cambria Math"/>
                  <w:color w:val="1F4E9E"/>
                </w:rPr>
                <m:t>≤</m:t>
              </m:r>
              <m:r>
                <w:rPr>
                  <w:rFonts w:ascii="Cambria Math" w:hAnsi="Cambria Math"/>
                  <w:color w:val="1F4E9E"/>
                </w:rPr>
                <m:t>θ#</m:t>
              </m:r>
              <m:d>
                <m:dPr>
                  <m:ctrlPr>
                    <w:rPr>
                      <w:rFonts w:ascii="Cambria Math" w:hAnsi="Cambria Math"/>
                    </w:rPr>
                  </m:ctrlPr>
                </m:dPr>
                <m:e>
                  <m:r>
                    <m:rPr>
                      <m:nor/>
                    </m:rPr>
                    <w:rPr>
                      <w:rFonts w:ascii="Cambria Math" w:hAnsi="Cambria Math"/>
                      <w:color w:val="1F4E9E"/>
                    </w:rPr>
                    <m:t>29</m:t>
                  </m:r>
                </m:e>
              </m:d>
            </m:e>
          </m:eqArr>
        </m:oMath>
      </m:oMathPara>
    </w:p>
    <w:p w14:paraId="515396F3" w14:textId="77777777" w:rsidR="00205CBC" w:rsidRDefault="00000000">
      <w:r>
        <w:rPr>
          <w:color w:val="1F4E9E"/>
        </w:rPr>
        <w:t xml:space="preserve">with equality in the limit. </w:t>
      </w:r>
      <m:oMath>
        <m:r>
          <w:rPr>
            <w:rFonts w:ascii="Cambria Math" w:hAnsi="Cambria Math"/>
            <w:color w:val="1F4E9E"/>
          </w:rPr>
          <m:t>F</m:t>
        </m:r>
      </m:oMath>
      <w:r>
        <w:rPr>
          <w:color w:val="1F4E9E"/>
        </w:rPr>
        <w:t xml:space="preserve"> is nondecreasing in </w:t>
      </w:r>
      <m:oMath>
        <m:r>
          <w:rPr>
            <w:rFonts w:ascii="Cambria Math" w:hAnsi="Cambria Math"/>
            <w:color w:val="1F4E9E"/>
          </w:rPr>
          <m:t>D</m:t>
        </m:r>
      </m:oMath>
      <w:r>
        <w:rPr>
          <w:color w:val="1F4E9E"/>
        </w:rPr>
        <w:t xml:space="preserve"> at every coherence and tends to 1 as </w:t>
      </w:r>
      <m:oMath>
        <m:r>
          <w:rPr>
            <w:rFonts w:ascii="Cambria Math" w:hAnsi="Cambria Math"/>
            <w:color w:val="1F4E9E"/>
          </w:rPr>
          <m:t>D</m:t>
        </m:r>
      </m:oMath>
      <w:r>
        <w:rPr>
          <w:color w:val="1F4E9E"/>
        </w:rPr>
        <w:t xml:space="preserve"> grows, so the difference in </w:t>
      </w:r>
      <m:oMath>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m</m:t>
            </m:r>
          </m:e>
        </m:d>
      </m:oMath>
      <w:r>
        <w:rPr>
          <w:color w:val="1F4E9E"/>
        </w:rPr>
        <w:t xml:space="preserve"> between two coherences tends to 0: the cap squeezes the coherence effect shut as duration increases. The limit is exact. At finite </w:t>
      </w:r>
      <m:oMath>
        <m:r>
          <w:rPr>
            <w:rFonts w:ascii="Cambria Math" w:hAnsi="Cambria Math"/>
            <w:color w:val="1F4E9E"/>
          </w:rPr>
          <m:t>D</m:t>
        </m:r>
      </m:oMath>
      <w:r>
        <w:rPr>
          <w:color w:val="1F4E9E"/>
        </w:rPr>
        <w:t xml:space="preserve"> the ordering does NOT follow from the monotonicity of </w:t>
      </w:r>
      <m:oMath>
        <m:r>
          <w:rPr>
            <w:rFonts w:ascii="Cambria Math" w:hAnsi="Cambria Math"/>
            <w:color w:val="1F4E9E"/>
          </w:rPr>
          <m:t>F</m:t>
        </m:r>
      </m:oMath>
      <w:r>
        <w:rPr>
          <w:color w:val="1F4E9E"/>
        </w:rPr>
        <w:t xml:space="preserve"> alone — </w:t>
      </w:r>
      <m:oMath>
        <m:r>
          <w:rPr>
            <w:rFonts w:ascii="Cambria Math" w:hAnsi="Cambria Math"/>
            <w:color w:val="1F4E9E"/>
          </w:rPr>
          <m:t>F</m:t>
        </m:r>
      </m:oMath>
      <w:r>
        <w:rPr>
          <w:color w:val="1F4E9E"/>
        </w:rPr>
        <w:t xml:space="preserve"> increasing in </w:t>
      </w:r>
      <m:oMath>
        <m:r>
          <w:rPr>
            <w:rFonts w:ascii="Cambria Math" w:hAnsi="Cambria Math"/>
            <w:color w:val="1F4E9E"/>
          </w:rPr>
          <m:t>D</m:t>
        </m:r>
      </m:oMath>
      <w:r>
        <w:rPr>
          <w:color w:val="1F4E9E"/>
        </w:rPr>
        <w:t xml:space="preserve"> orders the capped term </w:t>
      </w:r>
      <w:r>
        <w:rPr>
          <w:color w:val="1F4E9E"/>
        </w:rPr>
        <w:lastRenderedPageBreak/>
        <w:t xml:space="preserve">but not the difference between coherences, since below the cap </w:t>
      </w:r>
      <m:oMath>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y</m:t>
            </m:r>
            <m:d>
              <m:dPr>
                <m:ctrlPr>
                  <w:rPr>
                    <w:rFonts w:ascii="Cambria Math" w:hAnsi="Cambria Math"/>
                  </w:rPr>
                </m:ctrlPr>
              </m:dPr>
              <m:e>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e>
        </m:d>
      </m:oMath>
      <w:r>
        <w:rPr>
          <w:color w:val="1F4E9E"/>
        </w:rPr>
        <w:t xml:space="preserve"> has a coherence derivative that by (27) grows about as </w:t>
      </w:r>
      <m:oMath>
        <m:r>
          <w:rPr>
            <w:rFonts w:ascii="Cambria Math" w:hAnsi="Cambria Math"/>
            <w:color w:val="1F4E9E"/>
          </w:rPr>
          <m:t>k</m:t>
        </m:r>
        <m:d>
          <m:dPr>
            <m:ctrlPr>
              <w:rPr>
                <w:rFonts w:ascii="Cambria Math" w:hAnsi="Cambria Math"/>
              </w:rPr>
            </m:ctrlPr>
          </m:dPr>
          <m:e>
            <m:r>
              <w:rPr>
                <w:rFonts w:ascii="Cambria Math" w:hAnsi="Cambria Math"/>
                <w:color w:val="1F4E9E"/>
              </w:rPr>
              <m:t>t</m:t>
            </m:r>
            <m:r>
              <m:rPr>
                <m:nor/>
              </m:rPr>
              <w:rPr>
                <w:rFonts w:ascii="Cambria Math" w:hAnsi="Cambria Math"/>
                <w:color w:val="1F4E9E"/>
              </w:rPr>
              <m:t>-1/</m:t>
            </m:r>
            <m:r>
              <w:rPr>
                <w:rFonts w:ascii="Cambria Math" w:hAnsi="Cambria Math"/>
                <w:color w:val="1F4E9E"/>
              </w:rPr>
              <m:t>λ</m:t>
            </m:r>
          </m:e>
        </m:d>
      </m:oMath>
      <w:r>
        <w:rPr>
          <w:color w:val="1F4E9E"/>
        </w:rPr>
        <w:t xml:space="preserve"> and therefore itself grows with </w:t>
      </w:r>
      <m:oMath>
        <m:r>
          <w:rPr>
            <w:rFonts w:ascii="Cambria Math" w:hAnsi="Cambria Math"/>
            <w:color w:val="1F4E9E"/>
          </w:rPr>
          <m:t>D</m:t>
        </m:r>
      </m:oMath>
      <w:r>
        <w:rPr>
          <w:color w:val="1F4E9E"/>
        </w:rPr>
        <w:t>. The prediction carries the same condition as C.3, that the lowest-coherence long-duration cell be near the cap, and it fails in the same corner of the space: over the admissible draws the interaction has the predicted sign at 91% and 89% of settings and the opposite sign at 2% and 3%. Note that by Remark A.0 this interaction is identical in the two models. ∎</w:t>
      </w:r>
    </w:p>
    <w:p w14:paraId="0ED2DAEC" w14:textId="77777777" w:rsidR="00205CBC" w:rsidRDefault="00000000">
      <w:r>
        <w:rPr>
          <w:color w:val="1F4E9E"/>
        </w:rPr>
        <w:t xml:space="preserve">Proposition A.5 (responses before the response signal). The proportion of trials on which a response occurs before the response signal is nondecreasing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xml:space="preserve">. Proof. Such a response requires the motor-preparatory signal to reach </w:t>
      </w:r>
      <m:oMath>
        <m:r>
          <w:rPr>
            <w:rFonts w:ascii="Cambria Math" w:hAnsi="Cambria Math"/>
            <w:color w:val="1F4E9E"/>
          </w:rPr>
          <m:t>g</m:t>
        </m:r>
        <m:r>
          <m:rPr>
            <m:nor/>
          </m:rPr>
          <w:rPr>
            <w:rFonts w:ascii="Cambria Math" w:hAnsi="Cambria Math"/>
            <w:color w:val="1F4E9E"/>
          </w:rPr>
          <m:t>+</m:t>
        </m:r>
        <m:r>
          <w:rPr>
            <w:rFonts w:ascii="Cambria Math" w:hAnsi="Cambria Math"/>
            <w:color w:val="1F4E9E"/>
          </w:rPr>
          <m:t>r</m:t>
        </m:r>
      </m:oMath>
      <w:r>
        <w:rPr>
          <w:color w:val="1F4E9E"/>
        </w:rPr>
        <w:t xml:space="preserve"> during the delay. By A.3 the maintained level </w:t>
      </w:r>
      <m:oMath>
        <m:d>
          <m:dPr>
            <m:begChr m:val="|"/>
            <m:endChr m:val="|"/>
            <m:ctrlPr>
              <w:rPr>
                <w:rFonts w:ascii="Cambria Math" w:hAnsi="Cambria Math"/>
              </w:rPr>
            </m:ctrlPr>
          </m:dPr>
          <m:e>
            <m:r>
              <w:rPr>
                <w:rFonts w:ascii="Cambria Math" w:hAnsi="Cambria Math"/>
                <w:color w:val="1F4E9E"/>
              </w:rPr>
              <m:t>m</m:t>
            </m:r>
          </m:e>
        </m:d>
      </m:oMath>
      <w:r>
        <w:rPr>
          <w:color w:val="1F4E9E"/>
        </w:rPr>
        <w:t xml:space="preserve"> is stochastically nondecreasing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xml:space="preserve">, so the distance </w:t>
      </w:r>
      <m:oMath>
        <m:r>
          <w:rPr>
            <w:rFonts w:ascii="Cambria Math" w:hAnsi="Cambria Math"/>
            <w:color w:val="1F4E9E"/>
          </w:rPr>
          <m:t>d</m:t>
        </m:r>
      </m:oMath>
      <w:r>
        <w:rPr>
          <w:color w:val="1F4E9E"/>
        </w:rPr>
        <w:t xml:space="preserve"> from it to </w:t>
      </w:r>
      <m:oMath>
        <m:r>
          <w:rPr>
            <w:rFonts w:ascii="Cambria Math" w:hAnsi="Cambria Math"/>
            <w:color w:val="1F4E9E"/>
          </w:rPr>
          <m:t>g</m:t>
        </m:r>
        <m:r>
          <m:rPr>
            <m:nor/>
          </m:rPr>
          <w:rPr>
            <w:rFonts w:ascii="Cambria Math" w:hAnsi="Cambria Math"/>
            <w:color w:val="1F4E9E"/>
          </w:rPr>
          <m:t>+</m:t>
        </m:r>
        <m:r>
          <w:rPr>
            <w:rFonts w:ascii="Cambria Math" w:hAnsi="Cambria Math"/>
            <w:color w:val="1F4E9E"/>
          </w:rPr>
          <m:t>r</m:t>
        </m:r>
      </m:oMath>
      <w:r>
        <w:rPr>
          <w:color w:val="1F4E9E"/>
        </w:rPr>
        <w:t xml:space="preserve"> is stochastically nonincreasing. It remains that the rate (21) is decreasing in </w:t>
      </w:r>
      <m:oMath>
        <m:r>
          <w:rPr>
            <w:rFonts w:ascii="Cambria Math" w:hAnsi="Cambria Math"/>
            <w:color w:val="1F4E9E"/>
          </w:rPr>
          <m:t>d</m:t>
        </m:r>
      </m:oMath>
      <w:r>
        <w:rPr>
          <w:color w:val="1F4E9E"/>
        </w:rPr>
        <w:t xml:space="preserve">. Its prefactor is, but its bracket is not, since the covariance </w:t>
      </w:r>
      <m:oMath>
        <m:r>
          <w:rPr>
            <w:rFonts w:ascii="Cambria Math" w:hAnsi="Cambria Math"/>
            <w:color w:val="1F4E9E"/>
          </w:rPr>
          <m:t>w</m:t>
        </m:r>
      </m:oMath>
      <w:r>
        <w:rPr>
          <w:color w:val="1F4E9E"/>
        </w:rPr>
        <w:t xml:space="preserve"> of (15) is non-negative and so raises the conditional mean </w:t>
      </w:r>
      <m:oMath>
        <m:r>
          <w:rPr>
            <w:rFonts w:ascii="Cambria Math" w:hAnsi="Cambria Math"/>
            <w:color w:val="1F4E9E"/>
          </w:rPr>
          <m:t>M</m:t>
        </m:r>
        <m:r>
          <m:rPr>
            <m:nor/>
          </m:rPr>
          <w:rPr>
            <w:rFonts w:ascii="Cambria Math" w:hAnsi="Cambria Math"/>
            <w:color w:val="1F4E9E"/>
          </w:rPr>
          <m:t>=</m:t>
        </m:r>
        <m:r>
          <w:rPr>
            <w:rFonts w:ascii="Cambria Math" w:hAnsi="Cambria Math"/>
            <w:color w:val="1F4E9E"/>
          </w:rPr>
          <m:t>α</m:t>
        </m:r>
        <m:r>
          <m:rPr>
            <m:nor/>
          </m:rPr>
          <w:rPr>
            <w:rFonts w:ascii="Cambria Math" w:hAnsi="Cambria Math"/>
            <w:color w:val="1F4E9E"/>
          </w:rPr>
          <m:t>+</m:t>
        </m:r>
        <m:d>
          <m:dPr>
            <m:ctrlPr>
              <w:rPr>
                <w:rFonts w:ascii="Cambria Math" w:hAnsi="Cambria Math"/>
              </w:rPr>
            </m:ctrlPr>
          </m:dPr>
          <m:e>
            <m:r>
              <w:rPr>
                <w:rFonts w:ascii="Cambria Math" w:hAnsi="Cambria Math"/>
                <w:color w:val="1F4E9E"/>
              </w:rPr>
              <m:t>w</m:t>
            </m:r>
            <m:r>
              <m:rPr>
                <m:nor/>
              </m:rPr>
              <w:rPr>
                <w:rFonts w:ascii="Cambria Math" w:hAnsi="Cambria Math"/>
                <w:color w:val="1F4E9E"/>
              </w:rPr>
              <m:t>/</m:t>
            </m:r>
            <m:r>
              <w:rPr>
                <w:rFonts w:ascii="Cambria Math" w:hAnsi="Cambria Math"/>
                <w:color w:val="1F4E9E"/>
              </w:rPr>
              <m:t>s</m:t>
            </m:r>
          </m:e>
        </m:d>
        <m:r>
          <w:rPr>
            <w:rFonts w:ascii="Cambria Math" w:hAnsi="Cambria Math"/>
            <w:color w:val="1F4E9E"/>
          </w:rPr>
          <m:t>d</m:t>
        </m:r>
      </m:oMath>
      <w:r>
        <w:rPr>
          <w:color w:val="1F4E9E"/>
        </w:rPr>
        <w:t xml:space="preserve"> with </w:t>
      </w:r>
      <m:oMath>
        <m:r>
          <w:rPr>
            <w:rFonts w:ascii="Cambria Math" w:hAnsi="Cambria Math"/>
            <w:color w:val="1F4E9E"/>
          </w:rPr>
          <m:t>d</m:t>
        </m:r>
      </m:oMath>
      <w:r>
        <w:rPr>
          <w:color w:val="1F4E9E"/>
        </w:rPr>
        <w:t xml:space="preserve">. Writing </w:t>
      </w:r>
      <m:oMath>
        <m:r>
          <w:rPr>
            <w:rFonts w:ascii="Cambria Math" w:hAnsi="Cambria Math"/>
            <w:color w:val="1F4E9E"/>
          </w:rPr>
          <m:t>ψ</m:t>
        </m:r>
        <m:d>
          <m:dPr>
            <m:ctrlPr>
              <w:rPr>
                <w:rFonts w:ascii="Cambria Math" w:hAnsi="Cambria Math"/>
              </w:rPr>
            </m:ctrlPr>
          </m:dPr>
          <m:e>
            <m:r>
              <w:rPr>
                <w:rFonts w:ascii="Cambria Math" w:hAnsi="Cambria Math"/>
                <w:color w:val="1F4E9E"/>
              </w:rPr>
              <m:t>M</m:t>
            </m:r>
          </m:e>
        </m:d>
      </m:oMath>
      <w:r>
        <w:rPr>
          <w:color w:val="1F4E9E"/>
        </w:rPr>
        <w:t xml:space="preserve"> for the bracket, </w:t>
      </w:r>
      <m:oMath>
        <m:r>
          <w:rPr>
            <w:rFonts w:ascii="Cambria Math" w:hAnsi="Cambria Math"/>
            <w:color w:val="1F4E9E"/>
          </w:rPr>
          <m:t>ψ</m:t>
        </m:r>
        <m:r>
          <m:rPr>
            <m:nor/>
          </m:rPr>
          <w:rPr>
            <w:rFonts w:ascii="Cambria Math" w:hAnsi="Cambria Math"/>
            <w:color w:val="1F4E9E"/>
          </w:rPr>
          <m:t>≥</m:t>
        </m:r>
        <m:r>
          <w:rPr>
            <w:rFonts w:ascii="Cambria Math" w:hAnsi="Cambria Math"/>
            <w:color w:val="1F4E9E"/>
          </w:rPr>
          <m:t>MΦ</m:t>
        </m:r>
        <m:d>
          <m:dPr>
            <m:ctrlPr>
              <w:rPr>
                <w:rFonts w:ascii="Cambria Math" w:hAnsi="Cambria Math"/>
              </w:rPr>
            </m:ctrlPr>
          </m:dPr>
          <m:e>
            <m:r>
              <w:rPr>
                <w:rFonts w:ascii="Cambria Math" w:hAnsi="Cambria Math"/>
                <w:color w:val="1F4E9E"/>
              </w:rPr>
              <m:t>M</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e>
        </m:d>
      </m:oMath>
      <w:r>
        <w:rPr>
          <w:color w:val="1F4E9E"/>
        </w:rPr>
        <w:t xml:space="preserve"> gives </w:t>
      </w:r>
      <m:oMath>
        <m:r>
          <w:rPr>
            <w:rFonts w:ascii="Cambria Math" w:hAnsi="Cambria Math"/>
            <w:color w:val="1F4E9E"/>
          </w:rPr>
          <m:t>Φ</m:t>
        </m:r>
        <m:r>
          <m:rPr>
            <m:nor/>
          </m:rPr>
          <w:rPr>
            <w:rFonts w:ascii="Cambria Math" w:hAnsi="Cambria Math"/>
            <w:color w:val="1F4E9E"/>
          </w:rPr>
          <m:t>/</m:t>
        </m:r>
        <m:r>
          <w:rPr>
            <w:rFonts w:ascii="Cambria Math" w:hAnsi="Cambria Math"/>
            <w:color w:val="1F4E9E"/>
          </w:rPr>
          <m:t>ψ</m:t>
        </m:r>
        <m:r>
          <m:rPr>
            <m:nor/>
          </m:rPr>
          <w:rPr>
            <w:rFonts w:ascii="Cambria Math" w:hAnsi="Cambria Math"/>
            <w:color w:val="1F4E9E"/>
          </w:rPr>
          <m:t>≤1/</m:t>
        </m:r>
        <m:r>
          <w:rPr>
            <w:rFonts w:ascii="Cambria Math" w:hAnsi="Cambria Math"/>
            <w:color w:val="1F4E9E"/>
          </w:rPr>
          <m:t>M</m:t>
        </m:r>
        <m:r>
          <m:rPr>
            <m:nor/>
          </m:rPr>
          <w:rPr>
            <w:rFonts w:ascii="Cambria Math" w:hAnsi="Cambria Math"/>
            <w:color w:val="1F4E9E"/>
          </w:rPr>
          <m:t>≤</m:t>
        </m:r>
        <m:r>
          <w:rPr>
            <w:rFonts w:ascii="Cambria Math" w:hAnsi="Cambria Math"/>
            <w:color w:val="1F4E9E"/>
          </w:rPr>
          <m:t>s</m:t>
        </m:r>
        <m:r>
          <m:rPr>
            <m:nor/>
          </m:rPr>
          <w:rPr>
            <w:rFonts w:ascii="Cambria Math" w:hAnsi="Cambria Math"/>
            <w:color w:val="1F4E9E"/>
          </w:rPr>
          <m:t>/</m:t>
        </m:r>
        <m:d>
          <m:dPr>
            <m:ctrlPr>
              <w:rPr>
                <w:rFonts w:ascii="Cambria Math" w:hAnsi="Cambria Math"/>
              </w:rPr>
            </m:ctrlPr>
          </m:dPr>
          <m:e>
            <m:r>
              <w:rPr>
                <w:rFonts w:ascii="Cambria Math" w:hAnsi="Cambria Math"/>
                <w:color w:val="1F4E9E"/>
              </w:rPr>
              <m:t>wd</m:t>
            </m:r>
          </m:e>
        </m:d>
      </m:oMath>
      <w:r>
        <w:rPr>
          <w:color w:val="1F4E9E"/>
        </w:rPr>
        <w:t>, whence</w:t>
      </w:r>
    </w:p>
    <w:p w14:paraId="4A253FC3" w14:textId="77777777" w:rsidR="00205CBC" w:rsidRDefault="00000000">
      <m:oMathPara>
        <m:oMath>
          <m:eqArr>
            <m:eqArrPr>
              <m:maxDist m:val="1"/>
              <m:ctrlPr>
                <w:rPr>
                  <w:rFonts w:ascii="Cambria Math" w:hAnsi="Cambria Math"/>
                </w:rPr>
              </m:ctrlPr>
            </m:eqArrPr>
            <m:e>
              <m:f>
                <m:fPr>
                  <m:ctrlPr>
                    <w:rPr>
                      <w:rFonts w:ascii="Cambria Math" w:hAnsi="Cambria Math"/>
                    </w:rPr>
                  </m:ctrlPr>
                </m:fPr>
                <m:num>
                  <m:r>
                    <m:rPr>
                      <m:nor/>
                    </m:rPr>
                    <w:rPr>
                      <w:rFonts w:ascii="Cambria Math" w:hAnsi="Cambria Math"/>
                      <w:color w:val="1F4E9E"/>
                    </w:rPr>
                    <m:t>d</m:t>
                  </m:r>
                  <m:d>
                    <m:dPr>
                      <m:ctrlPr>
                        <w:rPr>
                          <w:rFonts w:ascii="Cambria Math" w:hAnsi="Cambria Math"/>
                        </w:rPr>
                      </m:ctrlPr>
                    </m:dPr>
                    <m:e>
                      <m:r>
                        <m:rPr>
                          <m:nor/>
                        </m:rPr>
                        <w:rPr>
                          <w:rFonts w:ascii="Cambria Math" w:hAnsi="Cambria Math"/>
                          <w:color w:val="1F4E9E"/>
                        </w:rPr>
                        <m:t>ln</m:t>
                      </m:r>
                      <m:r>
                        <w:rPr>
                          <w:rFonts w:ascii="Cambria Math" w:hAnsi="Cambria Math"/>
                          <w:color w:val="1F4E9E"/>
                        </w:rPr>
                        <m:t>ν</m:t>
                      </m:r>
                    </m:e>
                  </m:d>
                </m:num>
                <m:den>
                  <m:r>
                    <m:rPr>
                      <m:nor/>
                    </m:rPr>
                    <w:rPr>
                      <w:rFonts w:ascii="Cambria Math" w:hAnsi="Cambria Math"/>
                      <w:color w:val="1F4E9E"/>
                    </w:rPr>
                    <m:t>d</m:t>
                  </m:r>
                  <m:r>
                    <w:rPr>
                      <w:rFonts w:ascii="Cambria Math" w:hAnsi="Cambria Math"/>
                      <w:color w:val="1F4E9E"/>
                    </w:rPr>
                    <m:t>d</m:t>
                  </m:r>
                </m:den>
              </m:f>
              <m:r>
                <m:rPr>
                  <m:nor/>
                </m:rPr>
                <w:rPr>
                  <w:rFonts w:ascii="Cambria Math" w:hAnsi="Cambria Math"/>
                  <w:color w:val="1F4E9E"/>
                </w:rPr>
                <m:t>=-</m:t>
              </m:r>
              <m:f>
                <m:fPr>
                  <m:ctrlPr>
                    <w:rPr>
                      <w:rFonts w:ascii="Cambria Math" w:hAnsi="Cambria Math"/>
                    </w:rPr>
                  </m:ctrlPr>
                </m:fPr>
                <m:num>
                  <m:r>
                    <w:rPr>
                      <w:rFonts w:ascii="Cambria Math" w:hAnsi="Cambria Math"/>
                      <w:color w:val="1F4E9E"/>
                    </w:rPr>
                    <m:t>d</m:t>
                  </m:r>
                </m:num>
                <m:den>
                  <m:r>
                    <w:rPr>
                      <w:rFonts w:ascii="Cambria Math" w:hAnsi="Cambria Math"/>
                      <w:color w:val="1F4E9E"/>
                    </w:rPr>
                    <m:t>s</m:t>
                  </m:r>
                </m:den>
              </m:f>
              <m:r>
                <m:rPr>
                  <m:nor/>
                </m:rPr>
                <w:rPr>
                  <w:rFonts w:ascii="Cambria Math" w:hAnsi="Cambria Math"/>
                  <w:color w:val="1F4E9E"/>
                </w:rPr>
                <m:t>+</m:t>
              </m:r>
              <m:f>
                <m:fPr>
                  <m:ctrlPr>
                    <w:rPr>
                      <w:rFonts w:ascii="Cambria Math" w:hAnsi="Cambria Math"/>
                    </w:rPr>
                  </m:ctrlPr>
                </m:fPr>
                <m:num>
                  <m:r>
                    <w:rPr>
                      <w:rFonts w:ascii="Cambria Math" w:hAnsi="Cambria Math"/>
                      <w:color w:val="1F4E9E"/>
                    </w:rPr>
                    <m:t>w</m:t>
                  </m:r>
                </m:num>
                <m:den>
                  <m:r>
                    <w:rPr>
                      <w:rFonts w:ascii="Cambria Math" w:hAnsi="Cambria Math"/>
                      <w:color w:val="1F4E9E"/>
                    </w:rPr>
                    <m:t>s</m:t>
                  </m:r>
                </m:den>
              </m:f>
              <m:f>
                <m:fPr>
                  <m:ctrlPr>
                    <w:rPr>
                      <w:rFonts w:ascii="Cambria Math" w:hAnsi="Cambria Math"/>
                    </w:rPr>
                  </m:ctrlPr>
                </m:fPr>
                <m:num>
                  <m:r>
                    <w:rPr>
                      <w:rFonts w:ascii="Cambria Math" w:hAnsi="Cambria Math"/>
                      <w:color w:val="1F4E9E"/>
                    </w:rPr>
                    <m:t>Φ</m:t>
                  </m:r>
                  <m:d>
                    <m:dPr>
                      <m:ctrlPr>
                        <w:rPr>
                          <w:rFonts w:ascii="Cambria Math" w:hAnsi="Cambria Math"/>
                        </w:rPr>
                      </m:ctrlPr>
                    </m:dPr>
                    <m:e>
                      <m:r>
                        <w:rPr>
                          <w:rFonts w:ascii="Cambria Math" w:hAnsi="Cambria Math"/>
                          <w:color w:val="1F4E9E"/>
                        </w:rPr>
                        <m:t>M</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e>
                  </m:d>
                </m:num>
                <m:den>
                  <m:r>
                    <w:rPr>
                      <w:rFonts w:ascii="Cambria Math" w:hAnsi="Cambria Math"/>
                      <w:color w:val="1F4E9E"/>
                    </w:rPr>
                    <m:t>ψ</m:t>
                  </m:r>
                  <m:d>
                    <m:dPr>
                      <m:ctrlPr>
                        <w:rPr>
                          <w:rFonts w:ascii="Cambria Math" w:hAnsi="Cambria Math"/>
                        </w:rPr>
                      </m:ctrlPr>
                    </m:dPr>
                    <m:e>
                      <m:r>
                        <w:rPr>
                          <w:rFonts w:ascii="Cambria Math" w:hAnsi="Cambria Math"/>
                          <w:color w:val="1F4E9E"/>
                        </w:rPr>
                        <m:t>M</m:t>
                      </m:r>
                    </m:e>
                  </m:d>
                </m:den>
              </m:f>
              <m:r>
                <m:rPr>
                  <m:nor/>
                </m:rPr>
                <w:rPr>
                  <w:rFonts w:ascii="Cambria Math" w:hAnsi="Cambria Math"/>
                  <w:color w:val="1F4E9E"/>
                </w:rPr>
                <m:t>≤-</m:t>
              </m:r>
              <m:f>
                <m:fPr>
                  <m:ctrlPr>
                    <w:rPr>
                      <w:rFonts w:ascii="Cambria Math" w:hAnsi="Cambria Math"/>
                    </w:rPr>
                  </m:ctrlPr>
                </m:fPr>
                <m:num>
                  <m:r>
                    <w:rPr>
                      <w:rFonts w:ascii="Cambria Math" w:hAnsi="Cambria Math"/>
                      <w:color w:val="1F4E9E"/>
                    </w:rPr>
                    <m:t>d</m:t>
                  </m:r>
                </m:num>
                <m:den>
                  <m:r>
                    <w:rPr>
                      <w:rFonts w:ascii="Cambria Math" w:hAnsi="Cambria Math"/>
                      <w:color w:val="1F4E9E"/>
                    </w:rPr>
                    <m:t>s</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num>
                <m:den>
                  <m:r>
                    <w:rPr>
                      <w:rFonts w:ascii="Cambria Math" w:hAnsi="Cambria Math"/>
                      <w:color w:val="1F4E9E"/>
                    </w:rPr>
                    <m:t>d</m:t>
                  </m:r>
                </m:den>
              </m:f>
              <m:r>
                <w:rPr>
                  <w:rFonts w:ascii="Cambria Math" w:hAnsi="Cambria Math"/>
                  <w:color w:val="1F4E9E"/>
                </w:rPr>
                <m:t>#</m:t>
              </m:r>
              <m:d>
                <m:dPr>
                  <m:ctrlPr>
                    <w:rPr>
                      <w:rFonts w:ascii="Cambria Math" w:hAnsi="Cambria Math"/>
                    </w:rPr>
                  </m:ctrlPr>
                </m:dPr>
                <m:e>
                  <m:r>
                    <m:rPr>
                      <m:nor/>
                    </m:rPr>
                    <w:rPr>
                      <w:rFonts w:ascii="Cambria Math" w:hAnsi="Cambria Math"/>
                      <w:color w:val="1F4E9E"/>
                    </w:rPr>
                    <m:t>28</m:t>
                  </m:r>
                </m:e>
              </m:d>
            </m:e>
          </m:eqArr>
        </m:oMath>
      </m:oMathPara>
    </w:p>
    <w:p w14:paraId="120C063E" w14:textId="77777777" w:rsidR="00205CBC" w:rsidRDefault="00000000">
      <w:r>
        <w:rPr>
          <w:color w:val="1F4E9E"/>
        </w:rPr>
        <w:t xml:space="preserve">which is negative whenever the standardized distance </w:t>
      </w:r>
      <m:oMath>
        <m:r>
          <w:rPr>
            <w:rFonts w:ascii="Cambria Math" w:hAnsi="Cambria Math"/>
            <w:color w:val="1F4E9E"/>
          </w:rPr>
          <m:t>d</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oMath>
      <w:r>
        <w:rPr>
          <w:color w:val="1F4E9E"/>
        </w:rPr>
        <w:t xml:space="preserve"> exceeds one. At the response criterion it exceeds it by a wide margin — premature responses are under 1.5% of trials in the data and are held below 10% by the admissibility screen — so the rate is decreasing in </w:t>
      </w:r>
      <m:oMath>
        <m:r>
          <w:rPr>
            <w:rFonts w:ascii="Cambria Math" w:hAnsi="Cambria Math"/>
            <w:color w:val="1F4E9E"/>
          </w:rPr>
          <m:t>d</m:t>
        </m:r>
      </m:oMath>
      <w:r>
        <w:rPr>
          <w:color w:val="1F4E9E"/>
        </w:rPr>
        <w:t xml:space="preserve"> there, and the proportion of premature responses is nondecreasing in </w:t>
      </w:r>
      <m:oMath>
        <m:r>
          <w:rPr>
            <w:rFonts w:ascii="Cambria Math" w:hAnsi="Cambria Math"/>
            <w:color w:val="1F4E9E"/>
          </w:rPr>
          <m:t>c</m:t>
        </m:r>
      </m:oMath>
      <w:r>
        <w:rPr>
          <w:color w:val="1F4E9E"/>
        </w:rPr>
        <w:t xml:space="preserve"> and in </w:t>
      </w:r>
      <m:oMath>
        <m:r>
          <w:rPr>
            <w:rFonts w:ascii="Cambria Math" w:hAnsi="Cambria Math"/>
            <w:color w:val="1F4E9E"/>
          </w:rPr>
          <m:t>D</m:t>
        </m:r>
      </m:oMath>
      <w:r>
        <w:rPr>
          <w:color w:val="1F4E9E"/>
        </w:rPr>
        <w:t>. ∎</w:t>
      </w:r>
    </w:p>
    <w:p w14:paraId="7258294D" w14:textId="77777777" w:rsidR="00205CBC" w:rsidRDefault="00000000">
      <w:pPr>
        <w:pStyle w:val="Titre1"/>
      </w:pPr>
      <w:r>
        <w:rPr>
          <w:b w:val="0"/>
          <w:color w:val="1F4E9E"/>
        </w:rPr>
        <w:t>Appendix B. Stimulus-locked predictions</w:t>
      </w:r>
    </w:p>
    <w:p w14:paraId="3B355254" w14:textId="77777777" w:rsidR="00205CBC" w:rsidRDefault="00000000">
      <w:r>
        <w:rPr>
          <w:color w:val="1F4E9E"/>
        </w:rPr>
        <w:t xml:space="preserve">Proposition B.1 (coherence; common to both models). Over the stimulus period the rate of partial muscle activations rises with time, and rises both faster and to a higher level at higher coherence. Proof. A partial activation before commitment is an upcrossing of </w:t>
      </w:r>
      <m:oMath>
        <m:r>
          <m:rPr>
            <m:nor/>
          </m:rPr>
          <w:rPr>
            <w:rFonts w:ascii="Cambria Math" w:hAnsi="Cambria Math"/>
            <w:color w:val="1F4E9E"/>
          </w:rPr>
          <m:t>±</m:t>
        </m:r>
        <m:r>
          <w:rPr>
            <w:rFonts w:ascii="Cambria Math" w:hAnsi="Cambria Math"/>
            <w:color w:val="1F4E9E"/>
          </w:rPr>
          <m:t>g</m:t>
        </m:r>
      </m:oMath>
      <w:r>
        <w:rPr>
          <w:color w:val="1F4E9E"/>
        </w:rPr>
        <w:t xml:space="preserve"> by the </w:t>
      </w:r>
      <w:r>
        <w:rPr>
          <w:color w:val="1F4E9E"/>
        </w:rPr>
        <w:lastRenderedPageBreak/>
        <w:t xml:space="preserve">motor-preparatory signal </w:t>
      </w:r>
      <m:oMath>
        <m:r>
          <w:rPr>
            <w:rFonts w:ascii="Cambria Math" w:hAnsi="Cambria Math"/>
            <w:color w:val="1F4E9E"/>
          </w:rPr>
          <m:t>y</m:t>
        </m:r>
      </m:oMath>
      <w:r>
        <w:rPr>
          <w:color w:val="1F4E9E"/>
        </w:rPr>
        <w:t xml:space="preserve">. The derivation of Appendix C applies to this window with the mean-reversion rate set to zero and the mean of the process no longer zero: by A.1, </w:t>
      </w:r>
      <m:oMath>
        <m:r>
          <w:rPr>
            <w:rFonts w:ascii="Cambria Math" w:hAnsi="Cambria Math"/>
            <w:color w:val="1F4E9E"/>
          </w:rPr>
          <m:t>y</m:t>
        </m:r>
      </m:oMath>
      <w:r>
        <w:rPr>
          <w:color w:val="1F4E9E"/>
        </w:rPr>
        <w:t xml:space="preserve"> is Gaussian with the mean and variance of (27), and Equation (21) gives the rate with </w:t>
      </w:r>
      <m:oMath>
        <m:r>
          <w:rPr>
            <w:rFonts w:ascii="Cambria Math" w:hAnsi="Cambria Math"/>
            <w:color w:val="1F4E9E"/>
          </w:rPr>
          <m:t>d</m:t>
        </m:r>
      </m:oMath>
      <w:r>
        <w:rPr>
          <w:color w:val="1F4E9E"/>
        </w:rPr>
        <w:t xml:space="preserve"> replaced by </w:t>
      </w:r>
      <m:oMath>
        <m:r>
          <w:rPr>
            <w:rFonts w:ascii="Cambria Math" w:hAnsi="Cambria Math"/>
            <w:color w:val="1F4E9E"/>
          </w:rPr>
          <m:t>g</m:t>
        </m:r>
        <m:r>
          <m:rPr>
            <m:nor/>
          </m:rPr>
          <w:rPr>
            <w:rFonts w:ascii="Cambria Math" w:hAnsi="Cambria Math"/>
            <w:color w:val="1F4E9E"/>
          </w:rPr>
          <m:t>-E </m:t>
        </m:r>
        <m:r>
          <w:rPr>
            <w:rFonts w:ascii="Cambria Math" w:hAnsi="Cambria Math"/>
            <w:color w:val="1F4E9E"/>
          </w:rPr>
          <m:t>y</m:t>
        </m:r>
        <m:d>
          <m:dPr>
            <m:ctrlPr>
              <w:rPr>
                <w:rFonts w:ascii="Cambria Math" w:hAnsi="Cambria Math"/>
              </w:rPr>
            </m:ctrlPr>
          </m:dPr>
          <m:e>
            <m:r>
              <w:rPr>
                <w:rFonts w:ascii="Cambria Math" w:hAnsi="Cambria Math"/>
                <w:color w:val="1F4E9E"/>
              </w:rPr>
              <m:t>t</m:t>
            </m:r>
          </m:e>
        </m:d>
      </m:oMath>
      <w:r>
        <w:rPr>
          <w:color w:val="1F4E9E"/>
        </w:rPr>
        <w:t xml:space="preserve"> and </w:t>
      </w:r>
      <m:oMath>
        <m:r>
          <w:rPr>
            <w:rFonts w:ascii="Cambria Math" w:hAnsi="Cambria Math"/>
            <w:color w:val="1F4E9E"/>
          </w:rPr>
          <m:t>M</m:t>
        </m:r>
      </m:oMath>
      <w:r>
        <w:rPr>
          <w:color w:val="1F4E9E"/>
        </w:rPr>
        <w:t xml:space="preserve"> by </w:t>
      </w:r>
      <m:oMath>
        <m:f>
          <m:fPr>
            <m:ctrlPr>
              <w:rPr>
                <w:rFonts w:ascii="Cambria Math" w:hAnsi="Cambria Math"/>
              </w:rPr>
            </m:ctrlPr>
          </m:fPr>
          <m:num>
            <m:r>
              <m:rPr>
                <m:nor/>
              </m:rPr>
              <w:rPr>
                <w:rFonts w:ascii="Cambria Math" w:hAnsi="Cambria Math"/>
                <w:color w:val="1F4E9E"/>
              </w:rPr>
              <m:t>d</m:t>
            </m:r>
          </m:num>
          <m:den>
            <m:r>
              <m:rPr>
                <m:nor/>
              </m:rPr>
              <w:rPr>
                <w:rFonts w:ascii="Cambria Math" w:hAnsi="Cambria Math"/>
                <w:color w:val="1F4E9E"/>
              </w:rPr>
              <m:t>d</m:t>
            </m:r>
            <m:r>
              <w:rPr>
                <w:rFonts w:ascii="Cambria Math" w:hAnsi="Cambria Math"/>
                <w:color w:val="1F4E9E"/>
              </w:rPr>
              <m:t>t</m:t>
            </m:r>
          </m:den>
        </m:f>
        <m:r>
          <m:rPr>
            <m:nor/>
          </m:rPr>
          <w:rPr>
            <w:rFonts w:ascii="Cambria Math" w:hAnsi="Cambria Math"/>
            <w:color w:val="1F4E9E"/>
          </w:rPr>
          <m:t>E </m:t>
        </m:r>
        <m:r>
          <w:rPr>
            <w:rFonts w:ascii="Cambria Math" w:hAnsi="Cambria Math"/>
            <w:color w:val="1F4E9E"/>
          </w:rPr>
          <m:t>y</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d>
          <m:dPr>
            <m:ctrlPr>
              <w:rPr>
                <w:rFonts w:ascii="Cambria Math" w:hAnsi="Cambria Math"/>
              </w:rPr>
            </m:ctrlPr>
          </m:dPr>
          <m:e>
            <m:r>
              <w:rPr>
                <w:rFonts w:ascii="Cambria Math" w:hAnsi="Cambria Math"/>
                <w:color w:val="1F4E9E"/>
              </w:rPr>
              <m:t>w</m:t>
            </m:r>
            <m:r>
              <m:rPr>
                <m:nor/>
              </m:rPr>
              <w:rPr>
                <w:rFonts w:ascii="Cambria Math" w:hAnsi="Cambria Math"/>
                <w:color w:val="1F4E9E"/>
              </w:rPr>
              <m:t>/</m:t>
            </m:r>
            <m:r>
              <w:rPr>
                <w:rFonts w:ascii="Cambria Math" w:hAnsi="Cambria Math"/>
                <w:color w:val="1F4E9E"/>
              </w:rPr>
              <m:t>s</m:t>
            </m:r>
          </m:e>
        </m:d>
        <m:d>
          <m:dPr>
            <m:ctrlPr>
              <w:rPr>
                <w:rFonts w:ascii="Cambria Math" w:hAnsi="Cambria Math"/>
              </w:rPr>
            </m:ctrlPr>
          </m:dPr>
          <m:e>
            <m:r>
              <w:rPr>
                <w:rFonts w:ascii="Cambria Math" w:hAnsi="Cambria Math"/>
                <w:color w:val="1F4E9E"/>
              </w:rPr>
              <m:t>g</m:t>
            </m:r>
            <m:r>
              <m:rPr>
                <m:nor/>
              </m:rPr>
              <w:rPr>
                <w:rFonts w:ascii="Cambria Math" w:hAnsi="Cambria Math"/>
                <w:color w:val="1F4E9E"/>
              </w:rPr>
              <m:t>-E </m:t>
            </m:r>
            <m:r>
              <w:rPr>
                <w:rFonts w:ascii="Cambria Math" w:hAnsi="Cambria Math"/>
                <w:color w:val="1F4E9E"/>
              </w:rPr>
              <m:t>y</m:t>
            </m:r>
            <m:d>
              <m:dPr>
                <m:ctrlPr>
                  <w:rPr>
                    <w:rFonts w:ascii="Cambria Math" w:hAnsi="Cambria Math"/>
                  </w:rPr>
                </m:ctrlPr>
              </m:dPr>
              <m:e>
                <m:r>
                  <w:rPr>
                    <w:rFonts w:ascii="Cambria Math" w:hAnsi="Cambria Math"/>
                    <w:color w:val="1F4E9E"/>
                  </w:rPr>
                  <m:t>t</m:t>
                </m:r>
              </m:e>
            </m:d>
          </m:e>
        </m:d>
      </m:oMath>
      <w:r>
        <w:rPr>
          <w:color w:val="1F4E9E"/>
        </w:rPr>
        <w:t xml:space="preserve">, the sum of the two one-sided rates. Over the stimulus period </w:t>
      </w:r>
      <m:oMath>
        <m:r>
          <m:rPr>
            <m:nor/>
          </m:rPr>
          <w:rPr>
            <w:rFonts w:ascii="Cambria Math" w:hAnsi="Cambria Math"/>
            <w:color w:val="1F4E9E"/>
          </w:rPr>
          <m:t>E </m:t>
        </m:r>
        <m:r>
          <w:rPr>
            <w:rFonts w:ascii="Cambria Math" w:hAnsi="Cambria Math"/>
            <w:color w:val="1F4E9E"/>
          </w:rPr>
          <m:t>y</m:t>
        </m:r>
      </m:oMath>
      <w:r>
        <w:rPr>
          <w:color w:val="1F4E9E"/>
        </w:rPr>
        <w:t xml:space="preserve"> grows with elapsed evidence time and grows faster at higher coherence, so the standardized distance falls, and falls faster at higher coherence, and the rate rises accordingly. Neither the first-stage drift nor its accumulation involves temporal preparation, so the prediction is common to the two models. ∎</w:t>
      </w:r>
    </w:p>
    <w:p w14:paraId="07A434D0" w14:textId="77777777" w:rsidR="00205CBC" w:rsidRDefault="00000000">
      <w:r>
        <w:rPr>
          <w:color w:val="1F4E9E"/>
        </w:rPr>
        <w:t xml:space="preserve">Proposition B.2 (duration; the models disagree, but one-sidedly). Under Model 1 the stimulus-locked rate is higher after the long stimulus than after the short one, at every admissible parameter setting. Under Model 2 temporal preparation opposes that ordering and can reverse it, but does not do so throughout the admissible space. Proof. The stimulus-locked window runs from motion onset to 2 s. Under Model 1, </w:t>
      </w:r>
      <m:oMath>
        <m:r>
          <w:rPr>
            <w:rFonts w:ascii="Cambria Math" w:hAnsi="Cambria Math"/>
            <w:color w:val="1F4E9E"/>
          </w:rPr>
          <m:t>β</m:t>
        </m:r>
        <m:r>
          <m:rPr>
            <m:nor/>
          </m:rPr>
          <w:rPr>
            <w:rFonts w:ascii="Cambria Math" w:hAnsi="Cambria Math"/>
            <w:color w:val="1F4E9E"/>
          </w:rPr>
          <m:t>=0</m:t>
        </m:r>
      </m:oMath>
      <w:r>
        <w:rPr>
          <w:color w:val="1F4E9E"/>
        </w:rPr>
        <w:t xml:space="preserve"> and the window contains no ramp at either duration, so the only duration dependence left is that the long stimulus has accumulated more evidence by the end of the window, giving a larger </w:t>
      </w:r>
      <m:oMath>
        <m:d>
          <m:dPr>
            <m:begChr m:val="|"/>
            <m:endChr m:val="|"/>
            <m:ctrlPr>
              <w:rPr>
                <w:rFonts w:ascii="Cambria Math" w:hAnsi="Cambria Math"/>
              </w:rPr>
            </m:ctrlPr>
          </m:dPr>
          <m:e>
            <m:r>
              <w:rPr>
                <w:rFonts w:ascii="Cambria Math" w:hAnsi="Cambria Math"/>
                <w:color w:val="1F4E9E"/>
              </w:rPr>
              <m:t>y</m:t>
            </m:r>
          </m:e>
        </m:d>
      </m:oMath>
      <w:r>
        <w:rPr>
          <w:color w:val="1F4E9E"/>
        </w:rPr>
        <w:t xml:space="preserve">, a smaller standardized distance, and hence a higher rate after the long stimulus. Under Model 2, temporal preparation begins at </w:t>
      </w:r>
      <m:oMath>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xml:space="preserve"> and so occupies </w:t>
      </w:r>
      <m:oMath>
        <m:r>
          <m:rPr>
            <m:nor/>
          </m:rPr>
          <w:rPr>
            <w:rFonts w:ascii="Cambria Math" w:hAnsi="Cambria Math"/>
            <w:color w:val="1F4E9E"/>
          </w:rPr>
          <m:t>2-</m:t>
        </m:r>
        <m:r>
          <w:rPr>
            <w:rFonts w:ascii="Cambria Math" w:hAnsi="Cambria Math"/>
            <w:color w:val="1F4E9E"/>
          </w:rPr>
          <m:t>D</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motion</m:t>
            </m:r>
          </m:sub>
        </m:sSub>
      </m:oMath>
      <w:r>
        <w:rPr>
          <w:color w:val="1F4E9E"/>
        </w:rPr>
        <w:t xml:space="preserve"> of the window: about three-quarters of it when </w:t>
      </w:r>
      <m:oMath>
        <m:r>
          <w:rPr>
            <w:rFonts w:ascii="Cambria Math" w:hAnsi="Cambria Math"/>
            <w:color w:val="1F4E9E"/>
          </w:rPr>
          <m:t>D</m:t>
        </m:r>
        <m:r>
          <m:rPr>
            <m:nor/>
          </m:rPr>
          <w:rPr>
            <w:rFonts w:ascii="Cambria Math" w:hAnsi="Cambria Math"/>
            <w:color w:val="1F4E9E"/>
          </w:rPr>
          <m:t>=0.3</m:t>
        </m:r>
      </m:oMath>
      <w:r>
        <w:rPr>
          <w:color w:val="1F4E9E"/>
        </w:rPr>
        <w:t xml:space="preserve"> s and none of it when </w:t>
      </w:r>
      <m:oMath>
        <m:r>
          <w:rPr>
            <w:rFonts w:ascii="Cambria Math" w:hAnsi="Cambria Math"/>
            <w:color w:val="1F4E9E"/>
          </w:rPr>
          <m:t>D</m:t>
        </m:r>
        <m:r>
          <m:rPr>
            <m:nor/>
          </m:rPr>
          <w:rPr>
            <w:rFonts w:ascii="Cambria Math" w:hAnsi="Cambria Math"/>
            <w:color w:val="1F4E9E"/>
          </w:rPr>
          <m:t>=2</m:t>
        </m:r>
      </m:oMath>
      <w:r>
        <w:rPr>
          <w:color w:val="1F4E9E"/>
        </w:rPr>
        <w:t xml:space="preserve"> s. The ramp therefore reduces the distance inside the window in the short condition only, which pushes the duration effect in the opposite direction from the level effect. Whether it overturns it depends on the ramp’s size relative to the distance to the gate, and the two are independent parameters, so the reversal cannot be established for the whole space. Evaluated over the ranges of Table A1, the reversal is significant at 39% of Model 2’s admissible settings and at none of Model 1’s, while the unreversed ordering is significant at 45% of Model 2’s and 95% of Model 1’s. What is therefore established is a one-sided test: an observed rate higher after the short stimulus is </w:t>
      </w:r>
      <w:r>
        <w:rPr>
          <w:color w:val="1F4E9E"/>
        </w:rPr>
        <w:lastRenderedPageBreak/>
        <w:t>incompatible with Model 1 and compatible with Model 2, and cannot be turned round into a positive prediction for Model 2. ∎</w:t>
      </w:r>
    </w:p>
    <w:p w14:paraId="418AD04D" w14:textId="77777777" w:rsidR="00205CBC" w:rsidRDefault="00000000">
      <w:r>
        <w:rPr>
          <w:color w:val="1F4E9E"/>
        </w:rPr>
        <w:t>Remark B.3. Proposition B.2 is the only prediction outside the delay period on which the two models disagree, which is why the stimulus-locked duration effect and the delay-locked ramp carry the whole of the discrimination between them. Its one-sidedness is worth keeping in view: outside the delay period the design can refute Model 1 but cannot confirm Model 2, and it is only in the delay period that Model 2 makes a prediction of its own.</w:t>
      </w:r>
    </w:p>
    <w:p w14:paraId="0565F16B" w14:textId="77777777" w:rsidR="00205CBC" w:rsidRDefault="00000000">
      <w:pPr>
        <w:pStyle w:val="Titre1"/>
      </w:pPr>
      <w:r>
        <w:rPr>
          <w:color w:val="1F4E9E"/>
        </w:rPr>
        <w:t>Appendix C. Delay-locked predictions: the rate of partial muscle activations</w:t>
      </w:r>
    </w:p>
    <w:p w14:paraId="32EB4860" w14:textId="77777777" w:rsidR="00205CBC" w:rsidRDefault="00000000">
      <w:r>
        <w:rPr>
          <w:color w:val="1F4E9E"/>
        </w:rPr>
        <w:t>This appendix derives, from the model of Theory (Materials and Methods), the instantaneous rate at which the maintained motor-preparatory signal crosses the gate upward — a partial muscle activation — and then draws from it the delay-period predictions the Results test. The derivation is self-contained: the two linear equations of the maintenance stage are solved in sequence, the second moments of the resulting process are obtained from the kernel, and the crossing rate follows from the Kac–Rice formula. Equations (20) to (22) are the ones used in the text and are displayed there as well as here.</w:t>
      </w:r>
    </w:p>
    <w:p w14:paraId="07444EB0" w14:textId="77777777" w:rsidR="00205CBC" w:rsidRDefault="00000000">
      <w:r>
        <w:rPr>
          <w:b/>
          <w:i/>
          <w:color w:val="1F4E9E"/>
        </w:rPr>
        <w:t>Setup and notation</w:t>
      </w:r>
    </w:p>
    <w:p w14:paraId="628B782C" w14:textId="77777777" w:rsidR="00205CBC" w:rsidRDefault="00000000">
      <w:r>
        <w:rPr>
          <w:color w:val="1F4E9E"/>
        </w:rPr>
        <w:t xml:space="preserve">Throughout, </w:t>
      </w:r>
      <m:oMath>
        <m:r>
          <w:rPr>
            <w:rFonts w:ascii="Cambria Math" w:hAnsi="Cambria Math"/>
            <w:color w:val="1F4E9E"/>
          </w:rPr>
          <m:t>φ</m:t>
        </m:r>
      </m:oMath>
      <w:r>
        <w:rPr>
          <w:color w:val="1F4E9E"/>
        </w:rPr>
        <w:t xml:space="preserve"> and </w:t>
      </w:r>
      <m:oMath>
        <m:r>
          <w:rPr>
            <w:rFonts w:ascii="Cambria Math" w:hAnsi="Cambria Math"/>
            <w:color w:val="1F4E9E"/>
          </w:rPr>
          <m:t>Φ</m:t>
        </m:r>
      </m:oMath>
      <w:r>
        <w:rPr>
          <w:color w:val="1F4E9E"/>
        </w:rPr>
        <w:t xml:space="preserve"> are the standard normal density and distribution function. Fix a trial that has entered maintenance at time </w:t>
      </w:r>
      <m:oMath>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oMath>
      <w:r>
        <w:rPr>
          <w:color w:val="1F4E9E"/>
        </w:rPr>
        <w:t xml:space="preserve"> with selected response </w:t>
      </w:r>
      <m:oMath>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oMath>
      <w:r>
        <w:rPr>
          <w:color w:val="1F4E9E"/>
        </w:rPr>
        <w:t xml:space="preserve"> and maintained level </w:t>
      </w:r>
      <m:oMath>
        <m:r>
          <w:rPr>
            <w:rFonts w:ascii="Cambria Math" w:hAnsi="Cambria Math"/>
            <w:color w:val="1F4E9E"/>
          </w:rPr>
          <m:t>m</m:t>
        </m:r>
      </m:oMath>
      <w:r>
        <w:rPr>
          <w:color w:val="1F4E9E"/>
        </w:rPr>
        <w:t xml:space="preserve"> (Equation (4)), and write </w:t>
      </w:r>
      <m:oMath>
        <m:r>
          <w:rPr>
            <w:rFonts w:ascii="Cambria Math" w:hAnsi="Cambria Math"/>
            <w:color w:val="1F4E9E"/>
          </w:rPr>
          <m:t>ρ</m:t>
        </m:r>
        <m:r>
          <m:rPr>
            <m:nor/>
          </m:rPr>
          <w:rPr>
            <w:rFonts w:ascii="Cambria Math" w:hAnsi="Cambria Math"/>
            <w:color w:val="1F4E9E"/>
          </w:rPr>
          <m:t>:=</m:t>
        </m:r>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oMath>
      <w:r>
        <w:rPr>
          <w:color w:val="1F4E9E"/>
        </w:rPr>
        <w:t xml:space="preserve"> for elapsed maintenance time. For </w:t>
      </w:r>
      <m:oMath>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oMath>
      <w:r>
        <w:rPr>
          <w:color w:val="1F4E9E"/>
        </w:rPr>
        <w:t xml:space="preserve"> write </w:t>
      </w:r>
      <m:oMath>
        <m:r>
          <w:rPr>
            <w:rFonts w:ascii="Cambria Math" w:hAnsi="Cambria Math"/>
            <w:color w:val="1F4E9E"/>
          </w:rPr>
          <m:t>y</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m</m:t>
        </m:r>
        <m:r>
          <m:rPr>
            <m:nor/>
          </m:rPr>
          <w:rPr>
            <w:rFonts w:ascii="Cambria Math" w:hAnsi="Cambria Math"/>
            <w:color w:val="1F4E9E"/>
          </w:rPr>
          <m:t>+</m:t>
        </m:r>
        <m:r>
          <w:rPr>
            <w:rFonts w:ascii="Cambria Math" w:hAnsi="Cambria Math"/>
            <w:color w:val="1F4E9E"/>
          </w:rPr>
          <m:t>V</m:t>
        </m:r>
        <m:d>
          <m:dPr>
            <m:ctrlPr>
              <w:rPr>
                <w:rFonts w:ascii="Cambria Math" w:hAnsi="Cambria Math"/>
              </w:rPr>
            </m:ctrlPr>
          </m:dPr>
          <m:e>
            <m:r>
              <w:rPr>
                <w:rFonts w:ascii="Cambria Math" w:hAnsi="Cambria Math"/>
                <w:color w:val="1F4E9E"/>
              </w:rPr>
              <m:t>t</m:t>
            </m:r>
          </m:e>
        </m:d>
      </m:oMath>
      <w:r>
        <w:rPr>
          <w:color w:val="1F4E9E"/>
        </w:rPr>
        <w:t xml:space="preserve">, so that </w:t>
      </w:r>
      <m:oMath>
        <m:r>
          <w:rPr>
            <w:rFonts w:ascii="Cambria Math" w:hAnsi="Cambria Math"/>
            <w:color w:val="1F4E9E"/>
          </w:rPr>
          <m:t>V</m:t>
        </m:r>
      </m:oMath>
      <w:r>
        <w:rPr>
          <w:color w:val="1F4E9E"/>
        </w:rPr>
        <w:t xml:space="preserve"> is the fluctuation of the motor-preparatory signal about its target, with </w:t>
      </w:r>
      <m:oMath>
        <m:r>
          <w:rPr>
            <w:rFonts w:ascii="Cambria Math" w:hAnsi="Cambria Math"/>
            <w:color w:val="1F4E9E"/>
          </w:rPr>
          <m:t>V</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r>
          <m:rPr>
            <m:nor/>
          </m:rPr>
          <w:rPr>
            <w:rFonts w:ascii="Cambria Math" w:hAnsi="Cambria Math"/>
            <w:color w:val="1F4E9E"/>
          </w:rPr>
          <m:t>=0</m:t>
        </m:r>
      </m:oMath>
      <w:r>
        <w:rPr>
          <w:color w:val="1F4E9E"/>
        </w:rPr>
        <w:t xml:space="preserve">. By Equations (5) and (6), </w:t>
      </w:r>
      <m:oMath>
        <m:r>
          <w:rPr>
            <w:rFonts w:ascii="Cambria Math" w:hAnsi="Cambria Math"/>
            <w:color w:val="1F4E9E"/>
          </w:rPr>
          <m:t>V</m:t>
        </m:r>
      </m:oMath>
      <w:r>
        <w:rPr>
          <w:color w:val="1F4E9E"/>
        </w:rPr>
        <w:t xml:space="preserve"> is the output of the first-order filter driven by the Ornstein–Uhlenbeck maintenance noise:</w:t>
      </w:r>
    </w:p>
    <w:p w14:paraId="1B8E1FB4" w14:textId="77777777" w:rsidR="00205CBC" w:rsidRDefault="00000000">
      <m:oMathPara>
        <m:oMath>
          <m:eqArr>
            <m:eqArrPr>
              <m:maxDist m:val="1"/>
              <m:ctrlPr>
                <w:rPr>
                  <w:rFonts w:ascii="Cambria Math" w:hAnsi="Cambria Math"/>
                </w:rPr>
              </m:ctrlPr>
            </m:eqArrPr>
            <m:e>
              <m:r>
                <m:rPr>
                  <m:nor/>
                </m:rPr>
                <w:rPr>
                  <w:rFonts w:ascii="Cambria Math" w:hAnsi="Cambria Math"/>
                  <w:color w:val="1F4E9E"/>
                </w:rPr>
                <m:t>d</m:t>
              </m:r>
              <m:r>
                <w:rPr>
                  <w:rFonts w:ascii="Cambria Math" w:hAnsi="Cambria Math"/>
                  <w:color w:val="1F4E9E"/>
                </w:rPr>
                <m:t>ε</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κε</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 d</m:t>
              </m:r>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r>
                <m:rPr>
                  <m:nor/>
                </m:rPr>
                <w:rPr>
                  <w:rFonts w:ascii="Cambria Math" w:hAnsi="Cambria Math"/>
                  <w:color w:val="1F4E9E"/>
                </w:rPr>
                <m:t> d</m:t>
              </m:r>
              <m:sSub>
                <m:sSubPr>
                  <m:ctrlPr>
                    <w:rPr>
                      <w:rFonts w:ascii="Cambria Math" w:hAnsi="Cambria Math"/>
                    </w:rPr>
                  </m:ctrlPr>
                </m:sSubPr>
                <m:e>
                  <m:r>
                    <w:rPr>
                      <w:rFonts w:ascii="Cambria Math" w:hAnsi="Cambria Math"/>
                      <w:color w:val="1F4E9E"/>
                    </w:rPr>
                    <m:t>W</m:t>
                  </m:r>
                </m:e>
                <m:sub>
                  <m:r>
                    <w:rPr>
                      <w:rFonts w:ascii="Cambria Math" w:hAnsi="Cambria Math"/>
                      <w:color w:val="1F4E9E"/>
                    </w:rPr>
                    <m:t>ε</m:t>
                  </m:r>
                </m:sub>
              </m:sSub>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m:rPr>
                  <m:nor/>
                </m:rPr>
                <w:rPr>
                  <w:rFonts w:ascii="Cambria Math" w:hAnsi="Cambria Math"/>
                  <w:color w:val="1F4E9E"/>
                </w:rPr>
                <m:t> </m:t>
              </m:r>
              <m:r>
                <m:rPr>
                  <m:nor/>
                </m:rPr>
                <w:rPr>
                  <w:rFonts w:ascii="Cambria Math" w:hAnsi="Cambria Math"/>
                  <w:color w:val="1F4E9E"/>
                </w:rPr>
                <m:t>d</m:t>
              </m:r>
              <m:r>
                <w:rPr>
                  <w:rFonts w:ascii="Cambria Math" w:hAnsi="Cambria Math"/>
                  <w:color w:val="1F4E9E"/>
                </w:rPr>
                <m:t>V</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λ</m:t>
              </m:r>
              <m:d>
                <m:dPr>
                  <m:ctrlPr>
                    <w:rPr>
                      <w:rFonts w:ascii="Cambria Math" w:hAnsi="Cambria Math"/>
                    </w:rPr>
                  </m:ctrlPr>
                </m:dPr>
                <m:e>
                  <m:r>
                    <w:rPr>
                      <w:rFonts w:ascii="Cambria Math" w:hAnsi="Cambria Math"/>
                      <w:color w:val="1F4E9E"/>
                    </w:rPr>
                    <m:t>ε</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V</m:t>
                  </m:r>
                  <m:d>
                    <m:dPr>
                      <m:ctrlPr>
                        <w:rPr>
                          <w:rFonts w:ascii="Cambria Math" w:hAnsi="Cambria Math"/>
                        </w:rPr>
                      </m:ctrlPr>
                    </m:dPr>
                    <m:e>
                      <m:r>
                        <w:rPr>
                          <w:rFonts w:ascii="Cambria Math" w:hAnsi="Cambria Math"/>
                          <w:color w:val="1F4E9E"/>
                        </w:rPr>
                        <m:t>t</m:t>
                      </m:r>
                    </m:e>
                  </m:d>
                </m:e>
              </m:d>
              <m:r>
                <m:rPr>
                  <m:nor/>
                </m:rPr>
                <w:rPr>
                  <w:rFonts w:ascii="Cambria Math" w:hAnsi="Cambria Math"/>
                  <w:color w:val="1F4E9E"/>
                </w:rPr>
                <m:t> d</m:t>
              </m:r>
              <m:r>
                <w:rPr>
                  <w:rFonts w:ascii="Cambria Math" w:hAnsi="Cambria Math"/>
                  <w:color w:val="1F4E9E"/>
                </w:rPr>
                <m:t>t</m:t>
              </m:r>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ε</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r>
                <m:rPr>
                  <m:nor/>
                </m:rPr>
                <w:rPr>
                  <w:rFonts w:ascii="Cambria Math" w:hAnsi="Cambria Math"/>
                  <w:color w:val="1F4E9E"/>
                </w:rPr>
                <m:t>=</m:t>
              </m:r>
              <m:r>
                <w:rPr>
                  <w:rFonts w:ascii="Cambria Math" w:hAnsi="Cambria Math"/>
                  <w:color w:val="1F4E9E"/>
                </w:rPr>
                <m:t>V</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r>
                <m:rPr>
                  <m:nor/>
                </m:rPr>
                <w:rPr>
                  <w:rFonts w:ascii="Cambria Math" w:hAnsi="Cambria Math"/>
                  <w:color w:val="1F4E9E"/>
                </w:rPr>
                <m:t>=0</m:t>
              </m:r>
              <m:r>
                <w:rPr>
                  <w:rFonts w:ascii="Cambria Math" w:hAnsi="Cambria Math"/>
                  <w:color w:val="1F4E9E"/>
                </w:rPr>
                <m:t>#</m:t>
              </m:r>
              <m:d>
                <m:dPr>
                  <m:ctrlPr>
                    <w:rPr>
                      <w:rFonts w:ascii="Cambria Math" w:hAnsi="Cambria Math"/>
                    </w:rPr>
                  </m:ctrlPr>
                </m:dPr>
                <m:e>
                  <m:r>
                    <m:rPr>
                      <m:nor/>
                    </m:rPr>
                    <w:rPr>
                      <w:rFonts w:ascii="Cambria Math" w:hAnsi="Cambria Math"/>
                      <w:color w:val="1F4E9E"/>
                    </w:rPr>
                    <m:t>11</m:t>
                  </m:r>
                </m:e>
              </m:d>
            </m:e>
          </m:eqArr>
        </m:oMath>
      </m:oMathPara>
    </w:p>
    <w:p w14:paraId="36630F90" w14:textId="77777777" w:rsidR="00205CBC" w:rsidRDefault="00000000">
      <w:r>
        <w:rPr>
          <w:color w:val="1F4E9E"/>
        </w:rPr>
        <w:lastRenderedPageBreak/>
        <w:t xml:space="preserve">where </w:t>
      </w:r>
      <m:oMath>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r>
          <m:rPr>
            <m:nor/>
          </m:rPr>
          <w:rPr>
            <w:rFonts w:ascii="Cambria Math" w:hAnsi="Cambria Math"/>
            <w:color w:val="1F4E9E"/>
          </w:rPr>
          <m:t>=</m:t>
        </m:r>
        <m:sSub>
          <m:sSubPr>
            <m:ctrlPr>
              <w:rPr>
                <w:rFonts w:ascii="Cambria Math" w:hAnsi="Cambria Math"/>
              </w:rPr>
            </m:ctrlPr>
          </m:sSubPr>
          <m:e>
            <m:r>
              <m:rPr>
                <m:nor/>
              </m:rPr>
              <w:rPr>
                <w:rFonts w:ascii="Cambria Math" w:hAnsi="Cambria Math"/>
                <w:color w:val="1F4E9E"/>
              </w:rPr>
              <m:t>SD</m:t>
            </m:r>
          </m:e>
          <m:sub>
            <m:r>
              <w:rPr>
                <w:rFonts w:ascii="Cambria Math" w:hAnsi="Cambria Math"/>
                <w:color w:val="1F4E9E"/>
              </w:rPr>
              <m:t>ε</m:t>
            </m:r>
          </m:sub>
        </m:sSub>
        <m:rad>
          <m:radPr>
            <m:degHide m:val="1"/>
            <m:ctrlPr>
              <w:rPr>
                <w:rFonts w:ascii="Cambria Math" w:hAnsi="Cambria Math"/>
              </w:rPr>
            </m:ctrlPr>
          </m:radPr>
          <m:deg/>
          <m:e>
            <m:r>
              <m:rPr>
                <m:nor/>
              </m:rPr>
              <w:rPr>
                <w:rFonts w:ascii="Cambria Math" w:hAnsi="Cambria Math"/>
                <w:color w:val="1F4E9E"/>
              </w:rPr>
              <m:t>2</m:t>
            </m:r>
            <m:r>
              <w:rPr>
                <w:rFonts w:ascii="Cambria Math" w:hAnsi="Cambria Math"/>
                <w:color w:val="1F4E9E"/>
              </w:rPr>
              <m:t>κ</m:t>
            </m:r>
          </m:e>
        </m:rad>
      </m:oMath>
      <w:r>
        <w:rPr>
          <w:color w:val="1F4E9E"/>
        </w:rPr>
        <w:t xml:space="preserve">, so that the stationary standard deviation of </w:t>
      </w:r>
      <m:oMath>
        <m:r>
          <w:rPr>
            <w:rFonts w:ascii="Cambria Math" w:hAnsi="Cambria Math"/>
            <w:color w:val="1F4E9E"/>
          </w:rPr>
          <m:t>ε</m:t>
        </m:r>
      </m:oMath>
      <w:r>
        <w:rPr>
          <w:color w:val="1F4E9E"/>
        </w:rPr>
        <w:t xml:space="preserve"> is </w:t>
      </w:r>
      <m:oMath>
        <m:sSub>
          <m:sSubPr>
            <m:ctrlPr>
              <w:rPr>
                <w:rFonts w:ascii="Cambria Math" w:hAnsi="Cambria Math"/>
              </w:rPr>
            </m:ctrlPr>
          </m:sSubPr>
          <m:e>
            <m:r>
              <m:rPr>
                <m:nor/>
              </m:rPr>
              <w:rPr>
                <w:rFonts w:ascii="Cambria Math" w:hAnsi="Cambria Math"/>
                <w:color w:val="1F4E9E"/>
              </w:rPr>
              <m:t>SD</m:t>
            </m:r>
          </m:e>
          <m:sub>
            <m:r>
              <w:rPr>
                <w:rFonts w:ascii="Cambria Math" w:hAnsi="Cambria Math"/>
                <w:color w:val="1F4E9E"/>
              </w:rPr>
              <m:t>ε</m:t>
            </m:r>
          </m:sub>
        </m:sSub>
      </m:oMath>
      <w:r>
        <w:rPr>
          <w:color w:val="1F4E9E"/>
        </w:rPr>
        <w:t xml:space="preserve"> whatever the value of </w:t>
      </w:r>
      <m:oMath>
        <m:r>
          <w:rPr>
            <w:rFonts w:ascii="Cambria Math" w:hAnsi="Cambria Math"/>
            <w:color w:val="1F4E9E"/>
          </w:rPr>
          <m:t>κ</m:t>
        </m:r>
      </m:oMath>
      <w:r>
        <w:rPr>
          <w:color w:val="1F4E9E"/>
        </w:rPr>
        <w:t xml:space="preserve">; this is what makes the two sampled in Table A1 independent of one another. Because </w:t>
      </w:r>
      <m:oMath>
        <m:r>
          <w:rPr>
            <w:rFonts w:ascii="Cambria Math" w:hAnsi="Cambria Math"/>
            <w:color w:val="1F4E9E"/>
          </w:rPr>
          <m:t>ε</m:t>
        </m:r>
      </m:oMath>
      <w:r>
        <w:rPr>
          <w:color w:val="1F4E9E"/>
        </w:rPr>
        <w:t xml:space="preserve"> is symmetric and independent of the sign of the response, </w:t>
      </w:r>
      <m:oMath>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V</m:t>
        </m:r>
      </m:oMath>
      <w:r>
        <w:rPr>
          <w:color w:val="1F4E9E"/>
        </w:rPr>
        <w:t xml:space="preserve"> has the same law as </w:t>
      </w:r>
      <m:oMath>
        <m:r>
          <w:rPr>
            <w:rFonts w:ascii="Cambria Math" w:hAnsi="Cambria Math"/>
            <w:color w:val="1F4E9E"/>
          </w:rPr>
          <m:t>V</m:t>
        </m:r>
      </m:oMath>
      <w:r>
        <w:rPr>
          <w:color w:val="1F4E9E"/>
        </w:rPr>
        <w:t xml:space="preserve">. Writing </w:t>
      </w:r>
      <m:oMath>
        <m:r>
          <w:rPr>
            <w:rFonts w:ascii="Cambria Math" w:hAnsi="Cambria Math"/>
            <w:color w:val="1F4E9E"/>
          </w:rPr>
          <m:t>d</m:t>
        </m:r>
        <m:d>
          <m:dPr>
            <m:ctrlPr>
              <w:rPr>
                <w:rFonts w:ascii="Cambria Math" w:hAnsi="Cambria Math"/>
              </w:rPr>
            </m:ctrlPr>
          </m:dPr>
          <m:e>
            <m:r>
              <w:rPr>
                <w:rFonts w:ascii="Cambria Math" w:hAnsi="Cambria Math"/>
                <w:color w:val="1F4E9E"/>
              </w:rPr>
              <m:t>t</m:t>
            </m:r>
          </m:e>
        </m:d>
      </m:oMath>
      <w:r>
        <w:rPr>
          <w:color w:val="1F4E9E"/>
        </w:rPr>
        <w:t xml:space="preserve"> for the distance from the maintained level to the gate,</w:t>
      </w:r>
    </w:p>
    <w:p w14:paraId="1158D29E" w14:textId="77777777" w:rsidR="00205CBC" w:rsidRDefault="00000000">
      <m:oMathPara>
        <m:oMath>
          <m:eqArr>
            <m:eqArrPr>
              <m:maxDist m:val="1"/>
              <m:ctrlPr>
                <w:rPr>
                  <w:rFonts w:ascii="Cambria Math" w:hAnsi="Cambria Math"/>
                </w:rPr>
              </m:ctrlPr>
            </m:eqArrPr>
            <m:e>
              <m:r>
                <w:rPr>
                  <w:rFonts w:ascii="Cambria Math" w:hAnsi="Cambria Math"/>
                  <w:color w:val="1F4E9E"/>
                </w:rPr>
                <m:t>d</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g</m:t>
              </m:r>
              <m:r>
                <m:rPr>
                  <m:nor/>
                </m:rPr>
                <w:rPr>
                  <w:rFonts w:ascii="Cambria Math" w:hAnsi="Cambria Math"/>
                  <w:color w:val="1F4E9E"/>
                </w:rPr>
                <m:t>-</m:t>
              </m:r>
              <m:d>
                <m:dPr>
                  <m:begChr m:val="|"/>
                  <m:endChr m:val="|"/>
                  <m:ctrlPr>
                    <w:rPr>
                      <w:rFonts w:ascii="Cambria Math" w:hAnsi="Cambria Math"/>
                    </w:rPr>
                  </m:ctrlPr>
                </m:dPr>
                <m:e>
                  <m:r>
                    <w:rPr>
                      <w:rFonts w:ascii="Cambria Math" w:hAnsi="Cambria Math"/>
                      <w:color w:val="1F4E9E"/>
                    </w:rPr>
                    <m:t>m</m:t>
                  </m:r>
                </m:e>
              </m:d>
              <m:r>
                <m:rPr>
                  <m:nor/>
                </m:rPr>
                <w:rPr>
                  <w:rFonts w:ascii="Cambria Math" w:hAnsi="Cambria Math"/>
                  <w:color w:val="1F4E9E"/>
                </w:rPr>
                <m:t>-</m:t>
              </m:r>
              <m:r>
                <w:rPr>
                  <w:rFonts w:ascii="Cambria Math" w:hAnsi="Cambria Math"/>
                  <w:color w:val="1F4E9E"/>
                </w:rPr>
                <m:t>β</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e>
                    <m:sup>
                      <m:r>
                        <m:rPr>
                          <m:nor/>
                        </m:rPr>
                        <w:rPr>
                          <w:rFonts w:ascii="Cambria Math" w:hAnsi="Cambria Math"/>
                          <w:color w:val="1F4E9E"/>
                        </w:rPr>
                        <m:t>+</m:t>
                      </m:r>
                    </m:sup>
                  </m:sSup>
                </m:num>
                <m:den>
                  <m:r>
                    <w:rPr>
                      <w:rFonts w:ascii="Cambria Math" w:hAnsi="Cambria Math"/>
                      <w:color w:val="1F4E9E"/>
                    </w:rPr>
                    <m:t>Δ</m:t>
                  </m:r>
                </m:den>
              </m:f>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α</m:t>
              </m:r>
              <m:r>
                <m:rPr>
                  <m:nor/>
                </m:rPr>
                <w:rPr>
                  <w:rFonts w:ascii="Cambria Math" w:hAnsi="Cambria Math"/>
                  <w:color w:val="1F4E9E"/>
                </w:rPr>
                <m:t>:=</m:t>
              </m:r>
              <m:r>
                <w:rPr>
                  <w:rFonts w:ascii="Cambria Math" w:hAnsi="Cambria Math"/>
                  <w:color w:val="1F4E9E"/>
                </w:rPr>
                <m:t>β</m:t>
              </m:r>
              <m:r>
                <m:rPr>
                  <m:nor/>
                </m:rPr>
                <w:rPr>
                  <w:rFonts w:ascii="Cambria Math" w:hAnsi="Cambria Math"/>
                  <w:color w:val="1F4E9E"/>
                </w:rPr>
                <m:t>/</m:t>
              </m:r>
              <m:r>
                <w:rPr>
                  <w:rFonts w:ascii="Cambria Math" w:hAnsi="Cambria Math"/>
                  <w:color w:val="1F4E9E"/>
                </w:rPr>
                <m:t>Δ#</m:t>
              </m:r>
              <m:d>
                <m:dPr>
                  <m:ctrlPr>
                    <w:rPr>
                      <w:rFonts w:ascii="Cambria Math" w:hAnsi="Cambria Math"/>
                    </w:rPr>
                  </m:ctrlPr>
                </m:dPr>
                <m:e>
                  <m:r>
                    <m:rPr>
                      <m:nor/>
                    </m:rPr>
                    <w:rPr>
                      <w:rFonts w:ascii="Cambria Math" w:hAnsi="Cambria Math"/>
                      <w:color w:val="1F4E9E"/>
                    </w:rPr>
                    <m:t>12</m:t>
                  </m:r>
                </m:e>
              </m:d>
            </m:e>
          </m:eqArr>
        </m:oMath>
      </m:oMathPara>
    </w:p>
    <w:p w14:paraId="1794BFEF" w14:textId="77777777" w:rsidR="00205CBC" w:rsidRDefault="00000000">
      <w:r>
        <w:rPr>
          <w:color w:val="1F4E9E"/>
        </w:rPr>
        <w:t xml:space="preserve">(the second term present only under temporal preparation, so that </w:t>
      </w:r>
      <m:oMath>
        <m:r>
          <w:rPr>
            <w:rFonts w:ascii="Cambria Math" w:hAnsi="Cambria Math"/>
            <w:color w:val="1F4E9E"/>
          </w:rPr>
          <m:t>β</m:t>
        </m:r>
        <m:r>
          <m:rPr>
            <m:nor/>
          </m:rPr>
          <w:rPr>
            <w:rFonts w:ascii="Cambria Math" w:hAnsi="Cambria Math"/>
            <w:color w:val="1F4E9E"/>
          </w:rPr>
          <m:t>=0</m:t>
        </m:r>
      </m:oMath>
      <w:r>
        <w:rPr>
          <w:color w:val="1F4E9E"/>
        </w:rPr>
        <w:t xml:space="preserve"> and </w:t>
      </w:r>
      <m:oMath>
        <m:r>
          <w:rPr>
            <w:rFonts w:ascii="Cambria Math" w:hAnsi="Cambria Math"/>
            <w:color w:val="1F4E9E"/>
          </w:rPr>
          <m:t>α</m:t>
        </m:r>
        <m:r>
          <m:rPr>
            <m:nor/>
          </m:rPr>
          <w:rPr>
            <w:rFonts w:ascii="Cambria Math" w:hAnsi="Cambria Math"/>
            <w:color w:val="1F4E9E"/>
          </w:rPr>
          <m:t>=0</m:t>
        </m:r>
      </m:oMath>
      <w:r>
        <w:rPr>
          <w:color w:val="1F4E9E"/>
        </w:rPr>
        <w:t xml:space="preserve"> under Model 1), a partial activation on the selected channel begins exactly when </w:t>
      </w:r>
      <m:oMath>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V</m:t>
        </m:r>
      </m:oMath>
      <w:r>
        <w:rPr>
          <w:color w:val="1F4E9E"/>
        </w:rPr>
        <w:t xml:space="preserve"> crosses </w:t>
      </w:r>
      <m:oMath>
        <m:r>
          <w:rPr>
            <w:rFonts w:ascii="Cambria Math" w:hAnsi="Cambria Math"/>
            <w:color w:val="1F4E9E"/>
          </w:rPr>
          <m:t>d</m:t>
        </m:r>
        <m:d>
          <m:dPr>
            <m:ctrlPr>
              <w:rPr>
                <w:rFonts w:ascii="Cambria Math" w:hAnsi="Cambria Math"/>
              </w:rPr>
            </m:ctrlPr>
          </m:dPr>
          <m:e>
            <m:r>
              <w:rPr>
                <w:rFonts w:ascii="Cambria Math" w:hAnsi="Cambria Math"/>
                <w:color w:val="1F4E9E"/>
              </w:rPr>
              <m:t>t</m:t>
            </m:r>
          </m:e>
        </m:d>
      </m:oMath>
      <w:r>
        <w:rPr>
          <w:color w:val="1F4E9E"/>
        </w:rPr>
        <w:t xml:space="preserve"> upward. The non-selected channel activates when </w:t>
      </w:r>
      <m:oMath>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V</m:t>
        </m:r>
      </m:oMath>
      <w:r>
        <w:rPr>
          <w:color w:val="1F4E9E"/>
        </w:rPr>
        <w:t xml:space="preserve"> falls below </w:t>
      </w:r>
      <m:oMath>
        <m:r>
          <m:rPr>
            <m:nor/>
          </m:rPr>
          <w:rPr>
            <w:rFonts w:ascii="Cambria Math" w:hAnsi="Cambria Math"/>
            <w:color w:val="1F4E9E"/>
          </w:rPr>
          <m:t>-</m:t>
        </m:r>
        <m:r>
          <w:rPr>
            <w:rFonts w:ascii="Cambria Math" w:hAnsi="Cambria Math"/>
            <w:color w:val="1F4E9E"/>
          </w:rPr>
          <m:t>g</m:t>
        </m:r>
        <m:r>
          <m:rPr>
            <m:nor/>
          </m:rPr>
          <w:rPr>
            <w:rFonts w:ascii="Cambria Math" w:hAnsi="Cambria Math"/>
            <w:color w:val="1F4E9E"/>
          </w:rPr>
          <m:t>-</m:t>
        </m:r>
        <m:d>
          <m:dPr>
            <m:begChr m:val="|"/>
            <m:endChr m:val="|"/>
            <m:ctrlPr>
              <w:rPr>
                <w:rFonts w:ascii="Cambria Math" w:hAnsi="Cambria Math"/>
              </w:rPr>
            </m:ctrlPr>
          </m:dPr>
          <m:e>
            <m:r>
              <w:rPr>
                <w:rFonts w:ascii="Cambria Math" w:hAnsi="Cambria Math"/>
                <w:color w:val="1F4E9E"/>
              </w:rPr>
              <m:t>m</m:t>
            </m:r>
          </m:e>
        </m:d>
        <m:r>
          <m:rPr>
            <m:nor/>
          </m:rPr>
          <w:rPr>
            <w:rFonts w:ascii="Cambria Math" w:hAnsi="Cambria Math"/>
            <w:color w:val="1F4E9E"/>
          </w:rPr>
          <m:t>-</m:t>
        </m:r>
        <m:r>
          <w:rPr>
            <w:rFonts w:ascii="Cambria Math" w:hAnsi="Cambria Math"/>
            <w:color w:val="1F4E9E"/>
          </w:rPr>
          <m:t>β</m:t>
        </m:r>
        <m:sSup>
          <m:sSupPr>
            <m:ctrlPr>
              <w:rPr>
                <w:rFonts w:ascii="Cambria Math" w:hAnsi="Cambria Math"/>
              </w:rPr>
            </m:ctrlPr>
          </m:sSupPr>
          <m:e>
            <m:d>
              <m:dPr>
                <m:ctrlPr>
                  <w:rPr>
                    <w:rFonts w:ascii="Cambria Math" w:hAnsi="Cambria Math"/>
                  </w:rPr>
                </m:ctrlPr>
              </m:dPr>
              <m:e>
                <m:r>
                  <w:rPr>
                    <w:rFonts w:ascii="Cambria Math" w:hAnsi="Cambria Math"/>
                    <w:color w:val="1F4E9E"/>
                  </w:rPr>
                  <m:t>t</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Δ</m:t>
        </m:r>
      </m:oMath>
      <w:r>
        <w:rPr>
          <w:color w:val="1F4E9E"/>
        </w:rPr>
        <w:t>, which over the admissible parameter space is between four and nine fluctuation standard deviations away against one to three for the selected one; it is not considered further, and the model accordingly predicts the non-selected channel to be silent, as it is observed to be.</w:t>
      </w:r>
    </w:p>
    <w:p w14:paraId="4093E0B5" w14:textId="77777777" w:rsidR="00205CBC" w:rsidRDefault="00000000">
      <w:r>
        <w:rPr>
          <w:b/>
          <w:i/>
          <w:color w:val="1F4E9E"/>
        </w:rPr>
        <w:t>The maintained fluctuation</w:t>
      </w:r>
    </w:p>
    <w:p w14:paraId="04205207" w14:textId="77777777" w:rsidR="00205CBC" w:rsidRDefault="00000000">
      <w:r>
        <w:rPr>
          <w:color w:val="1F4E9E"/>
        </w:rPr>
        <w:t>Solving the two equations of (11) in sequence gives</w:t>
      </w:r>
    </w:p>
    <w:p w14:paraId="66F79AF3" w14:textId="77777777" w:rsidR="00205CBC" w:rsidRDefault="00000000">
      <m:oMathPara>
        <m:oMath>
          <m:eqArr>
            <m:eqArrPr>
              <m:maxDist m:val="1"/>
              <m:ctrlPr>
                <w:rPr>
                  <w:rFonts w:ascii="Cambria Math" w:hAnsi="Cambria Math"/>
                </w:rPr>
              </m:ctrlPr>
            </m:eqArrPr>
            <m:e>
              <m:r>
                <w:rPr>
                  <w:rFonts w:ascii="Cambria Math" w:hAnsi="Cambria Math"/>
                  <w:color w:val="1F4E9E"/>
                </w:rPr>
                <m:t>ε</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ρ</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κ</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p</m:t>
                          </m:r>
                        </m:e>
                      </m:d>
                    </m:sup>
                  </m:sSup>
                  <m:r>
                    <m:rPr>
                      <m:nor/>
                    </m:rPr>
                    <w:rPr>
                      <w:rFonts w:ascii="Cambria Math" w:hAnsi="Cambria Math"/>
                      <w:color w:val="1F4E9E"/>
                    </w:rPr>
                    <m:t> d</m:t>
                  </m:r>
                  <m:sSub>
                    <m:sSubPr>
                      <m:ctrlPr>
                        <w:rPr>
                          <w:rFonts w:ascii="Cambria Math" w:hAnsi="Cambria Math"/>
                        </w:rPr>
                      </m:ctrlPr>
                    </m:sSubPr>
                    <m:e>
                      <m:r>
                        <w:rPr>
                          <w:rFonts w:ascii="Cambria Math" w:hAnsi="Cambria Math"/>
                          <w:color w:val="1F4E9E"/>
                        </w:rPr>
                        <m:t>W</m:t>
                      </m:r>
                    </m:e>
                    <m:sub>
                      <m:r>
                        <w:rPr>
                          <w:rFonts w:ascii="Cambria Math" w:hAnsi="Cambria Math"/>
                          <w:color w:val="1F4E9E"/>
                        </w:rPr>
                        <m:t>ε</m:t>
                      </m:r>
                    </m:sub>
                  </m:sSub>
                  <m:d>
                    <m:dPr>
                      <m:ctrlPr>
                        <w:rPr>
                          <w:rFonts w:ascii="Cambria Math" w:hAnsi="Cambria Math"/>
                        </w:rPr>
                      </m:ctrlPr>
                    </m:dPr>
                    <m:e>
                      <m:r>
                        <w:rPr>
                          <w:rFonts w:ascii="Cambria Math" w:hAnsi="Cambria Math"/>
                          <w:color w:val="1F4E9E"/>
                        </w:rPr>
                        <m:t>p</m:t>
                      </m:r>
                    </m:e>
                  </m:d>
                </m:e>
              </m:nary>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V</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ρ</m:t>
                  </m:r>
                </m:e>
              </m:d>
              <m:r>
                <m:rPr>
                  <m:nor/>
                </m:rPr>
                <w:rPr>
                  <w:rFonts w:ascii="Cambria Math" w:hAnsi="Cambria Math"/>
                  <w:color w:val="1F4E9E"/>
                </w:rPr>
                <m:t>=</m:t>
              </m:r>
              <m:r>
                <w:rPr>
                  <w:rFonts w:ascii="Cambria Math" w:hAnsi="Cambria Math"/>
                  <w:color w:val="1F4E9E"/>
                </w:rPr>
                <m:t>λ</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q</m:t>
                          </m:r>
                        </m:e>
                      </m:d>
                    </m:sup>
                  </m:sSup>
                  <m:r>
                    <w:rPr>
                      <w:rFonts w:ascii="Cambria Math" w:hAnsi="Cambria Math"/>
                      <w:color w:val="1F4E9E"/>
                    </w:rPr>
                    <m:t>ε</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q</m:t>
                      </m:r>
                    </m:e>
                  </m:d>
                  <m:r>
                    <m:rPr>
                      <m:nor/>
                    </m:rPr>
                    <w:rPr>
                      <w:rFonts w:ascii="Cambria Math" w:hAnsi="Cambria Math"/>
                      <w:color w:val="1F4E9E"/>
                    </w:rPr>
                    <m:t> d</m:t>
                  </m:r>
                  <m:r>
                    <w:rPr>
                      <w:rFonts w:ascii="Cambria Math" w:hAnsi="Cambria Math"/>
                      <w:color w:val="1F4E9E"/>
                    </w:rPr>
                    <m:t>q</m:t>
                  </m:r>
                </m:e>
              </m:nary>
              <m:r>
                <w:rPr>
                  <w:rFonts w:ascii="Cambria Math" w:hAnsi="Cambria Math"/>
                  <w:color w:val="1F4E9E"/>
                </w:rPr>
                <m:t>#</m:t>
              </m:r>
              <m:d>
                <m:dPr>
                  <m:ctrlPr>
                    <w:rPr>
                      <w:rFonts w:ascii="Cambria Math" w:hAnsi="Cambria Math"/>
                    </w:rPr>
                  </m:ctrlPr>
                </m:dPr>
                <m:e>
                  <m:r>
                    <m:rPr>
                      <m:nor/>
                    </m:rPr>
                    <w:rPr>
                      <w:rFonts w:ascii="Cambria Math" w:hAnsi="Cambria Math"/>
                      <w:color w:val="1F4E9E"/>
                    </w:rPr>
                    <m:t>13</m:t>
                  </m:r>
                </m:e>
              </m:d>
            </m:e>
          </m:eqArr>
        </m:oMath>
      </m:oMathPara>
    </w:p>
    <w:p w14:paraId="44005643" w14:textId="77777777" w:rsidR="00205CBC" w:rsidRDefault="00000000">
      <w:r>
        <w:rPr>
          <w:color w:val="1F4E9E"/>
        </w:rPr>
        <w:t xml:space="preserve">Substituting the first into the second and exchanging the order of integration — permissible because the integrand is bounded on the compact </w:t>
      </w:r>
      <m:oMath>
        <m:r>
          <m:rPr>
            <m:nor/>
          </m:rPr>
          <w:rPr>
            <w:rFonts w:ascii="Cambria Math" w:hAnsi="Cambria Math"/>
            <w:color w:val="1F4E9E"/>
          </w:rPr>
          <m:t>{0≤</m:t>
        </m:r>
        <m:r>
          <w:rPr>
            <w:rFonts w:ascii="Cambria Math" w:hAnsi="Cambria Math"/>
            <w:color w:val="1F4E9E"/>
          </w:rPr>
          <m:t>p</m:t>
        </m:r>
        <m:r>
          <m:rPr>
            <m:nor/>
          </m:rPr>
          <w:rPr>
            <w:rFonts w:ascii="Cambria Math" w:hAnsi="Cambria Math"/>
            <w:color w:val="1F4E9E"/>
          </w:rPr>
          <m:t>≤</m:t>
        </m:r>
        <m:r>
          <w:rPr>
            <w:rFonts w:ascii="Cambria Math" w:hAnsi="Cambria Math"/>
            <w:color w:val="1F4E9E"/>
          </w:rPr>
          <m:t>q</m:t>
        </m:r>
        <m:r>
          <m:rPr>
            <m:nor/>
          </m:rPr>
          <w:rPr>
            <w:rFonts w:ascii="Cambria Math" w:hAnsi="Cambria Math"/>
            <w:color w:val="1F4E9E"/>
          </w:rPr>
          <m:t>≤</m:t>
        </m:r>
        <m:r>
          <w:rPr>
            <w:rFonts w:ascii="Cambria Math" w:hAnsi="Cambria Math"/>
            <w:color w:val="1F4E9E"/>
          </w:rPr>
          <m:t>ρ</m:t>
        </m:r>
        <m:r>
          <m:rPr>
            <m:nor/>
          </m:rPr>
          <w:rPr>
            <w:rFonts w:ascii="Cambria Math" w:hAnsi="Cambria Math"/>
            <w:color w:val="1F4E9E"/>
          </w:rPr>
          <m:t>}</m:t>
        </m:r>
      </m:oMath>
      <w:r>
        <w:rPr>
          <w:color w:val="1F4E9E"/>
        </w:rPr>
        <w:t xml:space="preserve"> — leaves the inner integral </w:t>
      </w:r>
      <m:oMath>
        <m:nary>
          <m:naryPr>
            <m:limLoc m:val="subSup"/>
            <m:ctrlPr>
              <w:rPr>
                <w:rFonts w:ascii="Cambria Math" w:hAnsi="Cambria Math"/>
              </w:rPr>
            </m:ctrlPr>
          </m:naryPr>
          <m:sub>
            <m:r>
              <w:rPr>
                <w:rFonts w:ascii="Cambria Math" w:hAnsi="Cambria Math"/>
                <w:color w:val="1F4E9E"/>
              </w:rPr>
              <m:t>p</m:t>
            </m:r>
          </m:sub>
          <m:sup>
            <m:r>
              <w:rPr>
                <w:rFonts w:ascii="Cambria Math" w:hAnsi="Cambria Math"/>
                <w:color w:val="1F4E9E"/>
              </w:rPr>
              <m:t>ρ</m:t>
            </m:r>
          </m:sup>
          <m:e>
            <m:r>
              <w:rPr>
                <w:rFonts w:ascii="Cambria Math" w:hAnsi="Cambria Math"/>
                <w:color w:val="1F4E9E"/>
              </w:rPr>
              <m:t>λ</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q</m:t>
                    </m:r>
                  </m:e>
                </m:d>
              </m:sup>
            </m:sSup>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κ</m:t>
                </m:r>
                <m:d>
                  <m:dPr>
                    <m:ctrlPr>
                      <w:rPr>
                        <w:rFonts w:ascii="Cambria Math" w:hAnsi="Cambria Math"/>
                      </w:rPr>
                    </m:ctrlPr>
                  </m:dPr>
                  <m:e>
                    <m:r>
                      <w:rPr>
                        <w:rFonts w:ascii="Cambria Math" w:hAnsi="Cambria Math"/>
                        <w:color w:val="1F4E9E"/>
                      </w:rPr>
                      <m:t>q</m:t>
                    </m:r>
                    <m:r>
                      <m:rPr>
                        <m:nor/>
                      </m:rPr>
                      <w:rPr>
                        <w:rFonts w:ascii="Cambria Math" w:hAnsi="Cambria Math"/>
                        <w:color w:val="1F4E9E"/>
                      </w:rPr>
                      <m:t>-</m:t>
                    </m:r>
                    <m:r>
                      <w:rPr>
                        <w:rFonts w:ascii="Cambria Math" w:hAnsi="Cambria Math"/>
                        <w:color w:val="1F4E9E"/>
                      </w:rPr>
                      <m:t>p</m:t>
                    </m:r>
                  </m:e>
                </m:d>
              </m:sup>
            </m:sSup>
            <m:r>
              <m:rPr>
                <m:nor/>
              </m:rPr>
              <w:rPr>
                <w:rFonts w:ascii="Cambria Math" w:hAnsi="Cambria Math"/>
                <w:color w:val="1F4E9E"/>
              </w:rPr>
              <m:t> d</m:t>
            </m:r>
            <m:r>
              <w:rPr>
                <w:rFonts w:ascii="Cambria Math" w:hAnsi="Cambria Math"/>
                <w:color w:val="1F4E9E"/>
              </w:rPr>
              <m:t>q</m:t>
            </m:r>
          </m:e>
        </m:nary>
      </m:oMath>
      <w:r>
        <w:rPr>
          <w:color w:val="1F4E9E"/>
        </w:rPr>
        <w:t xml:space="preserve">, which evaluates to </w:t>
      </w:r>
      <m:oMath>
        <m:r>
          <w:rPr>
            <w:rFonts w:ascii="Cambria Math" w:hAnsi="Cambria Math"/>
            <w:color w:val="1F4E9E"/>
          </w:rPr>
          <m:t>λ</m:t>
        </m:r>
        <m:d>
          <m:dPr>
            <m:ctrlPr>
              <w:rPr>
                <w:rFonts w:ascii="Cambria Math" w:hAnsi="Cambria Math"/>
              </w:rPr>
            </m:ctrlPr>
          </m:dPr>
          <m:e>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κ</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p</m:t>
                    </m:r>
                  </m:e>
                </m:d>
              </m:sup>
            </m:sSup>
            <m:r>
              <m:rPr>
                <m:nor/>
              </m:rPr>
              <w:rPr>
                <w:rFonts w:ascii="Cambria Math" w:hAnsi="Cambria Math"/>
                <w:color w:val="1F4E9E"/>
              </w:rPr>
              <m:t>-</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p</m:t>
                    </m:r>
                  </m:e>
                </m:d>
              </m:sup>
            </m:sSup>
          </m:e>
        </m:d>
        <m:r>
          <m:rPr>
            <m:nor/>
          </m:rPr>
          <w:rPr>
            <w:rFonts w:ascii="Cambria Math" w:hAnsi="Cambria Math"/>
            <w:color w:val="1F4E9E"/>
          </w:rPr>
          <m:t>/</m:t>
        </m:r>
        <m:d>
          <m:dPr>
            <m:ctrlPr>
              <w:rPr>
                <w:rFonts w:ascii="Cambria Math" w:hAnsi="Cambria Math"/>
              </w:rPr>
            </m:ctrlPr>
          </m:dPr>
          <m:e>
            <m:r>
              <w:rPr>
                <w:rFonts w:ascii="Cambria Math" w:hAnsi="Cambria Math"/>
                <w:color w:val="1F4E9E"/>
              </w:rPr>
              <m:t>λ</m:t>
            </m:r>
            <m:r>
              <m:rPr>
                <m:nor/>
              </m:rPr>
              <w:rPr>
                <w:rFonts w:ascii="Cambria Math" w:hAnsi="Cambria Math"/>
                <w:color w:val="1F4E9E"/>
              </w:rPr>
              <m:t>-</m:t>
            </m:r>
            <m:r>
              <w:rPr>
                <w:rFonts w:ascii="Cambria Math" w:hAnsi="Cambria Math"/>
                <w:color w:val="1F4E9E"/>
              </w:rPr>
              <m:t>κ</m:t>
            </m:r>
          </m:e>
        </m:d>
      </m:oMath>
      <w:r>
        <w:rPr>
          <w:color w:val="1F4E9E"/>
        </w:rPr>
        <w:t xml:space="preserve">. Hence </w:t>
      </w:r>
      <m:oMath>
        <m:r>
          <w:rPr>
            <w:rFonts w:ascii="Cambria Math" w:hAnsi="Cambria Math"/>
            <w:color w:val="1F4E9E"/>
          </w:rPr>
          <m:t>V</m:t>
        </m:r>
      </m:oMath>
      <w:r>
        <w:rPr>
          <w:color w:val="1F4E9E"/>
        </w:rPr>
        <w:t xml:space="preserve"> is a Wiener integral against a deterministic kernel,</w:t>
      </w:r>
    </w:p>
    <w:p w14:paraId="5BFA1717" w14:textId="77777777" w:rsidR="00205CBC" w:rsidRDefault="00000000">
      <m:oMathPara>
        <m:oMath>
          <m:eqArr>
            <m:eqArrPr>
              <m:maxDist m:val="1"/>
              <m:ctrlPr>
                <w:rPr>
                  <w:rFonts w:ascii="Cambria Math" w:hAnsi="Cambria Math"/>
                </w:rPr>
              </m:ctrlPr>
            </m:eqArrPr>
            <m:e>
              <m:r>
                <w:rPr>
                  <w:rFonts w:ascii="Cambria Math" w:hAnsi="Cambria Math"/>
                  <w:color w:val="1F4E9E"/>
                </w:rPr>
                <m:t>V</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ρ</m:t>
                  </m:r>
                </m:e>
              </m:d>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r>
                    <w:rPr>
                      <w:rFonts w:ascii="Cambria Math" w:hAnsi="Cambria Math"/>
                      <w:color w:val="1F4E9E"/>
                    </w:rPr>
                    <m:t>K</m:t>
                  </m:r>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p</m:t>
                      </m:r>
                    </m:e>
                  </m:d>
                  <m:r>
                    <m:rPr>
                      <m:nor/>
                    </m:rPr>
                    <w:rPr>
                      <w:rFonts w:ascii="Cambria Math" w:hAnsi="Cambria Math"/>
                      <w:color w:val="1F4E9E"/>
                    </w:rPr>
                    <m:t> d</m:t>
                  </m:r>
                  <m:sSub>
                    <m:sSubPr>
                      <m:ctrlPr>
                        <w:rPr>
                          <w:rFonts w:ascii="Cambria Math" w:hAnsi="Cambria Math"/>
                        </w:rPr>
                      </m:ctrlPr>
                    </m:sSubPr>
                    <m:e>
                      <m:r>
                        <w:rPr>
                          <w:rFonts w:ascii="Cambria Math" w:hAnsi="Cambria Math"/>
                          <w:color w:val="1F4E9E"/>
                        </w:rPr>
                        <m:t>W</m:t>
                      </m:r>
                    </m:e>
                    <m:sub>
                      <m:r>
                        <w:rPr>
                          <w:rFonts w:ascii="Cambria Math" w:hAnsi="Cambria Math"/>
                          <w:color w:val="1F4E9E"/>
                        </w:rPr>
                        <m:t>ε</m:t>
                      </m:r>
                    </m:sub>
                  </m:sSub>
                  <m:d>
                    <m:dPr>
                      <m:ctrlPr>
                        <w:rPr>
                          <w:rFonts w:ascii="Cambria Math" w:hAnsi="Cambria Math"/>
                        </w:rPr>
                      </m:ctrlPr>
                    </m:dPr>
                    <m:e>
                      <m:r>
                        <w:rPr>
                          <w:rFonts w:ascii="Cambria Math" w:hAnsi="Cambria Math"/>
                          <w:color w:val="1F4E9E"/>
                        </w:rPr>
                        <m:t>p</m:t>
                      </m:r>
                    </m:e>
                  </m:d>
                </m:e>
              </m:nary>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K</m:t>
              </m:r>
              <m:d>
                <m:dPr>
                  <m:ctrlPr>
                    <w:rPr>
                      <w:rFonts w:ascii="Cambria Math" w:hAnsi="Cambria Math"/>
                    </w:rPr>
                  </m:ctrlPr>
                </m:dPr>
                <m:e>
                  <m:r>
                    <w:rPr>
                      <w:rFonts w:ascii="Cambria Math" w:hAnsi="Cambria Math"/>
                      <w:color w:val="1F4E9E"/>
                    </w:rPr>
                    <m:t>v</m:t>
                  </m:r>
                </m:e>
              </m:d>
              <m:r>
                <m:rPr>
                  <m:nor/>
                </m:rPr>
                <w:rPr>
                  <w:rFonts w:ascii="Cambria Math" w:hAnsi="Cambria Math"/>
                  <w:color w:val="1F4E9E"/>
                </w:rPr>
                <m:t>=</m:t>
              </m:r>
              <m:f>
                <m:fPr>
                  <m:ctrlPr>
                    <w:rPr>
                      <w:rFonts w:ascii="Cambria Math" w:hAnsi="Cambria Math"/>
                    </w:rPr>
                  </m:ctrlPr>
                </m:fPr>
                <m:num>
                  <m:r>
                    <w:rPr>
                      <w:rFonts w:ascii="Cambria Math" w:hAnsi="Cambria Math"/>
                      <w:color w:val="1F4E9E"/>
                    </w:rPr>
                    <m:t>λ</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num>
                <m:den>
                  <m:r>
                    <w:rPr>
                      <w:rFonts w:ascii="Cambria Math" w:hAnsi="Cambria Math"/>
                      <w:color w:val="1F4E9E"/>
                    </w:rPr>
                    <m:t>λ</m:t>
                  </m:r>
                  <m:r>
                    <m:rPr>
                      <m:nor/>
                    </m:rPr>
                    <w:rPr>
                      <w:rFonts w:ascii="Cambria Math" w:hAnsi="Cambria Math"/>
                      <w:color w:val="1F4E9E"/>
                    </w:rPr>
                    <m:t>-</m:t>
                  </m:r>
                  <m:r>
                    <w:rPr>
                      <w:rFonts w:ascii="Cambria Math" w:hAnsi="Cambria Math"/>
                      <w:color w:val="1F4E9E"/>
                    </w:rPr>
                    <m:t>κ</m:t>
                  </m:r>
                </m:den>
              </m:f>
              <m:d>
                <m:dPr>
                  <m:ctrlPr>
                    <w:rPr>
                      <w:rFonts w:ascii="Cambria Math" w:hAnsi="Cambria Math"/>
                    </w:rPr>
                  </m:ctrlPr>
                </m:dPr>
                <m:e>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κv</m:t>
                      </m:r>
                    </m:sup>
                  </m:sSup>
                  <m:r>
                    <m:rPr>
                      <m:nor/>
                    </m:rPr>
                    <w:rPr>
                      <w:rFonts w:ascii="Cambria Math" w:hAnsi="Cambria Math"/>
                      <w:color w:val="1F4E9E"/>
                    </w:rPr>
                    <m:t>-</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λv</m:t>
                      </m:r>
                    </m:sup>
                  </m:sSup>
                </m:e>
              </m:d>
              <m:r>
                <w:rPr>
                  <w:rFonts w:ascii="Cambria Math" w:hAnsi="Cambria Math"/>
                  <w:color w:val="1F4E9E"/>
                </w:rPr>
                <m:t>#</m:t>
              </m:r>
              <m:d>
                <m:dPr>
                  <m:ctrlPr>
                    <w:rPr>
                      <w:rFonts w:ascii="Cambria Math" w:hAnsi="Cambria Math"/>
                    </w:rPr>
                  </m:ctrlPr>
                </m:dPr>
                <m:e>
                  <m:r>
                    <m:rPr>
                      <m:nor/>
                    </m:rPr>
                    <w:rPr>
                      <w:rFonts w:ascii="Cambria Math" w:hAnsi="Cambria Math"/>
                      <w:color w:val="1F4E9E"/>
                    </w:rPr>
                    <m:t>14</m:t>
                  </m:r>
                </m:e>
              </m:d>
            </m:e>
          </m:eqArr>
        </m:oMath>
      </m:oMathPara>
    </w:p>
    <w:p w14:paraId="2454A386" w14:textId="77777777" w:rsidR="00205CBC" w:rsidRDefault="00000000">
      <w:r>
        <w:rPr>
          <w:color w:val="1F4E9E"/>
        </w:rPr>
        <w:t xml:space="preserve">and is therefore a centred Gaussian process. Two features of </w:t>
      </w:r>
      <m:oMath>
        <m:r>
          <w:rPr>
            <w:rFonts w:ascii="Cambria Math" w:hAnsi="Cambria Math"/>
            <w:color w:val="1F4E9E"/>
          </w:rPr>
          <m:t>K</m:t>
        </m:r>
      </m:oMath>
      <w:r>
        <w:rPr>
          <w:color w:val="1F4E9E"/>
        </w:rPr>
        <w:t xml:space="preserve"> matter below: </w:t>
      </w:r>
      <m:oMath>
        <m:r>
          <w:rPr>
            <w:rFonts w:ascii="Cambria Math" w:hAnsi="Cambria Math"/>
            <w:color w:val="1F4E9E"/>
          </w:rPr>
          <m:t>K</m:t>
        </m:r>
        <m:d>
          <m:dPr>
            <m:ctrlPr>
              <w:rPr>
                <w:rFonts w:ascii="Cambria Math" w:hAnsi="Cambria Math"/>
              </w:rPr>
            </m:ctrlPr>
          </m:dPr>
          <m:e>
            <m:r>
              <m:rPr>
                <m:nor/>
              </m:rPr>
              <w:rPr>
                <w:rFonts w:ascii="Cambria Math" w:hAnsi="Cambria Math"/>
                <w:color w:val="1F4E9E"/>
              </w:rPr>
              <m:t>0</m:t>
            </m:r>
          </m:e>
        </m:d>
        <m:r>
          <m:rPr>
            <m:nor/>
          </m:rPr>
          <w:rPr>
            <w:rFonts w:ascii="Cambria Math" w:hAnsi="Cambria Math"/>
            <w:color w:val="1F4E9E"/>
          </w:rPr>
          <m:t>=0</m:t>
        </m:r>
      </m:oMath>
      <w:r>
        <w:rPr>
          <w:color w:val="1F4E9E"/>
        </w:rPr>
        <w:t xml:space="preserve">, which is what makes </w:t>
      </w:r>
      <m:oMath>
        <m:r>
          <w:rPr>
            <w:rFonts w:ascii="Cambria Math" w:hAnsi="Cambria Math"/>
            <w:color w:val="1F4E9E"/>
          </w:rPr>
          <m:t>V</m:t>
        </m:r>
      </m:oMath>
      <w:r>
        <w:rPr>
          <w:color w:val="1F4E9E"/>
        </w:rPr>
        <w:t xml:space="preserve"> almost surely continuously differentiable, and </w:t>
      </w:r>
      <m:oMath>
        <m:sSup>
          <m:sSupPr>
            <m:ctrlPr>
              <w:rPr>
                <w:rFonts w:ascii="Cambria Math" w:hAnsi="Cambria Math"/>
              </w:rPr>
            </m:ctrlPr>
          </m:sSupPr>
          <m:e>
            <m:r>
              <w:rPr>
                <w:rFonts w:ascii="Cambria Math" w:hAnsi="Cambria Math"/>
                <w:color w:val="1F4E9E"/>
              </w:rPr>
              <m:t>K</m:t>
            </m:r>
          </m:e>
          <m:sup>
            <m:r>
              <m:rPr>
                <m:nor/>
              </m:rPr>
              <w:rPr>
                <w:rFonts w:ascii="Cambria Math" w:hAnsi="Cambria Math"/>
                <w:color w:val="1F4E9E"/>
              </w:rPr>
              <m:t>'</m:t>
            </m:r>
          </m:sup>
        </m:sSup>
        <m:d>
          <m:dPr>
            <m:ctrlPr>
              <w:rPr>
                <w:rFonts w:ascii="Cambria Math" w:hAnsi="Cambria Math"/>
              </w:rPr>
            </m:ctrlPr>
          </m:dPr>
          <m:e>
            <m:r>
              <m:rPr>
                <m:nor/>
              </m:rPr>
              <w:rPr>
                <w:rFonts w:ascii="Cambria Math" w:hAnsi="Cambria Math"/>
                <w:color w:val="1F4E9E"/>
              </w:rPr>
              <m:t>0</m:t>
            </m:r>
          </m:e>
        </m:d>
        <m:r>
          <m:rPr>
            <m:nor/>
          </m:rPr>
          <w:rPr>
            <w:rFonts w:ascii="Cambria Math" w:hAnsi="Cambria Math"/>
            <w:color w:val="1F4E9E"/>
          </w:rPr>
          <m:t>=</m:t>
        </m:r>
        <m:r>
          <w:rPr>
            <w:rFonts w:ascii="Cambria Math" w:hAnsi="Cambria Math"/>
            <w:color w:val="1F4E9E"/>
          </w:rPr>
          <m:t>λ</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oMath>
      <w:r>
        <w:rPr>
          <w:color w:val="1F4E9E"/>
        </w:rPr>
        <w:t xml:space="preserve">. In the degenerate </w:t>
      </w:r>
      <w:r>
        <w:rPr>
          <w:color w:val="1F4E9E"/>
        </w:rPr>
        <w:lastRenderedPageBreak/>
        <w:t xml:space="preserve">case </w:t>
      </w:r>
      <m:oMath>
        <m:r>
          <w:rPr>
            <w:rFonts w:ascii="Cambria Math" w:hAnsi="Cambria Math"/>
            <w:color w:val="1F4E9E"/>
          </w:rPr>
          <m:t>κ</m:t>
        </m:r>
        <m:r>
          <m:rPr>
            <m:nor/>
          </m:rPr>
          <w:rPr>
            <w:rFonts w:ascii="Cambria Math" w:hAnsi="Cambria Math"/>
            <w:color w:val="1F4E9E"/>
          </w:rPr>
          <m:t>=</m:t>
        </m:r>
        <m:r>
          <w:rPr>
            <w:rFonts w:ascii="Cambria Math" w:hAnsi="Cambria Math"/>
            <w:color w:val="1F4E9E"/>
          </w:rPr>
          <m:t>λ</m:t>
        </m:r>
      </m:oMath>
      <w:r>
        <w:rPr>
          <w:color w:val="1F4E9E"/>
        </w:rPr>
        <w:t xml:space="preserve"> the same computation gives </w:t>
      </w:r>
      <m:oMath>
        <m:r>
          <w:rPr>
            <w:rFonts w:ascii="Cambria Math" w:hAnsi="Cambria Math"/>
            <w:color w:val="1F4E9E"/>
          </w:rPr>
          <m:t>K</m:t>
        </m:r>
        <m:d>
          <m:dPr>
            <m:ctrlPr>
              <w:rPr>
                <w:rFonts w:ascii="Cambria Math" w:hAnsi="Cambria Math"/>
              </w:rPr>
            </m:ctrlPr>
          </m:dPr>
          <m:e>
            <m:r>
              <w:rPr>
                <w:rFonts w:ascii="Cambria Math" w:hAnsi="Cambria Math"/>
                <w:color w:val="1F4E9E"/>
              </w:rPr>
              <m:t>v</m:t>
            </m:r>
          </m:e>
        </m:d>
        <m:r>
          <m:rPr>
            <m:nor/>
          </m:rPr>
          <w:rPr>
            <w:rFonts w:ascii="Cambria Math" w:hAnsi="Cambria Math"/>
            <w:color w:val="1F4E9E"/>
          </w:rPr>
          <m:t>=</m:t>
        </m:r>
        <m:r>
          <w:rPr>
            <w:rFonts w:ascii="Cambria Math" w:hAnsi="Cambria Math"/>
            <w:color w:val="1F4E9E"/>
          </w:rPr>
          <m:t>λ</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r>
          <w:rPr>
            <w:rFonts w:ascii="Cambria Math" w:hAnsi="Cambria Math"/>
            <w:color w:val="1F4E9E"/>
          </w:rPr>
          <m:t>v</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λv</m:t>
            </m:r>
          </m:sup>
        </m:sSup>
      </m:oMath>
      <w:r>
        <w:rPr>
          <w:color w:val="1F4E9E"/>
        </w:rPr>
        <w:t>, the limit of (14); the singularity is removable and no result below depends on it.</w:t>
      </w:r>
    </w:p>
    <w:p w14:paraId="5E12212C" w14:textId="77777777" w:rsidR="00205CBC" w:rsidRDefault="00000000">
      <w:r>
        <w:rPr>
          <w:color w:val="1F4E9E"/>
        </w:rPr>
        <w:t xml:space="preserve">Differentiating (14) under the integral, and using </w:t>
      </w:r>
      <m:oMath>
        <m:r>
          <w:rPr>
            <w:rFonts w:ascii="Cambria Math" w:hAnsi="Cambria Math"/>
            <w:color w:val="1F4E9E"/>
          </w:rPr>
          <m:t>K</m:t>
        </m:r>
        <m:d>
          <m:dPr>
            <m:ctrlPr>
              <w:rPr>
                <w:rFonts w:ascii="Cambria Math" w:hAnsi="Cambria Math"/>
              </w:rPr>
            </m:ctrlPr>
          </m:dPr>
          <m:e>
            <m:r>
              <m:rPr>
                <m:nor/>
              </m:rPr>
              <w:rPr>
                <w:rFonts w:ascii="Cambria Math" w:hAnsi="Cambria Math"/>
                <w:color w:val="1F4E9E"/>
              </w:rPr>
              <m:t>0</m:t>
            </m:r>
          </m:e>
        </m:d>
        <m:r>
          <m:rPr>
            <m:nor/>
          </m:rPr>
          <w:rPr>
            <w:rFonts w:ascii="Cambria Math" w:hAnsi="Cambria Math"/>
            <w:color w:val="1F4E9E"/>
          </w:rPr>
          <m:t>=0</m:t>
        </m:r>
      </m:oMath>
      <w:r>
        <w:rPr>
          <w:color w:val="1F4E9E"/>
        </w:rPr>
        <w:t xml:space="preserve"> to kill the boundary term, gives </w:t>
      </w:r>
      <m:oMath>
        <m:acc>
          <m:accPr>
            <m:chr m:val="̇"/>
            <m:ctrlPr>
              <w:rPr>
                <w:rFonts w:ascii="Cambria Math" w:hAnsi="Cambria Math"/>
              </w:rPr>
            </m:ctrlPr>
          </m:accPr>
          <m:e>
            <m:r>
              <w:rPr>
                <w:rFonts w:ascii="Cambria Math" w:hAnsi="Cambria Math"/>
                <w:color w:val="1F4E9E"/>
              </w:rPr>
              <m:t>V</m:t>
            </m:r>
          </m:e>
        </m:acc>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ρ</m:t>
            </m:r>
          </m:e>
        </m:d>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sSup>
              <m:sSupPr>
                <m:ctrlPr>
                  <w:rPr>
                    <w:rFonts w:ascii="Cambria Math" w:hAnsi="Cambria Math"/>
                  </w:rPr>
                </m:ctrlPr>
              </m:sSupPr>
              <m:e>
                <m:r>
                  <w:rPr>
                    <w:rFonts w:ascii="Cambria Math" w:hAnsi="Cambria Math"/>
                    <w:color w:val="1F4E9E"/>
                  </w:rPr>
                  <m:t>K</m:t>
                </m:r>
              </m:e>
              <m:sup>
                <m:r>
                  <m:rPr>
                    <m:nor/>
                  </m:rPr>
                  <w:rPr>
                    <w:rFonts w:ascii="Cambria Math" w:hAnsi="Cambria Math"/>
                    <w:color w:val="1F4E9E"/>
                  </w:rPr>
                  <m:t>'</m:t>
                </m:r>
              </m:sup>
            </m:sSup>
            <m:d>
              <m:dPr>
                <m:ctrlPr>
                  <w:rPr>
                    <w:rFonts w:ascii="Cambria Math" w:hAnsi="Cambria Math"/>
                  </w:rPr>
                </m:ctrlPr>
              </m:dPr>
              <m:e>
                <m:r>
                  <w:rPr>
                    <w:rFonts w:ascii="Cambria Math" w:hAnsi="Cambria Math"/>
                    <w:color w:val="1F4E9E"/>
                  </w:rPr>
                  <m:t>ρ</m:t>
                </m:r>
                <m:r>
                  <m:rPr>
                    <m:nor/>
                  </m:rPr>
                  <w:rPr>
                    <w:rFonts w:ascii="Cambria Math" w:hAnsi="Cambria Math"/>
                    <w:color w:val="1F4E9E"/>
                  </w:rPr>
                  <m:t>-</m:t>
                </m:r>
                <m:r>
                  <w:rPr>
                    <w:rFonts w:ascii="Cambria Math" w:hAnsi="Cambria Math"/>
                    <w:color w:val="1F4E9E"/>
                  </w:rPr>
                  <m:t>p</m:t>
                </m:r>
              </m:e>
            </m:d>
            <m:r>
              <m:rPr>
                <m:nor/>
              </m:rPr>
              <w:rPr>
                <w:rFonts w:ascii="Cambria Math" w:hAnsi="Cambria Math"/>
                <w:color w:val="1F4E9E"/>
              </w:rPr>
              <m:t> d</m:t>
            </m:r>
            <m:sSub>
              <m:sSubPr>
                <m:ctrlPr>
                  <w:rPr>
                    <w:rFonts w:ascii="Cambria Math" w:hAnsi="Cambria Math"/>
                  </w:rPr>
                </m:ctrlPr>
              </m:sSubPr>
              <m:e>
                <m:r>
                  <w:rPr>
                    <w:rFonts w:ascii="Cambria Math" w:hAnsi="Cambria Math"/>
                    <w:color w:val="1F4E9E"/>
                  </w:rPr>
                  <m:t>W</m:t>
                </m:r>
              </m:e>
              <m:sub>
                <m:r>
                  <w:rPr>
                    <w:rFonts w:ascii="Cambria Math" w:hAnsi="Cambria Math"/>
                    <w:color w:val="1F4E9E"/>
                  </w:rPr>
                  <m:t>ε</m:t>
                </m:r>
              </m:sub>
            </m:sSub>
            <m:d>
              <m:dPr>
                <m:ctrlPr>
                  <w:rPr>
                    <w:rFonts w:ascii="Cambria Math" w:hAnsi="Cambria Math"/>
                  </w:rPr>
                </m:ctrlPr>
              </m:dPr>
              <m:e>
                <m:r>
                  <w:rPr>
                    <w:rFonts w:ascii="Cambria Math" w:hAnsi="Cambria Math"/>
                    <w:color w:val="1F4E9E"/>
                  </w:rPr>
                  <m:t>p</m:t>
                </m:r>
              </m:e>
            </m:d>
          </m:e>
        </m:nary>
      </m:oMath>
      <w:r>
        <w:rPr>
          <w:color w:val="1F4E9E"/>
        </w:rPr>
        <w:t xml:space="preserve">. Writing </w:t>
      </w:r>
      <m:oMath>
        <m:r>
          <w:rPr>
            <w:rFonts w:ascii="Cambria Math" w:hAnsi="Cambria Math"/>
            <w:color w:val="1F4E9E"/>
          </w:rPr>
          <m:t>s</m:t>
        </m:r>
      </m:oMath>
      <w:r>
        <w:rPr>
          <w:color w:val="1F4E9E"/>
        </w:rPr>
        <w:t xml:space="preserve">, </w:t>
      </w:r>
      <m:oMath>
        <m:r>
          <w:rPr>
            <w:rFonts w:ascii="Cambria Math" w:hAnsi="Cambria Math"/>
            <w:color w:val="1F4E9E"/>
          </w:rPr>
          <m:t>u</m:t>
        </m:r>
      </m:oMath>
      <w:r>
        <w:rPr>
          <w:color w:val="1F4E9E"/>
        </w:rPr>
        <w:t xml:space="preserve"> and </w:t>
      </w:r>
      <m:oMath>
        <m:r>
          <w:rPr>
            <w:rFonts w:ascii="Cambria Math" w:hAnsi="Cambria Math"/>
            <w:color w:val="1F4E9E"/>
          </w:rPr>
          <m:t>w</m:t>
        </m:r>
      </m:oMath>
      <w:r>
        <w:rPr>
          <w:color w:val="1F4E9E"/>
        </w:rPr>
        <w:t xml:space="preserve"> for the variance of </w:t>
      </w:r>
      <m:oMath>
        <m:r>
          <w:rPr>
            <w:rFonts w:ascii="Cambria Math" w:hAnsi="Cambria Math"/>
            <w:color w:val="1F4E9E"/>
          </w:rPr>
          <m:t>V</m:t>
        </m:r>
      </m:oMath>
      <w:r>
        <w:rPr>
          <w:color w:val="1F4E9E"/>
        </w:rPr>
        <w:t xml:space="preserve">, the variance of </w:t>
      </w:r>
      <m:oMath>
        <m:acc>
          <m:accPr>
            <m:chr m:val="̇"/>
            <m:ctrlPr>
              <w:rPr>
                <w:rFonts w:ascii="Cambria Math" w:hAnsi="Cambria Math"/>
              </w:rPr>
            </m:ctrlPr>
          </m:accPr>
          <m:e>
            <m:r>
              <w:rPr>
                <w:rFonts w:ascii="Cambria Math" w:hAnsi="Cambria Math"/>
                <w:color w:val="1F4E9E"/>
              </w:rPr>
              <m:t>V</m:t>
            </m:r>
          </m:e>
        </m:acc>
      </m:oMath>
      <w:r>
        <w:rPr>
          <w:color w:val="1F4E9E"/>
        </w:rPr>
        <w:t xml:space="preserve"> and their covariance, the Itô isometry gives all three directly as integrals of the kernel:</w:t>
      </w:r>
    </w:p>
    <w:p w14:paraId="788F787C" w14:textId="77777777" w:rsidR="00205CBC" w:rsidRDefault="00000000">
      <m:oMathPara>
        <m:oMath>
          <m:eqArr>
            <m:eqArrPr>
              <m:maxDist m:val="1"/>
              <m:ctrlPr>
                <w:rPr>
                  <w:rFonts w:ascii="Cambria Math" w:hAnsi="Cambria Math"/>
                </w:rPr>
              </m:ctrlPr>
            </m:eqArrPr>
            <m:e>
              <m:r>
                <w:rPr>
                  <w:rFonts w:ascii="Cambria Math" w:hAnsi="Cambria Math"/>
                  <w:color w:val="1F4E9E"/>
                </w:rPr>
                <m:t>s</m:t>
              </m:r>
              <m:d>
                <m:dPr>
                  <m:ctrlPr>
                    <w:rPr>
                      <w:rFonts w:ascii="Cambria Math" w:hAnsi="Cambria Math"/>
                    </w:rPr>
                  </m:ctrlPr>
                </m:dPr>
                <m:e>
                  <m:r>
                    <w:rPr>
                      <w:rFonts w:ascii="Cambria Math" w:hAnsi="Cambria Math"/>
                      <w:color w:val="1F4E9E"/>
                    </w:rPr>
                    <m:t>ρ</m:t>
                  </m:r>
                </m:e>
              </m:d>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v</m:t>
                          </m:r>
                        </m:e>
                      </m:d>
                    </m:e>
                    <m:sup>
                      <m:r>
                        <m:rPr>
                          <m:nor/>
                        </m:rPr>
                        <w:rPr>
                          <w:rFonts w:ascii="Cambria Math" w:hAnsi="Cambria Math"/>
                          <w:color w:val="1F4E9E"/>
                        </w:rPr>
                        <m:t>2</m:t>
                      </m:r>
                    </m:sup>
                  </m:sSup>
                  <m:r>
                    <m:rPr>
                      <m:nor/>
                    </m:rPr>
                    <w:rPr>
                      <w:rFonts w:ascii="Cambria Math" w:hAnsi="Cambria Math"/>
                      <w:color w:val="1F4E9E"/>
                    </w:rPr>
                    <m:t> d</m:t>
                  </m:r>
                  <m:r>
                    <w:rPr>
                      <w:rFonts w:ascii="Cambria Math" w:hAnsi="Cambria Math"/>
                      <w:color w:val="1F4E9E"/>
                    </w:rPr>
                    <m:t>v</m:t>
                  </m:r>
                </m:e>
              </m:nary>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u</m:t>
              </m:r>
              <m:d>
                <m:dPr>
                  <m:ctrlPr>
                    <w:rPr>
                      <w:rFonts w:ascii="Cambria Math" w:hAnsi="Cambria Math"/>
                    </w:rPr>
                  </m:ctrlPr>
                </m:dPr>
                <m:e>
                  <m:r>
                    <w:rPr>
                      <w:rFonts w:ascii="Cambria Math" w:hAnsi="Cambria Math"/>
                      <w:color w:val="1F4E9E"/>
                    </w:rPr>
                    <m:t>ρ</m:t>
                  </m:r>
                </m:e>
              </m:d>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sSup>
                    <m:sSupPr>
                      <m:ctrlPr>
                        <w:rPr>
                          <w:rFonts w:ascii="Cambria Math" w:hAnsi="Cambria Math"/>
                        </w:rPr>
                      </m:ctrlPr>
                    </m:sSupPr>
                    <m:e>
                      <m:r>
                        <w:rPr>
                          <w:rFonts w:ascii="Cambria Math" w:hAnsi="Cambria Math"/>
                          <w:color w:val="1F4E9E"/>
                        </w:rPr>
                        <m:t>K</m:t>
                      </m:r>
                    </m:e>
                    <m:sup>
                      <m:r>
                        <m:rPr>
                          <m:nor/>
                        </m:rPr>
                        <w:rPr>
                          <w:rFonts w:ascii="Cambria Math" w:hAnsi="Cambria Math"/>
                          <w:color w:val="1F4E9E"/>
                        </w:rPr>
                        <m:t>'</m:t>
                      </m:r>
                    </m:sup>
                  </m:sSup>
                  <m:sSup>
                    <m:sSupPr>
                      <m:ctrlPr>
                        <w:rPr>
                          <w:rFonts w:ascii="Cambria Math" w:hAnsi="Cambria Math"/>
                        </w:rPr>
                      </m:ctrlPr>
                    </m:sSupPr>
                    <m:e>
                      <m:d>
                        <m:dPr>
                          <m:ctrlPr>
                            <w:rPr>
                              <w:rFonts w:ascii="Cambria Math" w:hAnsi="Cambria Math"/>
                            </w:rPr>
                          </m:ctrlPr>
                        </m:dPr>
                        <m:e>
                          <m:r>
                            <w:rPr>
                              <w:rFonts w:ascii="Cambria Math" w:hAnsi="Cambria Math"/>
                              <w:color w:val="1F4E9E"/>
                            </w:rPr>
                            <m:t>v</m:t>
                          </m:r>
                        </m:e>
                      </m:d>
                    </m:e>
                    <m:sup>
                      <m:r>
                        <m:rPr>
                          <m:nor/>
                        </m:rPr>
                        <w:rPr>
                          <w:rFonts w:ascii="Cambria Math" w:hAnsi="Cambria Math"/>
                          <w:color w:val="1F4E9E"/>
                        </w:rPr>
                        <m:t>2</m:t>
                      </m:r>
                    </m:sup>
                  </m:sSup>
                  <m:r>
                    <m:rPr>
                      <m:nor/>
                    </m:rPr>
                    <w:rPr>
                      <w:rFonts w:ascii="Cambria Math" w:hAnsi="Cambria Math"/>
                      <w:color w:val="1F4E9E"/>
                    </w:rPr>
                    <m:t> d</m:t>
                  </m:r>
                  <m:r>
                    <w:rPr>
                      <w:rFonts w:ascii="Cambria Math" w:hAnsi="Cambria Math"/>
                      <w:color w:val="1F4E9E"/>
                    </w:rPr>
                    <m:t>v</m:t>
                  </m:r>
                </m:e>
              </m:nary>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w</m:t>
              </m:r>
              <m:d>
                <m:dPr>
                  <m:ctrlPr>
                    <w:rPr>
                      <w:rFonts w:ascii="Cambria Math" w:hAnsi="Cambria Math"/>
                    </w:rPr>
                  </m:ctrlPr>
                </m:dPr>
                <m:e>
                  <m:r>
                    <w:rPr>
                      <w:rFonts w:ascii="Cambria Math" w:hAnsi="Cambria Math"/>
                      <w:color w:val="1F4E9E"/>
                    </w:rPr>
                    <m:t>ρ</m:t>
                  </m:r>
                </m:e>
              </m:d>
              <m:r>
                <m:rPr>
                  <m:nor/>
                </m:rPr>
                <w:rPr>
                  <w:rFonts w:ascii="Cambria Math" w:hAnsi="Cambria Math"/>
                  <w:color w:val="1F4E9E"/>
                </w:rPr>
                <m:t>=</m:t>
              </m:r>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ρ</m:t>
                  </m:r>
                </m:sup>
                <m:e>
                  <m:r>
                    <w:rPr>
                      <w:rFonts w:ascii="Cambria Math" w:hAnsi="Cambria Math"/>
                      <w:color w:val="1F4E9E"/>
                    </w:rPr>
                    <m:t>K</m:t>
                  </m:r>
                  <m:d>
                    <m:dPr>
                      <m:ctrlPr>
                        <w:rPr>
                          <w:rFonts w:ascii="Cambria Math" w:hAnsi="Cambria Math"/>
                        </w:rPr>
                      </m:ctrlPr>
                    </m:dPr>
                    <m:e>
                      <m:r>
                        <w:rPr>
                          <w:rFonts w:ascii="Cambria Math" w:hAnsi="Cambria Math"/>
                          <w:color w:val="1F4E9E"/>
                        </w:rPr>
                        <m:t>v</m:t>
                      </m:r>
                    </m:e>
                  </m:d>
                  <m:sSup>
                    <m:sSupPr>
                      <m:ctrlPr>
                        <w:rPr>
                          <w:rFonts w:ascii="Cambria Math" w:hAnsi="Cambria Math"/>
                        </w:rPr>
                      </m:ctrlPr>
                    </m:sSupPr>
                    <m:e>
                      <m:r>
                        <w:rPr>
                          <w:rFonts w:ascii="Cambria Math" w:hAnsi="Cambria Math"/>
                          <w:color w:val="1F4E9E"/>
                        </w:rPr>
                        <m:t>K</m:t>
                      </m:r>
                    </m:e>
                    <m:sup>
                      <m:r>
                        <m:rPr>
                          <m:nor/>
                        </m:rPr>
                        <w:rPr>
                          <w:rFonts w:ascii="Cambria Math" w:hAnsi="Cambria Math"/>
                          <w:color w:val="1F4E9E"/>
                        </w:rPr>
                        <m:t>'</m:t>
                      </m:r>
                    </m:sup>
                  </m:sSup>
                  <m:d>
                    <m:dPr>
                      <m:ctrlPr>
                        <w:rPr>
                          <w:rFonts w:ascii="Cambria Math" w:hAnsi="Cambria Math"/>
                        </w:rPr>
                      </m:ctrlPr>
                    </m:dPr>
                    <m:e>
                      <m:r>
                        <w:rPr>
                          <w:rFonts w:ascii="Cambria Math" w:hAnsi="Cambria Math"/>
                          <w:color w:val="1F4E9E"/>
                        </w:rPr>
                        <m:t>v</m:t>
                      </m:r>
                    </m:e>
                  </m:d>
                  <m:r>
                    <m:rPr>
                      <m:nor/>
                    </m:rPr>
                    <w:rPr>
                      <w:rFonts w:ascii="Cambria Math" w:hAnsi="Cambria Math"/>
                      <w:color w:val="1F4E9E"/>
                    </w:rPr>
                    <m:t> d</m:t>
                  </m:r>
                  <m:r>
                    <w:rPr>
                      <w:rFonts w:ascii="Cambria Math" w:hAnsi="Cambria Math"/>
                      <w:color w:val="1F4E9E"/>
                    </w:rPr>
                    <m:t>v</m:t>
                  </m:r>
                </m:e>
              </m:nary>
              <m:r>
                <m:rPr>
                  <m:nor/>
                </m:rPr>
                <w:rPr>
                  <w:rFonts w:ascii="Cambria Math" w:hAnsi="Cambria Math"/>
                  <w:color w:val="1F4E9E"/>
                </w:rPr>
                <m:t>=</m:t>
              </m:r>
              <m:f>
                <m:fPr>
                  <m:type m:val="lin"/>
                  <m:ctrlPr>
                    <w:rPr>
                      <w:rFonts w:ascii="Cambria Math" w:hAnsi="Cambria Math"/>
                    </w:rPr>
                  </m:ctrlPr>
                </m:fPr>
                <m:num>
                  <m:r>
                    <m:rPr>
                      <m:nor/>
                    </m:rPr>
                    <w:rPr>
                      <w:rFonts w:ascii="Cambria Math" w:hAnsi="Cambria Math"/>
                      <w:color w:val="1F4E9E"/>
                    </w:rPr>
                    <m:t>1</m:t>
                  </m:r>
                </m:num>
                <m:den>
                  <m:r>
                    <m:rPr>
                      <m:nor/>
                    </m:rPr>
                    <w:rPr>
                      <w:rFonts w:ascii="Cambria Math" w:hAnsi="Cambria Math"/>
                      <w:color w:val="1F4E9E"/>
                    </w:rPr>
                    <m:t>2</m:t>
                  </m:r>
                </m:den>
              </m:f>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ρ</m:t>
                      </m:r>
                    </m:e>
                  </m:d>
                </m:e>
                <m:sup>
                  <m:r>
                    <m:rPr>
                      <m:nor/>
                    </m:rPr>
                    <w:rPr>
                      <w:rFonts w:ascii="Cambria Math" w:hAnsi="Cambria Math"/>
                      <w:color w:val="1F4E9E"/>
                    </w:rPr>
                    <m:t>2</m:t>
                  </m:r>
                </m:sup>
              </m:sSup>
              <m:r>
                <w:rPr>
                  <w:rFonts w:ascii="Cambria Math" w:hAnsi="Cambria Math"/>
                  <w:color w:val="1F4E9E"/>
                </w:rPr>
                <m:t>#</m:t>
              </m:r>
              <m:d>
                <m:dPr>
                  <m:ctrlPr>
                    <w:rPr>
                      <w:rFonts w:ascii="Cambria Math" w:hAnsi="Cambria Math"/>
                    </w:rPr>
                  </m:ctrlPr>
                </m:dPr>
                <m:e>
                  <m:r>
                    <m:rPr>
                      <m:nor/>
                    </m:rPr>
                    <w:rPr>
                      <w:rFonts w:ascii="Cambria Math" w:hAnsi="Cambria Math"/>
                      <w:color w:val="1F4E9E"/>
                    </w:rPr>
                    <m:t>15</m:t>
                  </m:r>
                </m:e>
              </m:d>
            </m:e>
          </m:eqArr>
        </m:oMath>
      </m:oMathPara>
    </w:p>
    <w:p w14:paraId="330E35A4" w14:textId="77777777" w:rsidR="00205CBC" w:rsidRDefault="00000000">
      <w:r>
        <w:rPr>
          <w:color w:val="1F4E9E"/>
        </w:rPr>
        <w:t xml:space="preserve">The last of these is worth stating in the equivalent form </w:t>
      </w:r>
      <m:oMath>
        <m:r>
          <w:rPr>
            <w:rFonts w:ascii="Cambria Math" w:hAnsi="Cambria Math"/>
            <w:color w:val="1F4E9E"/>
          </w:rPr>
          <m:t>w</m:t>
        </m:r>
        <m:r>
          <m:rPr>
            <m:nor/>
          </m:rPr>
          <w:rPr>
            <w:rFonts w:ascii="Cambria Math" w:hAnsi="Cambria Math"/>
            <w:color w:val="1F4E9E"/>
          </w:rPr>
          <m:t>=</m:t>
        </m:r>
        <m:f>
          <m:fPr>
            <m:type m:val="lin"/>
            <m:ctrlPr>
              <w:rPr>
                <w:rFonts w:ascii="Cambria Math" w:hAnsi="Cambria Math"/>
              </w:rPr>
            </m:ctrlPr>
          </m:fPr>
          <m:num>
            <m:r>
              <m:rPr>
                <m:nor/>
              </m:rPr>
              <w:rPr>
                <w:rFonts w:ascii="Cambria Math" w:hAnsi="Cambria Math"/>
                <w:color w:val="1F4E9E"/>
              </w:rPr>
              <m:t>1</m:t>
            </m:r>
          </m:num>
          <m:den>
            <m:r>
              <m:rPr>
                <m:nor/>
              </m:rPr>
              <w:rPr>
                <w:rFonts w:ascii="Cambria Math" w:hAnsi="Cambria Math"/>
                <w:color w:val="1F4E9E"/>
              </w:rPr>
              <m:t>2</m:t>
            </m:r>
          </m:den>
        </m:f>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oMath>
      <w:r>
        <w:rPr>
          <w:color w:val="1F4E9E"/>
        </w:rPr>
        <w:t xml:space="preserve">, which holds for any process and is the only property of the covariance used below. Writing </w:t>
      </w:r>
      <m:oMath>
        <m:r>
          <w:rPr>
            <w:rFonts w:ascii="Cambria Math" w:hAnsi="Cambria Math"/>
            <w:color w:val="1F4E9E"/>
          </w:rPr>
          <m:t>G</m:t>
        </m:r>
        <m:r>
          <m:rPr>
            <m:nor/>
          </m:rPr>
          <w:rPr>
            <w:rFonts w:ascii="Cambria Math" w:hAnsi="Cambria Math"/>
            <w:color w:val="1F4E9E"/>
          </w:rPr>
          <m:t>:=</m:t>
        </m:r>
        <m:r>
          <w:rPr>
            <w:rFonts w:ascii="Cambria Math" w:hAnsi="Cambria Math"/>
            <w:color w:val="1F4E9E"/>
          </w:rPr>
          <m:t>λ</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r>
          <m:rPr>
            <m:nor/>
          </m:rPr>
          <w:rPr>
            <w:rFonts w:ascii="Cambria Math" w:hAnsi="Cambria Math"/>
            <w:color w:val="1F4E9E"/>
          </w:rPr>
          <m:t>/</m:t>
        </m:r>
        <m:d>
          <m:dPr>
            <m:ctrlPr>
              <w:rPr>
                <w:rFonts w:ascii="Cambria Math" w:hAnsi="Cambria Math"/>
              </w:rPr>
            </m:ctrlPr>
          </m:dPr>
          <m:e>
            <m:r>
              <w:rPr>
                <w:rFonts w:ascii="Cambria Math" w:hAnsi="Cambria Math"/>
                <w:color w:val="1F4E9E"/>
              </w:rPr>
              <m:t>λ</m:t>
            </m:r>
            <m:r>
              <m:rPr>
                <m:nor/>
              </m:rPr>
              <w:rPr>
                <w:rFonts w:ascii="Cambria Math" w:hAnsi="Cambria Math"/>
                <w:color w:val="1F4E9E"/>
              </w:rPr>
              <m:t>-</m:t>
            </m:r>
            <m:r>
              <w:rPr>
                <w:rFonts w:ascii="Cambria Math" w:hAnsi="Cambria Math"/>
                <w:color w:val="1F4E9E"/>
              </w:rPr>
              <m:t>κ</m:t>
            </m:r>
          </m:e>
        </m:d>
      </m:oMath>
      <w:r>
        <w:rPr>
          <w:color w:val="1F4E9E"/>
        </w:rPr>
        <w:t xml:space="preserve"> and evaluating the two remaining integrals term by term,</w:t>
      </w:r>
    </w:p>
    <w:p w14:paraId="432CB383" w14:textId="77777777" w:rsidR="00205CBC" w:rsidRDefault="00000000">
      <m:oMathPara>
        <m:oMath>
          <m:eqArr>
            <m:eqArrPr>
              <m:maxDist m:val="1"/>
              <m:ctrlPr>
                <w:rPr>
                  <w:rFonts w:ascii="Cambria Math" w:hAnsi="Cambria Math"/>
                </w:rPr>
              </m:ctrlPr>
            </m:eqArrPr>
            <m:e>
              <m:r>
                <w:rPr>
                  <w:rFonts w:ascii="Cambria Math" w:hAnsi="Cambria Math"/>
                  <w:color w:val="1F4E9E"/>
                </w:rPr>
                <m:t>s</m:t>
              </m:r>
              <m:d>
                <m:dPr>
                  <m:ctrlPr>
                    <w:rPr>
                      <w:rFonts w:ascii="Cambria Math" w:hAnsi="Cambria Math"/>
                    </w:rPr>
                  </m:ctrlPr>
                </m:dPr>
                <m:e>
                  <m:r>
                    <w:rPr>
                      <w:rFonts w:ascii="Cambria Math" w:hAnsi="Cambria Math"/>
                      <w:color w:val="1F4E9E"/>
                    </w:rPr>
                    <m:t>ρ</m:t>
                  </m:r>
                </m:e>
              </m:d>
              <m:r>
                <m:rPr>
                  <m:nor/>
                </m:rPr>
                <w:rPr>
                  <w:rFonts w:ascii="Cambria Math" w:hAnsi="Cambria Math"/>
                  <w:color w:val="1F4E9E"/>
                </w:rPr>
                <m:t>=</m:t>
              </m:r>
              <m:sSup>
                <m:sSupPr>
                  <m:ctrlPr>
                    <w:rPr>
                      <w:rFonts w:ascii="Cambria Math" w:hAnsi="Cambria Math"/>
                    </w:rPr>
                  </m:ctrlPr>
                </m:sSupPr>
                <m:e>
                  <m:r>
                    <w:rPr>
                      <w:rFonts w:ascii="Cambria Math" w:hAnsi="Cambria Math"/>
                      <w:color w:val="1F4E9E"/>
                    </w:rPr>
                    <m:t>G</m:t>
                  </m:r>
                </m:e>
                <m:sup>
                  <m:r>
                    <m:rPr>
                      <m:nor/>
                    </m:rPr>
                    <w:rPr>
                      <w:rFonts w:ascii="Cambria Math" w:hAnsi="Cambria Math"/>
                      <w:color w:val="1F4E9E"/>
                    </w:rPr>
                    <m:t>2</m:t>
                  </m:r>
                </m:sup>
              </m:sSup>
              <m:d>
                <m:dPr>
                  <m:begChr m:val="["/>
                  <m:endChr m:val="]"/>
                  <m:ctrlPr>
                    <w:rPr>
                      <w:rFonts w:ascii="Cambria Math" w:hAnsi="Cambria Math"/>
                    </w:rPr>
                  </m:ctrlPr>
                </m:dPr>
                <m:e>
                  <m:f>
                    <m:fPr>
                      <m:ctrlPr>
                        <w:rPr>
                          <w:rFonts w:ascii="Cambria Math" w:hAnsi="Cambria Math"/>
                        </w:rPr>
                      </m:ctrlPr>
                    </m:fPr>
                    <m:num>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κρ</m:t>
                          </m:r>
                        </m:sup>
                      </m:sSup>
                    </m:num>
                    <m:den>
                      <m:r>
                        <m:rPr>
                          <m:nor/>
                        </m:rPr>
                        <w:rPr>
                          <w:rFonts w:ascii="Cambria Math" w:hAnsi="Cambria Math"/>
                          <w:color w:val="1F4E9E"/>
                        </w:rPr>
                        <m:t>2</m:t>
                      </m:r>
                      <m:r>
                        <w:rPr>
                          <w:rFonts w:ascii="Cambria Math" w:hAnsi="Cambria Math"/>
                          <w:color w:val="1F4E9E"/>
                        </w:rPr>
                        <m:t>κ</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2</m:t>
                      </m:r>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d>
                                <m:dPr>
                                  <m:ctrlPr>
                                    <w:rPr>
                                      <w:rFonts w:ascii="Cambria Math" w:hAnsi="Cambria Math"/>
                                    </w:rPr>
                                  </m:ctrlPr>
                                </m:dPr>
                                <m:e>
                                  <m:r>
                                    <w:rPr>
                                      <w:rFonts w:ascii="Cambria Math" w:hAnsi="Cambria Math"/>
                                      <w:color w:val="1F4E9E"/>
                                    </w:rPr>
                                    <m:t>λ</m:t>
                                  </m:r>
                                  <m:r>
                                    <m:rPr>
                                      <m:nor/>
                                    </m:rPr>
                                    <w:rPr>
                                      <w:rFonts w:ascii="Cambria Math" w:hAnsi="Cambria Math"/>
                                      <w:color w:val="1F4E9E"/>
                                    </w:rPr>
                                    <m:t>+</m:t>
                                  </m:r>
                                  <m:r>
                                    <w:rPr>
                                      <w:rFonts w:ascii="Cambria Math" w:hAnsi="Cambria Math"/>
                                      <w:color w:val="1F4E9E"/>
                                    </w:rPr>
                                    <m:t>κ</m:t>
                                  </m:r>
                                </m:e>
                              </m:d>
                              <m:r>
                                <w:rPr>
                                  <w:rFonts w:ascii="Cambria Math" w:hAnsi="Cambria Math"/>
                                  <w:color w:val="1F4E9E"/>
                                </w:rPr>
                                <m:t>ρ</m:t>
                              </m:r>
                            </m:sup>
                          </m:sSup>
                        </m:e>
                      </m:d>
                    </m:num>
                    <m:den>
                      <m:r>
                        <w:rPr>
                          <w:rFonts w:ascii="Cambria Math" w:hAnsi="Cambria Math"/>
                          <w:color w:val="1F4E9E"/>
                        </w:rPr>
                        <m:t>λ</m:t>
                      </m:r>
                      <m:r>
                        <m:rPr>
                          <m:nor/>
                        </m:rPr>
                        <w:rPr>
                          <w:rFonts w:ascii="Cambria Math" w:hAnsi="Cambria Math"/>
                          <w:color w:val="1F4E9E"/>
                        </w:rPr>
                        <m:t>+</m:t>
                      </m:r>
                      <m:r>
                        <w:rPr>
                          <w:rFonts w:ascii="Cambria Math" w:hAnsi="Cambria Math"/>
                          <w:color w:val="1F4E9E"/>
                        </w:rPr>
                        <m:t>κ</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λρ</m:t>
                          </m:r>
                        </m:sup>
                      </m:sSup>
                    </m:num>
                    <m:den>
                      <m:r>
                        <m:rPr>
                          <m:nor/>
                        </m:rPr>
                        <w:rPr>
                          <w:rFonts w:ascii="Cambria Math" w:hAnsi="Cambria Math"/>
                          <w:color w:val="1F4E9E"/>
                        </w:rPr>
                        <m:t>2</m:t>
                      </m:r>
                      <m:r>
                        <w:rPr>
                          <w:rFonts w:ascii="Cambria Math" w:hAnsi="Cambria Math"/>
                          <w:color w:val="1F4E9E"/>
                        </w:rPr>
                        <m:t>λ</m:t>
                      </m:r>
                    </m:den>
                  </m:f>
                </m:e>
              </m:d>
              <m:r>
                <w:rPr>
                  <w:rFonts w:ascii="Cambria Math" w:hAnsi="Cambria Math"/>
                  <w:color w:val="1F4E9E"/>
                </w:rPr>
                <m:t>#</m:t>
              </m:r>
              <m:d>
                <m:dPr>
                  <m:ctrlPr>
                    <w:rPr>
                      <w:rFonts w:ascii="Cambria Math" w:hAnsi="Cambria Math"/>
                    </w:rPr>
                  </m:ctrlPr>
                </m:dPr>
                <m:e>
                  <m:r>
                    <m:rPr>
                      <m:nor/>
                    </m:rPr>
                    <w:rPr>
                      <w:rFonts w:ascii="Cambria Math" w:hAnsi="Cambria Math"/>
                      <w:color w:val="1F4E9E"/>
                    </w:rPr>
                    <m:t>16</m:t>
                  </m:r>
                </m:e>
              </m:d>
            </m:e>
          </m:eqArr>
        </m:oMath>
      </m:oMathPara>
    </w:p>
    <w:p w14:paraId="24EF87C0" w14:textId="77777777" w:rsidR="00205CBC" w:rsidRDefault="00000000">
      <m:oMathPara>
        <m:oMath>
          <m:eqArr>
            <m:eqArrPr>
              <m:maxDist m:val="1"/>
              <m:ctrlPr>
                <w:rPr>
                  <w:rFonts w:ascii="Cambria Math" w:hAnsi="Cambria Math"/>
                </w:rPr>
              </m:ctrlPr>
            </m:eqArrPr>
            <m:e>
              <m:r>
                <w:rPr>
                  <w:rFonts w:ascii="Cambria Math" w:hAnsi="Cambria Math"/>
                  <w:color w:val="1F4E9E"/>
                </w:rPr>
                <m:t>u</m:t>
              </m:r>
              <m:d>
                <m:dPr>
                  <m:ctrlPr>
                    <w:rPr>
                      <w:rFonts w:ascii="Cambria Math" w:hAnsi="Cambria Math"/>
                    </w:rPr>
                  </m:ctrlPr>
                </m:dPr>
                <m:e>
                  <m:r>
                    <w:rPr>
                      <w:rFonts w:ascii="Cambria Math" w:hAnsi="Cambria Math"/>
                      <w:color w:val="1F4E9E"/>
                    </w:rPr>
                    <m:t>ρ</m:t>
                  </m:r>
                </m:e>
              </m:d>
              <m:r>
                <m:rPr>
                  <m:nor/>
                </m:rPr>
                <w:rPr>
                  <w:rFonts w:ascii="Cambria Math" w:hAnsi="Cambria Math"/>
                  <w:color w:val="1F4E9E"/>
                </w:rPr>
                <m:t>=</m:t>
              </m:r>
              <m:sSup>
                <m:sSupPr>
                  <m:ctrlPr>
                    <w:rPr>
                      <w:rFonts w:ascii="Cambria Math" w:hAnsi="Cambria Math"/>
                    </w:rPr>
                  </m:ctrlPr>
                </m:sSupPr>
                <m:e>
                  <m:r>
                    <w:rPr>
                      <w:rFonts w:ascii="Cambria Math" w:hAnsi="Cambria Math"/>
                      <w:color w:val="1F4E9E"/>
                    </w:rPr>
                    <m:t>G</m:t>
                  </m:r>
                </m:e>
                <m:sup>
                  <m:r>
                    <m:rPr>
                      <m:nor/>
                    </m:rPr>
                    <w:rPr>
                      <w:rFonts w:ascii="Cambria Math" w:hAnsi="Cambria Math"/>
                      <w:color w:val="1F4E9E"/>
                    </w:rPr>
                    <m:t>2</m:t>
                  </m:r>
                </m:sup>
              </m:sSup>
              <m:d>
                <m:dPr>
                  <m:begChr m:val="["/>
                  <m:endChr m:val="]"/>
                  <m:ctrlPr>
                    <w:rPr>
                      <w:rFonts w:ascii="Cambria Math" w:hAnsi="Cambria Math"/>
                    </w:rPr>
                  </m:ctrlPr>
                </m:dPr>
                <m:e>
                  <m:f>
                    <m:fPr>
                      <m:ctrlPr>
                        <w:rPr>
                          <w:rFonts w:ascii="Cambria Math" w:hAnsi="Cambria Math"/>
                        </w:rPr>
                      </m:ctrlPr>
                    </m:fPr>
                    <m:num>
                      <m:r>
                        <w:rPr>
                          <w:rFonts w:ascii="Cambria Math" w:hAnsi="Cambria Math"/>
                          <w:color w:val="1F4E9E"/>
                        </w:rPr>
                        <m:t>κ</m:t>
                      </m:r>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κρ</m:t>
                              </m:r>
                            </m:sup>
                          </m:sSup>
                        </m:e>
                      </m:d>
                    </m:num>
                    <m:den>
                      <m:r>
                        <m:rPr>
                          <m:nor/>
                        </m:rPr>
                        <w:rPr>
                          <w:rFonts w:ascii="Cambria Math" w:hAnsi="Cambria Math"/>
                          <w:color w:val="1F4E9E"/>
                        </w:rPr>
                        <m:t>2</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2</m:t>
                      </m:r>
                      <m:r>
                        <w:rPr>
                          <w:rFonts w:ascii="Cambria Math" w:hAnsi="Cambria Math"/>
                          <w:color w:val="1F4E9E"/>
                        </w:rPr>
                        <m:t>κλ</m:t>
                      </m:r>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d>
                                <m:dPr>
                                  <m:ctrlPr>
                                    <w:rPr>
                                      <w:rFonts w:ascii="Cambria Math" w:hAnsi="Cambria Math"/>
                                    </w:rPr>
                                  </m:ctrlPr>
                                </m:dPr>
                                <m:e>
                                  <m:r>
                                    <w:rPr>
                                      <w:rFonts w:ascii="Cambria Math" w:hAnsi="Cambria Math"/>
                                      <w:color w:val="1F4E9E"/>
                                    </w:rPr>
                                    <m:t>λ</m:t>
                                  </m:r>
                                  <m:r>
                                    <m:rPr>
                                      <m:nor/>
                                    </m:rPr>
                                    <w:rPr>
                                      <w:rFonts w:ascii="Cambria Math" w:hAnsi="Cambria Math"/>
                                      <w:color w:val="1F4E9E"/>
                                    </w:rPr>
                                    <m:t>+</m:t>
                                  </m:r>
                                  <m:r>
                                    <w:rPr>
                                      <w:rFonts w:ascii="Cambria Math" w:hAnsi="Cambria Math"/>
                                      <w:color w:val="1F4E9E"/>
                                    </w:rPr>
                                    <m:t>κ</m:t>
                                  </m:r>
                                </m:e>
                              </m:d>
                              <m:r>
                                <w:rPr>
                                  <w:rFonts w:ascii="Cambria Math" w:hAnsi="Cambria Math"/>
                                  <w:color w:val="1F4E9E"/>
                                </w:rPr>
                                <m:t>ρ</m:t>
                              </m:r>
                            </m:sup>
                          </m:sSup>
                        </m:e>
                      </m:d>
                    </m:num>
                    <m:den>
                      <m:r>
                        <w:rPr>
                          <w:rFonts w:ascii="Cambria Math" w:hAnsi="Cambria Math"/>
                          <w:color w:val="1F4E9E"/>
                        </w:rPr>
                        <m:t>λ</m:t>
                      </m:r>
                      <m:r>
                        <m:rPr>
                          <m:nor/>
                        </m:rPr>
                        <w:rPr>
                          <w:rFonts w:ascii="Cambria Math" w:hAnsi="Cambria Math"/>
                          <w:color w:val="1F4E9E"/>
                        </w:rPr>
                        <m:t>+</m:t>
                      </m:r>
                      <m:r>
                        <w:rPr>
                          <w:rFonts w:ascii="Cambria Math" w:hAnsi="Cambria Math"/>
                          <w:color w:val="1F4E9E"/>
                        </w:rPr>
                        <m:t>κ</m:t>
                      </m:r>
                    </m:den>
                  </m:f>
                  <m:r>
                    <m:rPr>
                      <m:nor/>
                    </m:rPr>
                    <w:rPr>
                      <w:rFonts w:ascii="Cambria Math" w:hAnsi="Cambria Math"/>
                      <w:color w:val="1F4E9E"/>
                    </w:rPr>
                    <m:t>+</m:t>
                  </m:r>
                  <m:f>
                    <m:fPr>
                      <m:ctrlPr>
                        <w:rPr>
                          <w:rFonts w:ascii="Cambria Math" w:hAnsi="Cambria Math"/>
                        </w:rPr>
                      </m:ctrlPr>
                    </m:fPr>
                    <m:num>
                      <m:r>
                        <w:rPr>
                          <w:rFonts w:ascii="Cambria Math" w:hAnsi="Cambria Math"/>
                          <w:color w:val="1F4E9E"/>
                        </w:rPr>
                        <m:t>λ</m:t>
                      </m:r>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λρ</m:t>
                              </m:r>
                            </m:sup>
                          </m:sSup>
                        </m:e>
                      </m:d>
                    </m:num>
                    <m:den>
                      <m:r>
                        <m:rPr>
                          <m:nor/>
                        </m:rPr>
                        <w:rPr>
                          <w:rFonts w:ascii="Cambria Math" w:hAnsi="Cambria Math"/>
                          <w:color w:val="1F4E9E"/>
                        </w:rPr>
                        <m:t>2</m:t>
                      </m:r>
                    </m:den>
                  </m:f>
                </m:e>
              </m:d>
              <m:r>
                <w:rPr>
                  <w:rFonts w:ascii="Cambria Math" w:hAnsi="Cambria Math"/>
                  <w:color w:val="1F4E9E"/>
                </w:rPr>
                <m:t>#</m:t>
              </m:r>
              <m:d>
                <m:dPr>
                  <m:ctrlPr>
                    <w:rPr>
                      <w:rFonts w:ascii="Cambria Math" w:hAnsi="Cambria Math"/>
                    </w:rPr>
                  </m:ctrlPr>
                </m:dPr>
                <m:e>
                  <m:r>
                    <m:rPr>
                      <m:nor/>
                    </m:rPr>
                    <w:rPr>
                      <w:rFonts w:ascii="Cambria Math" w:hAnsi="Cambria Math"/>
                      <w:color w:val="1F4E9E"/>
                    </w:rPr>
                    <m:t>17</m:t>
                  </m:r>
                </m:e>
              </m:d>
            </m:e>
          </m:eqArr>
        </m:oMath>
      </m:oMathPara>
    </w:p>
    <w:p w14:paraId="14379E74" w14:textId="77777777" w:rsidR="00205CBC" w:rsidRDefault="00000000">
      <w:r>
        <w:rPr>
          <w:color w:val="1F4E9E"/>
        </w:rPr>
        <w:t xml:space="preserve">As </w:t>
      </w:r>
      <m:oMath>
        <m:r>
          <w:rPr>
            <w:rFonts w:ascii="Cambria Math" w:hAnsi="Cambria Math"/>
            <w:color w:val="1F4E9E"/>
          </w:rPr>
          <m:t>ρ</m:t>
        </m:r>
        <m:r>
          <m:rPr>
            <m:nor/>
          </m:rPr>
          <w:rPr>
            <w:rFonts w:ascii="Cambria Math" w:hAnsi="Cambria Math"/>
            <w:color w:val="1F4E9E"/>
          </w:rPr>
          <m:t>→∞</m:t>
        </m:r>
      </m:oMath>
      <w:r>
        <w:rPr>
          <w:color w:val="1F4E9E"/>
        </w:rPr>
        <w:t xml:space="preserve"> these tend to</w:t>
      </w:r>
    </w:p>
    <w:p w14:paraId="34C6897B" w14:textId="77777777" w:rsidR="00205CBC" w:rsidRDefault="00000000">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color w:val="1F4E9E"/>
                    </w:rPr>
                    <m:t>σ</m:t>
                  </m:r>
                </m:e>
                <m:sub>
                  <m:r>
                    <w:rPr>
                      <w:rFonts w:ascii="Cambria Math" w:hAnsi="Cambria Math"/>
                      <w:color w:val="1F4E9E"/>
                    </w:rPr>
                    <m:t>V</m:t>
                  </m:r>
                </m:sub>
                <m:sup>
                  <m:r>
                    <m:rPr>
                      <m:nor/>
                    </m:rPr>
                    <w:rPr>
                      <w:rFonts w:ascii="Cambria Math" w:hAnsi="Cambria Math"/>
                      <w:color w:val="1F4E9E"/>
                    </w:rPr>
                    <m:t>2</m:t>
                  </m:r>
                </m:sup>
              </m:sSubSup>
              <m:r>
                <m:rPr>
                  <m:nor/>
                </m:rPr>
                <w:rPr>
                  <w:rFonts w:ascii="Cambria Math" w:hAnsi="Cambria Math"/>
                  <w:color w:val="1F4E9E"/>
                </w:rPr>
                <m:t>=</m:t>
              </m:r>
              <m:f>
                <m:fPr>
                  <m:ctrlPr>
                    <w:rPr>
                      <w:rFonts w:ascii="Cambria Math" w:hAnsi="Cambria Math"/>
                    </w:rPr>
                  </m:ctrlPr>
                </m:fPr>
                <m:num>
                  <m:r>
                    <w:rPr>
                      <w:rFonts w:ascii="Cambria Math" w:hAnsi="Cambria Math"/>
                      <w:color w:val="1F4E9E"/>
                    </w:rPr>
                    <m:t>λ</m:t>
                  </m:r>
                  <m:r>
                    <m:rPr>
                      <m:nor/>
                    </m:rPr>
                    <w:rPr>
                      <w:rFonts w:ascii="Cambria Math" w:hAnsi="Cambria Math"/>
                      <w:color w:val="1F4E9E"/>
                    </w:rPr>
                    <m:t> </m:t>
                  </m:r>
                  <m:sSubSup>
                    <m:sSubSupPr>
                      <m:ctrlPr>
                        <w:rPr>
                          <w:rFonts w:ascii="Cambria Math" w:hAnsi="Cambria Math"/>
                        </w:rPr>
                      </m:ctrlPr>
                    </m:sSubSupPr>
                    <m:e>
                      <m:r>
                        <m:rPr>
                          <m:nor/>
                        </m:rPr>
                        <w:rPr>
                          <w:rFonts w:ascii="Cambria Math" w:hAnsi="Cambria Math"/>
                          <w:color w:val="1F4E9E"/>
                        </w:rPr>
                        <m:t>SD</m:t>
                      </m:r>
                    </m:e>
                    <m:sub>
                      <m:r>
                        <w:rPr>
                          <w:rFonts w:ascii="Cambria Math" w:hAnsi="Cambria Math"/>
                          <w:color w:val="1F4E9E"/>
                        </w:rPr>
                        <m:t>ε</m:t>
                      </m:r>
                    </m:sub>
                    <m:sup>
                      <m:r>
                        <m:rPr>
                          <m:nor/>
                        </m:rPr>
                        <w:rPr>
                          <w:rFonts w:ascii="Cambria Math" w:hAnsi="Cambria Math"/>
                          <w:color w:val="1F4E9E"/>
                        </w:rPr>
                        <m:t>2</m:t>
                      </m:r>
                    </m:sup>
                  </m:sSubSup>
                </m:num>
                <m:den>
                  <m:r>
                    <w:rPr>
                      <w:rFonts w:ascii="Cambria Math" w:hAnsi="Cambria Math"/>
                      <w:color w:val="1F4E9E"/>
                    </w:rPr>
                    <m:t>λ</m:t>
                  </m:r>
                  <m:r>
                    <m:rPr>
                      <m:nor/>
                    </m:rPr>
                    <w:rPr>
                      <w:rFonts w:ascii="Cambria Math" w:hAnsi="Cambria Math"/>
                      <w:color w:val="1F4E9E"/>
                    </w:rPr>
                    <m:t>+</m:t>
                  </m:r>
                  <m:r>
                    <w:rPr>
                      <w:rFonts w:ascii="Cambria Math" w:hAnsi="Cambria Math"/>
                      <w:color w:val="1F4E9E"/>
                    </w:rPr>
                    <m:t>κ</m:t>
                  </m:r>
                </m:den>
              </m:f>
              <m:r>
                <m:rPr>
                  <m:nor/>
                </m:rPr>
                <w:rPr>
                  <w:rFonts w:ascii="Cambria Math" w:hAnsi="Cambria Math"/>
                  <w:color w:val="1F4E9E"/>
                </w:rPr>
                <m:t>,</m:t>
              </m:r>
              <m:r>
                <m:rPr>
                  <m:nor/>
                </m:rPr>
                <w:rPr>
                  <w:rFonts w:ascii="Cambria Math" w:hAnsi="Cambria Math"/>
                  <w:color w:val="1F4E9E"/>
                </w:rPr>
                <m:t> </m:t>
              </m:r>
              <m:sSubSup>
                <m:sSubSupPr>
                  <m:ctrlPr>
                    <w:rPr>
                      <w:rFonts w:ascii="Cambria Math" w:hAnsi="Cambria Math"/>
                    </w:rPr>
                  </m:ctrlPr>
                </m:sSubSupPr>
                <m:e>
                  <m:r>
                    <w:rPr>
                      <w:rFonts w:ascii="Cambria Math" w:hAnsi="Cambria Math"/>
                      <w:color w:val="1F4E9E"/>
                    </w:rPr>
                    <m:t>σ</m:t>
                  </m:r>
                </m:e>
                <m:sub>
                  <m:acc>
                    <m:accPr>
                      <m:chr m:val="̇"/>
                      <m:ctrlPr>
                        <w:rPr>
                          <w:rFonts w:ascii="Cambria Math" w:hAnsi="Cambria Math"/>
                        </w:rPr>
                      </m:ctrlPr>
                    </m:accPr>
                    <m:e>
                      <m:r>
                        <w:rPr>
                          <w:rFonts w:ascii="Cambria Math" w:hAnsi="Cambria Math"/>
                          <w:color w:val="1F4E9E"/>
                        </w:rPr>
                        <m:t>V</m:t>
                      </m:r>
                    </m:e>
                  </m:acc>
                </m:sub>
                <m:sup>
                  <m:r>
                    <m:rPr>
                      <m:nor/>
                    </m:rPr>
                    <w:rPr>
                      <w:rFonts w:ascii="Cambria Math" w:hAnsi="Cambria Math"/>
                      <w:color w:val="1F4E9E"/>
                    </w:rPr>
                    <m:t>2</m:t>
                  </m:r>
                </m:sup>
              </m:sSubSup>
              <m:r>
                <m:rPr>
                  <m:nor/>
                </m:rPr>
                <w:rPr>
                  <w:rFonts w:ascii="Cambria Math" w:hAnsi="Cambria Math"/>
                  <w:color w:val="1F4E9E"/>
                </w:rPr>
                <m:t>=</m:t>
              </m:r>
              <m:f>
                <m:fPr>
                  <m:ctrlPr>
                    <w:rPr>
                      <w:rFonts w:ascii="Cambria Math" w:hAnsi="Cambria Math"/>
                    </w:rPr>
                  </m:ctrlPr>
                </m:fPr>
                <m:num>
                  <m:sSup>
                    <m:sSupPr>
                      <m:ctrlPr>
                        <w:rPr>
                          <w:rFonts w:ascii="Cambria Math" w:hAnsi="Cambria Math"/>
                        </w:rPr>
                      </m:ctrlPr>
                    </m:sSupPr>
                    <m:e>
                      <m:r>
                        <w:rPr>
                          <w:rFonts w:ascii="Cambria Math" w:hAnsi="Cambria Math"/>
                          <w:color w:val="1F4E9E"/>
                        </w:rPr>
                        <m:t>λ</m:t>
                      </m:r>
                    </m:e>
                    <m:sup>
                      <m:r>
                        <m:rPr>
                          <m:nor/>
                        </m:rPr>
                        <w:rPr>
                          <w:rFonts w:ascii="Cambria Math" w:hAnsi="Cambria Math"/>
                          <w:color w:val="1F4E9E"/>
                        </w:rPr>
                        <m:t>2</m:t>
                      </m:r>
                    </m:sup>
                  </m:sSup>
                  <m:r>
                    <w:rPr>
                      <w:rFonts w:ascii="Cambria Math" w:hAnsi="Cambria Math"/>
                      <w:color w:val="1F4E9E"/>
                    </w:rPr>
                    <m:t>κ</m:t>
                  </m:r>
                  <m:r>
                    <m:rPr>
                      <m:nor/>
                    </m:rPr>
                    <w:rPr>
                      <w:rFonts w:ascii="Cambria Math" w:hAnsi="Cambria Math"/>
                      <w:color w:val="1F4E9E"/>
                    </w:rPr>
                    <m:t> </m:t>
                  </m:r>
                  <m:sSubSup>
                    <m:sSubSupPr>
                      <m:ctrlPr>
                        <w:rPr>
                          <w:rFonts w:ascii="Cambria Math" w:hAnsi="Cambria Math"/>
                        </w:rPr>
                      </m:ctrlPr>
                    </m:sSubSupPr>
                    <m:e>
                      <m:r>
                        <m:rPr>
                          <m:nor/>
                        </m:rPr>
                        <w:rPr>
                          <w:rFonts w:ascii="Cambria Math" w:hAnsi="Cambria Math"/>
                          <w:color w:val="1F4E9E"/>
                        </w:rPr>
                        <m:t>SD</m:t>
                      </m:r>
                    </m:e>
                    <m:sub>
                      <m:r>
                        <w:rPr>
                          <w:rFonts w:ascii="Cambria Math" w:hAnsi="Cambria Math"/>
                          <w:color w:val="1F4E9E"/>
                        </w:rPr>
                        <m:t>ε</m:t>
                      </m:r>
                    </m:sub>
                    <m:sup>
                      <m:r>
                        <m:rPr>
                          <m:nor/>
                        </m:rPr>
                        <w:rPr>
                          <w:rFonts w:ascii="Cambria Math" w:hAnsi="Cambria Math"/>
                          <w:color w:val="1F4E9E"/>
                        </w:rPr>
                        <m:t>2</m:t>
                      </m:r>
                    </m:sup>
                  </m:sSubSup>
                </m:num>
                <m:den>
                  <m:r>
                    <w:rPr>
                      <w:rFonts w:ascii="Cambria Math" w:hAnsi="Cambria Math"/>
                      <w:color w:val="1F4E9E"/>
                    </w:rPr>
                    <m:t>λ</m:t>
                  </m:r>
                  <m:r>
                    <m:rPr>
                      <m:nor/>
                    </m:rPr>
                    <w:rPr>
                      <w:rFonts w:ascii="Cambria Math" w:hAnsi="Cambria Math"/>
                      <w:color w:val="1F4E9E"/>
                    </w:rPr>
                    <m:t>+</m:t>
                  </m:r>
                  <m:r>
                    <w:rPr>
                      <w:rFonts w:ascii="Cambria Math" w:hAnsi="Cambria Math"/>
                      <w:color w:val="1F4E9E"/>
                    </w:rPr>
                    <m:t>κ</m:t>
                  </m:r>
                </m:den>
              </m:f>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c</m:t>
              </m:r>
              <m:r>
                <m:rPr>
                  <m:nor/>
                </m:rPr>
                <w:rPr>
                  <w:rFonts w:ascii="Cambria Math" w:hAnsi="Cambria Math"/>
                  <w:color w:val="1F4E9E"/>
                </w:rPr>
                <m:t>→0,</m:t>
              </m:r>
              <m:r>
                <m:rPr>
                  <m:nor/>
                </m:rPr>
                <w:rPr>
                  <w:rFonts w:ascii="Cambria Math" w:hAnsi="Cambria Math"/>
                  <w:color w:val="1F4E9E"/>
                </w:rPr>
                <m:t> </m:t>
              </m:r>
              <m:r>
                <w:rPr>
                  <w:rFonts w:ascii="Cambria Math" w:hAnsi="Cambria Math"/>
                  <w:color w:val="1F4E9E"/>
                </w:rPr>
                <m:t>ω</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acc>
                    <m:accPr>
                      <m:chr m:val="̇"/>
                      <m:ctrlPr>
                        <w:rPr>
                          <w:rFonts w:ascii="Cambria Math" w:hAnsi="Cambria Math"/>
                        </w:rPr>
                      </m:ctrlPr>
                    </m:accPr>
                    <m:e>
                      <m:r>
                        <w:rPr>
                          <w:rFonts w:ascii="Cambria Math" w:hAnsi="Cambria Math"/>
                          <w:color w:val="1F4E9E"/>
                        </w:rPr>
                        <m:t>V</m:t>
                      </m:r>
                    </m:e>
                  </m:acc>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λκ</m:t>
                  </m:r>
                </m:e>
              </m:rad>
              <m:r>
                <w:rPr>
                  <w:rFonts w:ascii="Cambria Math" w:hAnsi="Cambria Math"/>
                  <w:color w:val="1F4E9E"/>
                </w:rPr>
                <m:t>#</m:t>
              </m:r>
              <m:d>
                <m:dPr>
                  <m:ctrlPr>
                    <w:rPr>
                      <w:rFonts w:ascii="Cambria Math" w:hAnsi="Cambria Math"/>
                    </w:rPr>
                  </m:ctrlPr>
                </m:dPr>
                <m:e>
                  <m:r>
                    <m:rPr>
                      <m:nor/>
                    </m:rPr>
                    <w:rPr>
                      <w:rFonts w:ascii="Cambria Math" w:hAnsi="Cambria Math"/>
                      <w:color w:val="1F4E9E"/>
                    </w:rPr>
                    <m:t>18</m:t>
                  </m:r>
                </m:e>
              </m:d>
            </m:e>
          </m:eqArr>
        </m:oMath>
      </m:oMathPara>
    </w:p>
    <w:p w14:paraId="3F94F625" w14:textId="77777777" w:rsidR="00205CBC" w:rsidRDefault="00000000">
      <w:r>
        <w:rPr>
          <w:color w:val="1F4E9E"/>
        </w:rPr>
        <w:t xml:space="preserve">The preparation ramp is added outside the filter (Equation (7)), so it shifts the mean of the gate-facing signal and leaves </w:t>
      </w:r>
      <m:oMath>
        <m:r>
          <w:rPr>
            <w:rFonts w:ascii="Cambria Math" w:hAnsi="Cambria Math"/>
            <w:color w:val="1F4E9E"/>
          </w:rPr>
          <m:t>s</m:t>
        </m:r>
      </m:oMath>
      <w:r>
        <w:rPr>
          <w:color w:val="1F4E9E"/>
        </w:rPr>
        <w:t xml:space="preserve">, </w:t>
      </w:r>
      <m:oMath>
        <m:r>
          <w:rPr>
            <w:rFonts w:ascii="Cambria Math" w:hAnsi="Cambria Math"/>
            <w:color w:val="1F4E9E"/>
          </w:rPr>
          <m:t>u</m:t>
        </m:r>
      </m:oMath>
      <w:r>
        <w:rPr>
          <w:color w:val="1F4E9E"/>
        </w:rPr>
        <w:t xml:space="preserve"> and </w:t>
      </w:r>
      <m:oMath>
        <m:r>
          <w:rPr>
            <w:rFonts w:ascii="Cambria Math" w:hAnsi="Cambria Math"/>
            <w:color w:val="1F4E9E"/>
          </w:rPr>
          <m:t>w</m:t>
        </m:r>
      </m:oMath>
      <w:r>
        <w:rPr>
          <w:color w:val="1F4E9E"/>
        </w:rPr>
        <w:t xml:space="preserve"> untouched; (15) to (18) therefore hold for both models. The relative departure of </w:t>
      </w:r>
      <m:oMath>
        <m:r>
          <w:rPr>
            <w:rFonts w:ascii="Cambria Math" w:hAnsi="Cambria Math"/>
            <w:color w:val="1F4E9E"/>
          </w:rPr>
          <m:t>s</m:t>
        </m:r>
      </m:oMath>
      <w:r>
        <w:rPr>
          <w:color w:val="1F4E9E"/>
        </w:rPr>
        <w:t xml:space="preserve"> from its stationary limit at the start of the analyzed window, one second into maintenance, is of order </w:t>
      </w:r>
      <m:oMath>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κ</m:t>
            </m:r>
          </m:sup>
        </m:sSup>
      </m:oMath>
      <w:r>
        <w:rPr>
          <w:color w:val="1F4E9E"/>
        </w:rPr>
        <w:t xml:space="preserve">: below </w:t>
      </w:r>
      <m:oMath>
        <m:sSup>
          <m:sSupPr>
            <m:ctrlPr>
              <w:rPr>
                <w:rFonts w:ascii="Cambria Math" w:hAnsi="Cambria Math"/>
              </w:rPr>
            </m:ctrlPr>
          </m:sSupPr>
          <m:e>
            <m:r>
              <m:rPr>
                <m:nor/>
              </m:rPr>
              <w:rPr>
                <w:rFonts w:ascii="Cambria Math" w:hAnsi="Cambria Math"/>
                <w:color w:val="1F4E9E"/>
              </w:rPr>
              <m:t>10</m:t>
            </m:r>
          </m:e>
          <m:sup>
            <m:r>
              <m:rPr>
                <m:nor/>
              </m:rPr>
              <w:rPr>
                <w:rFonts w:ascii="Cambria Math" w:hAnsi="Cambria Math"/>
                <w:color w:val="1F4E9E"/>
              </w:rPr>
              <m:t>-9</m:t>
            </m:r>
          </m:sup>
        </m:sSup>
      </m:oMath>
      <w:r>
        <w:rPr>
          <w:color w:val="1F4E9E"/>
        </w:rPr>
        <w:t xml:space="preserve"> once </w:t>
      </w:r>
      <m:oMath>
        <m:r>
          <w:rPr>
            <w:rFonts w:ascii="Cambria Math" w:hAnsi="Cambria Math"/>
            <w:color w:val="1F4E9E"/>
          </w:rPr>
          <m:t>κ</m:t>
        </m:r>
      </m:oMath>
      <w:r>
        <w:rPr>
          <w:color w:val="1F4E9E"/>
        </w:rPr>
        <w:t xml:space="preserve"> exceeds about 11 s⁻¹, but 0.71 at </w:t>
      </w:r>
      <m:oMath>
        <m:r>
          <w:rPr>
            <w:rFonts w:ascii="Cambria Math" w:hAnsi="Cambria Math"/>
            <w:color w:val="1F4E9E"/>
          </w:rPr>
          <m:t>κ</m:t>
        </m:r>
        <m:r>
          <m:rPr>
            <m:nor/>
          </m:rPr>
          <w:rPr>
            <w:rFonts w:ascii="Cambria Math" w:hAnsi="Cambria Math"/>
            <w:color w:val="1F4E9E"/>
          </w:rPr>
          <m:t>=0.2</m:t>
        </m:r>
      </m:oMath>
      <w:r>
        <w:rPr>
          <w:color w:val="1F4E9E"/>
        </w:rPr>
        <w:t xml:space="preserve"> s⁻¹, the bottom of the range of Table A1. The stationary forms are therefore used only where that condition is stated and checked; everywhere the value of </w:t>
      </w:r>
      <m:oMath>
        <m:r>
          <w:rPr>
            <w:rFonts w:ascii="Cambria Math" w:hAnsi="Cambria Math"/>
            <w:color w:val="1F4E9E"/>
          </w:rPr>
          <m:t>κ</m:t>
        </m:r>
      </m:oMath>
      <w:r>
        <w:rPr>
          <w:color w:val="1F4E9E"/>
        </w:rPr>
        <w:t xml:space="preserve"> bears on a conclusion — throughout the ramp–rate frontier of C.5 to C.7, and in C.11 — the </w:t>
      </w:r>
      <w:r>
        <w:rPr>
          <w:color w:val="1F4E9E"/>
        </w:rPr>
        <w:lastRenderedPageBreak/>
        <w:t xml:space="preserve">moments are taken from (15) to (17) directly. This matters most at small </w:t>
      </w:r>
      <m:oMath>
        <m:r>
          <w:rPr>
            <w:rFonts w:ascii="Cambria Math" w:hAnsi="Cambria Math"/>
            <w:color w:val="1F4E9E"/>
          </w:rPr>
          <m:t>κ</m:t>
        </m:r>
      </m:oMath>
      <w:r>
        <w:rPr>
          <w:color w:val="1F4E9E"/>
        </w:rPr>
        <w:t>, which is precisely the region most favorable to Model 1 and therefore the region a bound must not approximate away.</w:t>
      </w:r>
    </w:p>
    <w:p w14:paraId="50B3C7B3" w14:textId="77777777" w:rsidR="00205CBC" w:rsidRDefault="00000000">
      <w:r>
        <w:rPr>
          <w:b/>
          <w:i/>
          <w:color w:val="1F4E9E"/>
        </w:rPr>
        <w:t>The crossing rate</w:t>
      </w:r>
    </w:p>
    <w:p w14:paraId="1C010B33" w14:textId="77777777" w:rsidR="00205CBC" w:rsidRDefault="00000000">
      <w:r>
        <w:rPr>
          <w:color w:val="1F4E9E"/>
        </w:rPr>
        <w:t xml:space="preserve">Let </w:t>
      </w:r>
      <m:oMath>
        <m:r>
          <w:rPr>
            <w:rFonts w:ascii="Cambria Math" w:hAnsi="Cambria Math"/>
            <w:color w:val="1F4E9E"/>
          </w:rPr>
          <m:t>Z</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V</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d</m:t>
        </m:r>
        <m:d>
          <m:dPr>
            <m:ctrlPr>
              <w:rPr>
                <w:rFonts w:ascii="Cambria Math" w:hAnsi="Cambria Math"/>
              </w:rPr>
            </m:ctrlPr>
          </m:dPr>
          <m:e>
            <m:r>
              <w:rPr>
                <w:rFonts w:ascii="Cambria Math" w:hAnsi="Cambria Math"/>
                <w:color w:val="1F4E9E"/>
              </w:rPr>
              <m:t>t</m:t>
            </m:r>
          </m:e>
        </m:d>
      </m:oMath>
      <w:r>
        <w:rPr>
          <w:color w:val="1F4E9E"/>
        </w:rPr>
        <w:t xml:space="preserve">, so that upcrossings of </w:t>
      </w:r>
      <m:oMath>
        <m:r>
          <w:rPr>
            <w:rFonts w:ascii="Cambria Math" w:hAnsi="Cambria Math"/>
            <w:color w:val="1F4E9E"/>
          </w:rPr>
          <m:t>d</m:t>
        </m:r>
      </m:oMath>
      <w:r>
        <w:rPr>
          <w:color w:val="1F4E9E"/>
        </w:rPr>
        <w:t xml:space="preserve"> by </w:t>
      </w:r>
      <m:oMath>
        <m:sSub>
          <m:sSubPr>
            <m:ctrlPr>
              <w:rPr>
                <w:rFonts w:ascii="Cambria Math" w:hAnsi="Cambria Math"/>
              </w:rPr>
            </m:ctrlPr>
          </m:sSubPr>
          <m:e>
            <m:r>
              <w:rPr>
                <w:rFonts w:ascii="Cambria Math" w:hAnsi="Cambria Math"/>
                <w:color w:val="1F4E9E"/>
              </w:rPr>
              <m:t>s</m:t>
            </m:r>
          </m:e>
          <m:sub>
            <m:r>
              <m:rPr>
                <m:nor/>
              </m:rPr>
              <w:rPr>
                <w:rFonts w:ascii="Cambria Math" w:hAnsi="Cambria Math"/>
                <w:color w:val="1F4E9E"/>
              </w:rPr>
              <m:t>resp</m:t>
            </m:r>
          </m:sub>
        </m:sSub>
        <m:r>
          <w:rPr>
            <w:rFonts w:ascii="Cambria Math" w:hAnsi="Cambria Math"/>
            <w:color w:val="1F4E9E"/>
          </w:rPr>
          <m:t>V</m:t>
        </m:r>
      </m:oMath>
      <w:r>
        <w:rPr>
          <w:color w:val="1F4E9E"/>
        </w:rPr>
        <w:t xml:space="preserve"> are upcrossings of zero by </w:t>
      </w:r>
      <m:oMath>
        <m:r>
          <w:rPr>
            <w:rFonts w:ascii="Cambria Math" w:hAnsi="Cambria Math"/>
            <w:color w:val="1F4E9E"/>
          </w:rPr>
          <m:t>Z</m:t>
        </m:r>
      </m:oMath>
      <w:r>
        <w:rPr>
          <w:color w:val="1F4E9E"/>
        </w:rPr>
        <w:t xml:space="preserve">, and </w:t>
      </w:r>
      <m:oMath>
        <m:acc>
          <m:accPr>
            <m:chr m:val="̇"/>
            <m:ctrlPr>
              <w:rPr>
                <w:rFonts w:ascii="Cambria Math" w:hAnsi="Cambria Math"/>
              </w:rPr>
            </m:ctrlPr>
          </m:accPr>
          <m:e>
            <m:r>
              <w:rPr>
                <w:rFonts w:ascii="Cambria Math" w:hAnsi="Cambria Math"/>
                <w:color w:val="1F4E9E"/>
              </w:rPr>
              <m:t>Z</m:t>
            </m:r>
          </m:e>
        </m:acc>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V</m:t>
            </m:r>
          </m:e>
        </m:acc>
        <m:r>
          <m:rPr>
            <m:nor/>
          </m:rPr>
          <w:rPr>
            <w:rFonts w:ascii="Cambria Math" w:hAnsi="Cambria Math"/>
            <w:color w:val="1F4E9E"/>
          </w:rPr>
          <m:t>+</m:t>
        </m:r>
        <m:r>
          <w:rPr>
            <w:rFonts w:ascii="Cambria Math" w:hAnsi="Cambria Math"/>
            <w:color w:val="1F4E9E"/>
          </w:rPr>
          <m:t>α</m:t>
        </m:r>
      </m:oMath>
      <w:r>
        <w:rPr>
          <w:color w:val="1F4E9E"/>
        </w:rPr>
        <w:t xml:space="preserve">. Trajectories that reach the response criterion before the end of the delay are neglected: they are premature responses, held below 10% of trials by the admissibility screen and excluded from the empirical analysis alike. Since </w:t>
      </w:r>
      <m:oMath>
        <m:r>
          <w:rPr>
            <w:rFonts w:ascii="Cambria Math" w:hAnsi="Cambria Math"/>
            <w:color w:val="1F4E9E"/>
          </w:rPr>
          <m:t>V</m:t>
        </m:r>
      </m:oMath>
      <w:r>
        <w:rPr>
          <w:color w:val="1F4E9E"/>
        </w:rPr>
        <w:t xml:space="preserve"> is almost surely continuously differentiable and </w:t>
      </w:r>
      <m:oMath>
        <m:d>
          <m:dPr>
            <m:ctrlPr>
              <w:rPr>
                <w:rFonts w:ascii="Cambria Math" w:hAnsi="Cambria Math"/>
              </w:rPr>
            </m:ctrlPr>
          </m:dPr>
          <m:e>
            <m:r>
              <w:rPr>
                <w:rFonts w:ascii="Cambria Math" w:hAnsi="Cambria Math"/>
                <w:color w:val="1F4E9E"/>
              </w:rPr>
              <m:t>Z</m:t>
            </m:r>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Z</m:t>
                </m:r>
              </m:e>
            </m:acc>
          </m:e>
        </m:d>
      </m:oMath>
      <w:r>
        <w:rPr>
          <w:color w:val="1F4E9E"/>
        </w:rPr>
        <w:t xml:space="preserve"> is jointly Gaussian and non-degenerate for </w:t>
      </w:r>
      <m:oMath>
        <m:r>
          <w:rPr>
            <w:rFonts w:ascii="Cambria Math" w:hAnsi="Cambria Math"/>
            <w:color w:val="1F4E9E"/>
          </w:rPr>
          <m:t>ρ</m:t>
        </m:r>
        <m:r>
          <m:rPr>
            <m:nor/>
          </m:rPr>
          <w:rPr>
            <w:rFonts w:ascii="Cambria Math" w:hAnsi="Cambria Math"/>
            <w:color w:val="1F4E9E"/>
          </w:rPr>
          <m:t>&gt;0</m:t>
        </m:r>
      </m:oMath>
      <w:r>
        <w:rPr>
          <w:color w:val="1F4E9E"/>
        </w:rPr>
        <w:t>, the Kac–Rice formula gives the expected upcrossing rate (Azaïs &amp; Wschebor, 2009, ch. 3):</w:t>
      </w:r>
    </w:p>
    <w:p w14:paraId="6F176FF4" w14:textId="77777777" w:rsidR="00205CBC" w:rsidRDefault="00000000">
      <m:oMathPara>
        <m:oMath>
          <m:eqArr>
            <m:eqArrPr>
              <m:maxDist m:val="1"/>
              <m:ctrlPr>
                <w:rPr>
                  <w:rFonts w:ascii="Cambria Math" w:hAnsi="Cambria Math"/>
                </w:rPr>
              </m:ctrlPr>
            </m:eqArrPr>
            <m:e>
              <m:r>
                <w:rPr>
                  <w:rFonts w:ascii="Cambria Math" w:hAnsi="Cambria Math"/>
                  <w:color w:val="1F4E9E"/>
                </w:rPr>
                <m:t>ν</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p</m:t>
                  </m:r>
                </m:e>
                <m:sub>
                  <m:r>
                    <w:rPr>
                      <w:rFonts w:ascii="Cambria Math" w:hAnsi="Cambria Math"/>
                      <w:color w:val="1F4E9E"/>
                    </w:rPr>
                    <m:t>Z</m:t>
                  </m:r>
                  <m:d>
                    <m:dPr>
                      <m:ctrlPr>
                        <w:rPr>
                          <w:rFonts w:ascii="Cambria Math" w:hAnsi="Cambria Math"/>
                        </w:rPr>
                      </m:ctrlPr>
                    </m:dPr>
                    <m:e>
                      <m:r>
                        <w:rPr>
                          <w:rFonts w:ascii="Cambria Math" w:hAnsi="Cambria Math"/>
                          <w:color w:val="1F4E9E"/>
                        </w:rPr>
                        <m:t>t</m:t>
                      </m:r>
                    </m:e>
                  </m:d>
                </m:sub>
              </m:sSub>
              <m:d>
                <m:dPr>
                  <m:ctrlPr>
                    <w:rPr>
                      <w:rFonts w:ascii="Cambria Math" w:hAnsi="Cambria Math"/>
                    </w:rPr>
                  </m:ctrlPr>
                </m:dPr>
                <m:e>
                  <m:r>
                    <m:rPr>
                      <m:nor/>
                    </m:rPr>
                    <w:rPr>
                      <w:rFonts w:ascii="Cambria Math" w:hAnsi="Cambria Math"/>
                      <w:color w:val="1F4E9E"/>
                    </w:rPr>
                    <m:t>0</m:t>
                  </m:r>
                </m:e>
              </m:d>
              <m:r>
                <m:rPr>
                  <m:nor/>
                </m:rPr>
                <w:rPr>
                  <w:rFonts w:ascii="Cambria Math" w:hAnsi="Cambria Math"/>
                  <w:color w:val="1F4E9E"/>
                </w:rPr>
                <m:t> E</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olor w:val="1F4E9E"/>
                        </w:rPr>
                        <m:t>Z</m:t>
                      </m:r>
                    </m:e>
                  </m:acc>
                  <m:d>
                    <m:dPr>
                      <m:ctrlPr>
                        <w:rPr>
                          <w:rFonts w:ascii="Cambria Math" w:hAnsi="Cambria Math"/>
                        </w:rPr>
                      </m:ctrlPr>
                    </m:dPr>
                    <m:e>
                      <m:r>
                        <w:rPr>
                          <w:rFonts w:ascii="Cambria Math" w:hAnsi="Cambria Math"/>
                          <w:color w:val="1F4E9E"/>
                        </w:rPr>
                        <m:t>t</m:t>
                      </m:r>
                    </m:e>
                  </m:d>
                  <m:sSub>
                    <m:sSubPr>
                      <m:ctrlPr>
                        <w:rPr>
                          <w:rFonts w:ascii="Cambria Math" w:hAnsi="Cambria Math"/>
                        </w:rPr>
                      </m:ctrlPr>
                    </m:sSubPr>
                    <m:e>
                      <m:r>
                        <m:rPr>
                          <m:nor/>
                        </m:rPr>
                        <w:rPr>
                          <w:rFonts w:ascii="Cambria Math" w:hAnsi="Cambria Math"/>
                          <w:color w:val="1F4E9E"/>
                        </w:rPr>
                        <m:t>1</m:t>
                      </m:r>
                    </m:e>
                    <m:sub>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Z</m:t>
                          </m:r>
                        </m:e>
                      </m:acc>
                      <m:d>
                        <m:dPr>
                          <m:ctrlPr>
                            <w:rPr>
                              <w:rFonts w:ascii="Cambria Math" w:hAnsi="Cambria Math"/>
                            </w:rPr>
                          </m:ctrlPr>
                        </m:dPr>
                        <m:e>
                          <m:r>
                            <w:rPr>
                              <w:rFonts w:ascii="Cambria Math" w:hAnsi="Cambria Math"/>
                              <w:color w:val="1F4E9E"/>
                            </w:rPr>
                            <m:t>t</m:t>
                          </m:r>
                        </m:e>
                      </m:d>
                      <m:r>
                        <m:rPr>
                          <m:nor/>
                        </m:rPr>
                        <w:rPr>
                          <w:rFonts w:ascii="Cambria Math" w:hAnsi="Cambria Math"/>
                          <w:color w:val="1F4E9E"/>
                        </w:rPr>
                        <m:t>&gt;0}</m:t>
                      </m:r>
                    </m:sub>
                  </m:sSub>
                  <m:r>
                    <m:rPr>
                      <m:nor/>
                    </m:rPr>
                    <w:rPr>
                      <w:rFonts w:ascii="Cambria Math" w:hAnsi="Cambria Math"/>
                      <w:color w:val="1F4E9E"/>
                    </w:rPr>
                    <m:t xml:space="preserve"> | </m:t>
                  </m:r>
                  <m:r>
                    <w:rPr>
                      <w:rFonts w:ascii="Cambria Math" w:hAnsi="Cambria Math"/>
                      <w:color w:val="1F4E9E"/>
                    </w:rPr>
                    <m:t>Z</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=0</m:t>
                  </m:r>
                </m:e>
              </m:d>
              <m:r>
                <w:rPr>
                  <w:rFonts w:ascii="Cambria Math" w:hAnsi="Cambria Math"/>
                  <w:color w:val="1F4E9E"/>
                </w:rPr>
                <m:t>#</m:t>
              </m:r>
              <m:d>
                <m:dPr>
                  <m:ctrlPr>
                    <w:rPr>
                      <w:rFonts w:ascii="Cambria Math" w:hAnsi="Cambria Math"/>
                    </w:rPr>
                  </m:ctrlPr>
                </m:dPr>
                <m:e>
                  <m:r>
                    <m:rPr>
                      <m:nor/>
                    </m:rPr>
                    <w:rPr>
                      <w:rFonts w:ascii="Cambria Math" w:hAnsi="Cambria Math"/>
                      <w:color w:val="1F4E9E"/>
                    </w:rPr>
                    <m:t>19</m:t>
                  </m:r>
                </m:e>
              </m:d>
            </m:e>
          </m:eqArr>
        </m:oMath>
      </m:oMathPara>
    </w:p>
    <w:p w14:paraId="712EC7F8" w14:textId="77777777" w:rsidR="00205CBC" w:rsidRDefault="00000000">
      <w:r>
        <w:rPr>
          <w:color w:val="1F4E9E"/>
        </w:rPr>
        <w:t xml:space="preserve">No stationarity is assumed at any point: the formula requires only that </w:t>
      </w:r>
      <m:oMath>
        <m:r>
          <w:rPr>
            <w:rFonts w:ascii="Cambria Math" w:hAnsi="Cambria Math"/>
            <w:color w:val="1F4E9E"/>
          </w:rPr>
          <m:t>V</m:t>
        </m:r>
      </m:oMath>
      <w:r>
        <w:rPr>
          <w:color w:val="1F4E9E"/>
        </w:rPr>
        <w:t xml:space="preserve"> be almost surely continuously differentiable and that its one-dimensional marginals be non-degenerate, both of which hold from the moment maintenance begins. Since </w:t>
      </w:r>
      <m:oMath>
        <m:r>
          <w:rPr>
            <w:rFonts w:ascii="Cambria Math" w:hAnsi="Cambria Math"/>
            <w:color w:val="1F4E9E"/>
          </w:rPr>
          <m:t>V</m:t>
        </m:r>
      </m:oMath>
      <w:r>
        <w:rPr>
          <w:color w:val="1F4E9E"/>
        </w:rPr>
        <w:t xml:space="preserve"> is centred, </w:t>
      </w:r>
      <m:oMath>
        <m:r>
          <w:rPr>
            <w:rFonts w:ascii="Cambria Math" w:hAnsi="Cambria Math"/>
            <w:color w:val="1F4E9E"/>
          </w:rPr>
          <m:t>Z</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∼N</m:t>
        </m:r>
        <m:d>
          <m:dPr>
            <m:ctrlPr>
              <w:rPr>
                <w:rFonts w:ascii="Cambria Math" w:hAnsi="Cambria Math"/>
              </w:rPr>
            </m:ctrlPr>
          </m:dPr>
          <m:e>
            <m:r>
              <m:rPr>
                <m:nor/>
              </m:rPr>
              <w:rPr>
                <w:rFonts w:ascii="Cambria Math" w:hAnsi="Cambria Math"/>
                <w:color w:val="1F4E9E"/>
              </w:rPr>
              <m:t>-</m:t>
            </m:r>
            <m:r>
              <w:rPr>
                <w:rFonts w:ascii="Cambria Math" w:hAnsi="Cambria Math"/>
                <w:color w:val="1F4E9E"/>
              </w:rPr>
              <m:t>d</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s</m:t>
            </m:r>
          </m:e>
        </m:d>
      </m:oMath>
      <w:r>
        <w:rPr>
          <w:color w:val="1F4E9E"/>
        </w:rPr>
        <w:t xml:space="preserve"> and </w:t>
      </w:r>
      <m:oMath>
        <m:sSub>
          <m:sSubPr>
            <m:ctrlPr>
              <w:rPr>
                <w:rFonts w:ascii="Cambria Math" w:hAnsi="Cambria Math"/>
              </w:rPr>
            </m:ctrlPr>
          </m:sSubPr>
          <m:e>
            <m:r>
              <w:rPr>
                <w:rFonts w:ascii="Cambria Math" w:hAnsi="Cambria Math"/>
                <w:color w:val="1F4E9E"/>
              </w:rPr>
              <m:t>p</m:t>
            </m:r>
          </m:e>
          <m:sub>
            <m:r>
              <w:rPr>
                <w:rFonts w:ascii="Cambria Math" w:hAnsi="Cambria Math"/>
                <w:color w:val="1F4E9E"/>
              </w:rPr>
              <m:t>Z</m:t>
            </m:r>
            <m:d>
              <m:dPr>
                <m:ctrlPr>
                  <w:rPr>
                    <w:rFonts w:ascii="Cambria Math" w:hAnsi="Cambria Math"/>
                  </w:rPr>
                </m:ctrlPr>
              </m:dPr>
              <m:e>
                <m:r>
                  <w:rPr>
                    <w:rFonts w:ascii="Cambria Math" w:hAnsi="Cambria Math"/>
                    <w:color w:val="1F4E9E"/>
                  </w:rPr>
                  <m:t>t</m:t>
                </m:r>
              </m:e>
            </m:d>
          </m:sub>
        </m:sSub>
        <m:d>
          <m:dPr>
            <m:ctrlPr>
              <w:rPr>
                <w:rFonts w:ascii="Cambria Math" w:hAnsi="Cambria Math"/>
              </w:rPr>
            </m:ctrlPr>
          </m:dPr>
          <m:e>
            <m:r>
              <m:rPr>
                <m:nor/>
              </m:rPr>
              <w:rPr>
                <w:rFonts w:ascii="Cambria Math" w:hAnsi="Cambria Math"/>
                <w:color w:val="1F4E9E"/>
              </w:rPr>
              <m:t>0</m:t>
            </m:r>
          </m:e>
        </m:d>
        <m:r>
          <m:rPr>
            <m:nor/>
          </m:rPr>
          <w:rPr>
            <w:rFonts w:ascii="Cambria Math" w:hAnsi="Cambria Math"/>
            <w:color w:val="1F4E9E"/>
          </w:rPr>
          <m:t>=</m:t>
        </m:r>
        <m:r>
          <w:rPr>
            <w:rFonts w:ascii="Cambria Math" w:hAnsi="Cambria Math"/>
            <w:color w:val="1F4E9E"/>
          </w:rPr>
          <m:t>φ</m:t>
        </m:r>
        <m:d>
          <m:dPr>
            <m:ctrlPr>
              <w:rPr>
                <w:rFonts w:ascii="Cambria Math" w:hAnsi="Cambria Math"/>
              </w:rPr>
            </m:ctrlPr>
          </m:dPr>
          <m:e>
            <m:r>
              <w:rPr>
                <w:rFonts w:ascii="Cambria Math" w:hAnsi="Cambria Math"/>
                <w:color w:val="1F4E9E"/>
              </w:rPr>
              <m:t>d</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oMath>
      <w:r>
        <w:rPr>
          <w:color w:val="1F4E9E"/>
        </w:rPr>
        <w:t xml:space="preserve">. Because </w:t>
      </w:r>
      <m:oMath>
        <m:d>
          <m:dPr>
            <m:ctrlPr>
              <w:rPr>
                <w:rFonts w:ascii="Cambria Math" w:hAnsi="Cambria Math"/>
              </w:rPr>
            </m:ctrlPr>
          </m:dPr>
          <m:e>
            <m:r>
              <w:rPr>
                <w:rFonts w:ascii="Cambria Math" w:hAnsi="Cambria Math"/>
                <w:color w:val="1F4E9E"/>
              </w:rPr>
              <m:t>Z</m:t>
            </m:r>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Z</m:t>
                </m:r>
              </m:e>
            </m:acc>
          </m:e>
        </m:d>
      </m:oMath>
      <w:r>
        <w:rPr>
          <w:color w:val="1F4E9E"/>
        </w:rPr>
        <w:t xml:space="preserve"> is jointly Gaussian, </w:t>
      </w:r>
      <m:oMath>
        <m:acc>
          <m:accPr>
            <m:chr m:val="̇"/>
            <m:ctrlPr>
              <w:rPr>
                <w:rFonts w:ascii="Cambria Math" w:hAnsi="Cambria Math"/>
              </w:rPr>
            </m:ctrlPr>
          </m:accPr>
          <m:e>
            <m:r>
              <w:rPr>
                <w:rFonts w:ascii="Cambria Math" w:hAnsi="Cambria Math"/>
                <w:color w:val="1F4E9E"/>
              </w:rPr>
              <m:t>Z</m:t>
            </m:r>
          </m:e>
        </m:acc>
      </m:oMath>
      <w:r>
        <w:rPr>
          <w:color w:val="1F4E9E"/>
        </w:rPr>
        <w:t xml:space="preserve"> given </w:t>
      </w:r>
      <m:oMath>
        <m:r>
          <w:rPr>
            <w:rFonts w:ascii="Cambria Math" w:hAnsi="Cambria Math"/>
            <w:color w:val="1F4E9E"/>
          </w:rPr>
          <m:t>Z</m:t>
        </m:r>
        <m:r>
          <m:rPr>
            <m:nor/>
          </m:rPr>
          <w:rPr>
            <w:rFonts w:ascii="Cambria Math" w:hAnsi="Cambria Math"/>
            <w:color w:val="1F4E9E"/>
          </w:rPr>
          <m:t>=0</m:t>
        </m:r>
      </m:oMath>
      <w:r>
        <w:rPr>
          <w:color w:val="1F4E9E"/>
        </w:rPr>
        <w:t xml:space="preserve"> is Gaussian with</w:t>
      </w:r>
    </w:p>
    <w:p w14:paraId="2ABA5754" w14:textId="77777777" w:rsidR="00205CBC" w:rsidRDefault="00000000">
      <m:oMathPara>
        <m:oMath>
          <m:eqArr>
            <m:eqArrPr>
              <m:maxDist m:val="1"/>
              <m:ctrlPr>
                <w:rPr>
                  <w:rFonts w:ascii="Cambria Math" w:hAnsi="Cambria Math"/>
                </w:rPr>
              </m:ctrlPr>
            </m:eqArrPr>
            <m:e>
              <m:r>
                <w:rPr>
                  <w:rFonts w:ascii="Cambria Math" w:hAnsi="Cambria Math"/>
                  <w:color w:val="1F4E9E"/>
                </w:rPr>
                <m:t>M</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α</m:t>
              </m:r>
              <m:r>
                <m:rPr>
                  <m:nor/>
                </m:rPr>
                <w:rPr>
                  <w:rFonts w:ascii="Cambria Math" w:hAnsi="Cambria Math"/>
                  <w:color w:val="1F4E9E"/>
                </w:rPr>
                <m:t>+</m:t>
              </m:r>
              <m:f>
                <m:fPr>
                  <m:ctrlPr>
                    <w:rPr>
                      <w:rFonts w:ascii="Cambria Math" w:hAnsi="Cambria Math"/>
                    </w:rPr>
                  </m:ctrlPr>
                </m:fPr>
                <m:num>
                  <m:r>
                    <w:rPr>
                      <w:rFonts w:ascii="Cambria Math" w:hAnsi="Cambria Math"/>
                      <w:color w:val="1F4E9E"/>
                    </w:rPr>
                    <m:t>w</m:t>
                  </m:r>
                </m:num>
                <m:den>
                  <m:r>
                    <w:rPr>
                      <w:rFonts w:ascii="Cambria Math" w:hAnsi="Cambria Math"/>
                      <w:color w:val="1F4E9E"/>
                    </w:rPr>
                    <m:t>s</m:t>
                  </m:r>
                </m:den>
              </m:f>
              <m:r>
                <w:rPr>
                  <w:rFonts w:ascii="Cambria Math" w:hAnsi="Cambria Math"/>
                  <w:color w:val="1F4E9E"/>
                </w:rPr>
                <m:t>d</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m:rPr>
                  <m:nor/>
                </m:rPr>
                <w:rPr>
                  <w:rFonts w:ascii="Cambria Math" w:hAnsi="Cambria Math"/>
                  <w:color w:val="1F4E9E"/>
                </w:rPr>
                <m:t> </m:t>
              </m:r>
              <m:r>
                <w:rPr>
                  <w:rFonts w:ascii="Cambria Math" w:hAnsi="Cambria Math"/>
                  <w:color w:val="1F4E9E"/>
                </w:rPr>
                <m:t>S</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u</m:t>
              </m:r>
              <m:r>
                <m:rPr>
                  <m:nor/>
                </m:rPr>
                <w:rPr>
                  <w:rFonts w:ascii="Cambria Math" w:hAnsi="Cambria Math"/>
                  <w:color w:val="1F4E9E"/>
                </w:rPr>
                <m:t>-</m:t>
              </m:r>
              <m:f>
                <m:fPr>
                  <m:ctrlPr>
                    <w:rPr>
                      <w:rFonts w:ascii="Cambria Math" w:hAnsi="Cambria Math"/>
                    </w:rPr>
                  </m:ctrlPr>
                </m:fPr>
                <m:num>
                  <m:sSup>
                    <m:sSupPr>
                      <m:ctrlPr>
                        <w:rPr>
                          <w:rFonts w:ascii="Cambria Math" w:hAnsi="Cambria Math"/>
                        </w:rPr>
                      </m:ctrlPr>
                    </m:sSupPr>
                    <m:e>
                      <m:r>
                        <w:rPr>
                          <w:rFonts w:ascii="Cambria Math" w:hAnsi="Cambria Math"/>
                          <w:color w:val="1F4E9E"/>
                        </w:rPr>
                        <m:t>w</m:t>
                      </m:r>
                    </m:e>
                    <m:sup>
                      <m:r>
                        <m:rPr>
                          <m:nor/>
                        </m:rPr>
                        <w:rPr>
                          <w:rFonts w:ascii="Cambria Math" w:hAnsi="Cambria Math"/>
                          <w:color w:val="1F4E9E"/>
                        </w:rPr>
                        <m:t>2</m:t>
                      </m:r>
                    </m:sup>
                  </m:sSup>
                </m:num>
                <m:den>
                  <m:r>
                    <w:rPr>
                      <w:rFonts w:ascii="Cambria Math" w:hAnsi="Cambria Math"/>
                      <w:color w:val="1F4E9E"/>
                    </w:rPr>
                    <m:t>s</m:t>
                  </m:r>
                </m:den>
              </m:f>
              <m:r>
                <w:rPr>
                  <w:rFonts w:ascii="Cambria Math" w:hAnsi="Cambria Math"/>
                  <w:color w:val="1F4E9E"/>
                </w:rPr>
                <m:t>#</m:t>
              </m:r>
              <m:d>
                <m:dPr>
                  <m:ctrlPr>
                    <w:rPr>
                      <w:rFonts w:ascii="Cambria Math" w:hAnsi="Cambria Math"/>
                    </w:rPr>
                  </m:ctrlPr>
                </m:dPr>
                <m:e>
                  <m:r>
                    <m:rPr>
                      <m:nor/>
                    </m:rPr>
                    <w:rPr>
                      <w:rFonts w:ascii="Cambria Math" w:hAnsi="Cambria Math"/>
                      <w:color w:val="1F4E9E"/>
                    </w:rPr>
                    <m:t>20</m:t>
                  </m:r>
                </m:e>
              </m:d>
            </m:e>
          </m:eqArr>
        </m:oMath>
      </m:oMathPara>
    </w:p>
    <w:p w14:paraId="49B4EA16" w14:textId="77777777" w:rsidR="00205CBC" w:rsidRDefault="00000000">
      <w:r>
        <w:rPr>
          <w:color w:val="1F4E9E"/>
        </w:rPr>
        <w:t xml:space="preserve">and for </w:t>
      </w:r>
      <m:oMath>
        <m:r>
          <w:rPr>
            <w:rFonts w:ascii="Cambria Math" w:hAnsi="Cambria Math"/>
            <w:color w:val="1F4E9E"/>
          </w:rPr>
          <m:t>X</m:t>
        </m:r>
        <m:r>
          <m:rPr>
            <m:nor/>
          </m:rPr>
          <w:rPr>
            <w:rFonts w:ascii="Cambria Math" w:hAnsi="Cambria Math"/>
            <w:color w:val="1F4E9E"/>
          </w:rPr>
          <m:t>∼N</m:t>
        </m:r>
        <m:d>
          <m:dPr>
            <m:ctrlPr>
              <w:rPr>
                <w:rFonts w:ascii="Cambria Math" w:hAnsi="Cambria Math"/>
              </w:rPr>
            </m:ctrlPr>
          </m:dPr>
          <m:e>
            <m:r>
              <w:rPr>
                <w:rFonts w:ascii="Cambria Math" w:hAnsi="Cambria Math"/>
                <w:color w:val="1F4E9E"/>
              </w:rPr>
              <m:t>M</m:t>
            </m:r>
            <m:r>
              <m:rPr>
                <m:nor/>
              </m:rPr>
              <w:rPr>
                <w:rFonts w:ascii="Cambria Math" w:hAnsi="Cambria Math"/>
                <w:color w:val="1F4E9E"/>
              </w:rPr>
              <m:t>,</m:t>
            </m:r>
            <m:r>
              <w:rPr>
                <w:rFonts w:ascii="Cambria Math" w:hAnsi="Cambria Math"/>
                <w:color w:val="1F4E9E"/>
              </w:rPr>
              <m:t>S</m:t>
            </m:r>
          </m:e>
        </m:d>
      </m:oMath>
      <w:r>
        <w:rPr>
          <w:color w:val="1F4E9E"/>
        </w:rPr>
        <w:t xml:space="preserve"> one has </w:t>
      </w:r>
      <m:oMath>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X</m:t>
            </m:r>
            <m:sSub>
              <m:sSubPr>
                <m:ctrlPr>
                  <w:rPr>
                    <w:rFonts w:ascii="Cambria Math" w:hAnsi="Cambria Math"/>
                  </w:rPr>
                </m:ctrlPr>
              </m:sSubPr>
              <m:e>
                <m:r>
                  <m:rPr>
                    <m:nor/>
                  </m:rPr>
                  <w:rPr>
                    <w:rFonts w:ascii="Cambria Math" w:hAnsi="Cambria Math"/>
                    <w:color w:val="1F4E9E"/>
                  </w:rPr>
                  <m:t>1</m:t>
                </m:r>
              </m:e>
              <m:sub>
                <m:r>
                  <m:rPr>
                    <m:nor/>
                  </m:rPr>
                  <w:rPr>
                    <w:rFonts w:ascii="Cambria Math" w:hAnsi="Cambria Math"/>
                    <w:color w:val="1F4E9E"/>
                  </w:rPr>
                  <m:t>{</m:t>
                </m:r>
                <m:r>
                  <w:rPr>
                    <w:rFonts w:ascii="Cambria Math" w:hAnsi="Cambria Math"/>
                    <w:color w:val="1F4E9E"/>
                  </w:rPr>
                  <m:t>X</m:t>
                </m:r>
                <m:r>
                  <m:rPr>
                    <m:nor/>
                  </m:rPr>
                  <w:rPr>
                    <w:rFonts w:ascii="Cambria Math" w:hAnsi="Cambria Math"/>
                    <w:color w:val="1F4E9E"/>
                  </w:rPr>
                  <m:t>&gt;0}</m:t>
                </m:r>
              </m:sub>
            </m:sSub>
          </m:e>
        </m:d>
        <m:r>
          <m:rPr>
            <m:nor/>
          </m:rPr>
          <w:rPr>
            <w:rFonts w:ascii="Cambria Math" w:hAnsi="Cambria Math"/>
            <w:color w:val="1F4E9E"/>
          </w:rPr>
          <m:t>=</m:t>
        </m:r>
        <m:r>
          <w:rPr>
            <w:rFonts w:ascii="Cambria Math" w:hAnsi="Cambria Math"/>
            <w:color w:val="1F4E9E"/>
          </w:rPr>
          <m:t>MΦ</m:t>
        </m:r>
        <m:d>
          <m:dPr>
            <m:ctrlPr>
              <w:rPr>
                <w:rFonts w:ascii="Cambria Math" w:hAnsi="Cambria Math"/>
              </w:rPr>
            </m:ctrlPr>
          </m:dPr>
          <m:e>
            <m:r>
              <w:rPr>
                <w:rFonts w:ascii="Cambria Math" w:hAnsi="Cambria Math"/>
                <w:color w:val="1F4E9E"/>
              </w:rPr>
              <m:t>M</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r>
          <w:rPr>
            <w:rFonts w:ascii="Cambria Math" w:hAnsi="Cambria Math"/>
            <w:color w:val="1F4E9E"/>
          </w:rPr>
          <m:t>φ</m:t>
        </m:r>
        <m:d>
          <m:dPr>
            <m:ctrlPr>
              <w:rPr>
                <w:rFonts w:ascii="Cambria Math" w:hAnsi="Cambria Math"/>
              </w:rPr>
            </m:ctrlPr>
          </m:dPr>
          <m:e>
            <m:r>
              <w:rPr>
                <w:rFonts w:ascii="Cambria Math" w:hAnsi="Cambria Math"/>
                <w:color w:val="1F4E9E"/>
              </w:rPr>
              <m:t>M</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e>
        </m:d>
      </m:oMath>
      <w:r>
        <w:rPr>
          <w:color w:val="1F4E9E"/>
        </w:rPr>
        <w:t>. Substituting into (19) gives the rate in general form,</w:t>
      </w:r>
    </w:p>
    <w:p w14:paraId="3C852D27" w14:textId="77777777" w:rsidR="00205CBC" w:rsidRDefault="00000000">
      <m:oMathPara>
        <m:oMath>
          <m:eqArr>
            <m:eqArrPr>
              <m:maxDist m:val="1"/>
              <m:ctrlPr>
                <w:rPr>
                  <w:rFonts w:ascii="Cambria Math" w:hAnsi="Cambria Math"/>
                </w:rPr>
              </m:ctrlPr>
            </m:eqArrPr>
            <m:e>
              <m:r>
                <w:rPr>
                  <w:rFonts w:ascii="Cambria Math" w:hAnsi="Cambria Math"/>
                  <w:color w:val="1F4E9E"/>
                </w:rPr>
                <m:t>ν</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num>
                <m:den>
                  <m:rad>
                    <m:radPr>
                      <m:degHide m:val="1"/>
                      <m:ctrlPr>
                        <w:rPr>
                          <w:rFonts w:ascii="Cambria Math" w:hAnsi="Cambria Math"/>
                        </w:rPr>
                      </m:ctrlPr>
                    </m:radPr>
                    <m:deg/>
                    <m:e>
                      <m:r>
                        <w:rPr>
                          <w:rFonts w:ascii="Cambria Math" w:hAnsi="Cambria Math"/>
                          <w:color w:val="1F4E9E"/>
                        </w:rPr>
                        <m:t>s</m:t>
                      </m:r>
                    </m:e>
                  </m:rad>
                </m:den>
              </m:f>
              <m:r>
                <w:rPr>
                  <w:rFonts w:ascii="Cambria Math" w:hAnsi="Cambria Math"/>
                  <w:color w:val="1F4E9E"/>
                </w:rPr>
                <m:t>φ</m:t>
              </m:r>
              <m:d>
                <m:dPr>
                  <m:ctrlPr>
                    <w:rPr>
                      <w:rFonts w:ascii="Cambria Math" w:hAnsi="Cambria Math"/>
                    </w:rPr>
                  </m:ctrlPr>
                </m:dPr>
                <m:e>
                  <m:f>
                    <m:fPr>
                      <m:ctrlPr>
                        <w:rPr>
                          <w:rFonts w:ascii="Cambria Math" w:hAnsi="Cambria Math"/>
                        </w:rPr>
                      </m:ctrlPr>
                    </m:fPr>
                    <m:num>
                      <m:r>
                        <w:rPr>
                          <w:rFonts w:ascii="Cambria Math" w:hAnsi="Cambria Math"/>
                          <w:color w:val="1F4E9E"/>
                        </w:rPr>
                        <m:t>d</m:t>
                      </m:r>
                      <m:d>
                        <m:dPr>
                          <m:ctrlPr>
                            <w:rPr>
                              <w:rFonts w:ascii="Cambria Math" w:hAnsi="Cambria Math"/>
                            </w:rPr>
                          </m:ctrlPr>
                        </m:dPr>
                        <m:e>
                          <m:r>
                            <w:rPr>
                              <w:rFonts w:ascii="Cambria Math" w:hAnsi="Cambria Math"/>
                              <w:color w:val="1F4E9E"/>
                            </w:rPr>
                            <m:t>t</m:t>
                          </m:r>
                        </m:e>
                      </m:d>
                    </m:num>
                    <m:den>
                      <m:rad>
                        <m:radPr>
                          <m:degHide m:val="1"/>
                          <m:ctrlPr>
                            <w:rPr>
                              <w:rFonts w:ascii="Cambria Math" w:hAnsi="Cambria Math"/>
                            </w:rPr>
                          </m:ctrlPr>
                        </m:radPr>
                        <m:deg/>
                        <m:e>
                          <m:r>
                            <w:rPr>
                              <w:rFonts w:ascii="Cambria Math" w:hAnsi="Cambria Math"/>
                              <w:color w:val="1F4E9E"/>
                            </w:rPr>
                            <m:t>s</m:t>
                          </m:r>
                        </m:e>
                      </m:rad>
                    </m:den>
                  </m:f>
                </m:e>
              </m:d>
              <m:d>
                <m:dPr>
                  <m:begChr m:val="["/>
                  <m:endChr m:val="]"/>
                  <m:ctrlPr>
                    <w:rPr>
                      <w:rFonts w:ascii="Cambria Math" w:hAnsi="Cambria Math"/>
                    </w:rPr>
                  </m:ctrlPr>
                </m:dPr>
                <m:e>
                  <m:r>
                    <w:rPr>
                      <w:rFonts w:ascii="Cambria Math" w:hAnsi="Cambria Math"/>
                      <w:color w:val="1F4E9E"/>
                    </w:rPr>
                    <m:t>MΦ</m:t>
                  </m:r>
                  <m:d>
                    <m:dPr>
                      <m:ctrlPr>
                        <w:rPr>
                          <w:rFonts w:ascii="Cambria Math" w:hAnsi="Cambria Math"/>
                        </w:rPr>
                      </m:ctrlPr>
                    </m:dPr>
                    <m:e>
                      <m:f>
                        <m:fPr>
                          <m:ctrlPr>
                            <w:rPr>
                              <w:rFonts w:ascii="Cambria Math" w:hAnsi="Cambria Math"/>
                            </w:rPr>
                          </m:ctrlPr>
                        </m:fPr>
                        <m:num>
                          <m:r>
                            <w:rPr>
                              <w:rFonts w:ascii="Cambria Math" w:hAnsi="Cambria Math"/>
                              <w:color w:val="1F4E9E"/>
                            </w:rPr>
                            <m:t>M</m:t>
                          </m:r>
                        </m:num>
                        <m:den>
                          <m:rad>
                            <m:radPr>
                              <m:degHide m:val="1"/>
                              <m:ctrlPr>
                                <w:rPr>
                                  <w:rFonts w:ascii="Cambria Math" w:hAnsi="Cambria Math"/>
                                </w:rPr>
                              </m:ctrlPr>
                            </m:radPr>
                            <m:deg/>
                            <m:e>
                              <m:r>
                                <w:rPr>
                                  <w:rFonts w:ascii="Cambria Math" w:hAnsi="Cambria Math"/>
                                  <w:color w:val="1F4E9E"/>
                                </w:rPr>
                                <m:t>S</m:t>
                              </m:r>
                            </m:e>
                          </m:rad>
                        </m:den>
                      </m:f>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r>
                    <w:rPr>
                      <w:rFonts w:ascii="Cambria Math" w:hAnsi="Cambria Math"/>
                      <w:color w:val="1F4E9E"/>
                    </w:rPr>
                    <m:t>φ</m:t>
                  </m:r>
                  <m:d>
                    <m:dPr>
                      <m:ctrlPr>
                        <w:rPr>
                          <w:rFonts w:ascii="Cambria Math" w:hAnsi="Cambria Math"/>
                        </w:rPr>
                      </m:ctrlPr>
                    </m:dPr>
                    <m:e>
                      <m:f>
                        <m:fPr>
                          <m:ctrlPr>
                            <w:rPr>
                              <w:rFonts w:ascii="Cambria Math" w:hAnsi="Cambria Math"/>
                            </w:rPr>
                          </m:ctrlPr>
                        </m:fPr>
                        <m:num>
                          <m:r>
                            <w:rPr>
                              <w:rFonts w:ascii="Cambria Math" w:hAnsi="Cambria Math"/>
                              <w:color w:val="1F4E9E"/>
                            </w:rPr>
                            <m:t>M</m:t>
                          </m:r>
                        </m:num>
                        <m:den>
                          <m:rad>
                            <m:radPr>
                              <m:degHide m:val="1"/>
                              <m:ctrlPr>
                                <w:rPr>
                                  <w:rFonts w:ascii="Cambria Math" w:hAnsi="Cambria Math"/>
                                </w:rPr>
                              </m:ctrlPr>
                            </m:radPr>
                            <m:deg/>
                            <m:e>
                              <m:r>
                                <w:rPr>
                                  <w:rFonts w:ascii="Cambria Math" w:hAnsi="Cambria Math"/>
                                  <w:color w:val="1F4E9E"/>
                                </w:rPr>
                                <m:t>S</m:t>
                              </m:r>
                            </m:e>
                          </m:rad>
                        </m:den>
                      </m:f>
                    </m:e>
                  </m:d>
                </m:e>
              </m:d>
              <m:r>
                <w:rPr>
                  <w:rFonts w:ascii="Cambria Math" w:hAnsi="Cambria Math"/>
                  <w:color w:val="1F4E9E"/>
                </w:rPr>
                <m:t>#</m:t>
              </m:r>
              <m:d>
                <m:dPr>
                  <m:ctrlPr>
                    <w:rPr>
                      <w:rFonts w:ascii="Cambria Math" w:hAnsi="Cambria Math"/>
                    </w:rPr>
                  </m:ctrlPr>
                </m:dPr>
                <m:e>
                  <m:r>
                    <m:rPr>
                      <m:nor/>
                    </m:rPr>
                    <w:rPr>
                      <w:rFonts w:ascii="Cambria Math" w:hAnsi="Cambria Math"/>
                      <w:color w:val="1F4E9E"/>
                    </w:rPr>
                    <m:t>21</m:t>
                  </m:r>
                </m:e>
              </m:d>
            </m:e>
          </m:eqArr>
        </m:oMath>
      </m:oMathPara>
    </w:p>
    <w:p w14:paraId="5C21FEDE" w14:textId="77777777" w:rsidR="00205CBC" w:rsidRDefault="00000000">
      <w:r>
        <w:rPr>
          <w:color w:val="1F4E9E"/>
        </w:rPr>
        <w:t xml:space="preserve">which is what the frontier of C.5 to C.7 is computed from. Once the transient has passed, </w:t>
      </w:r>
      <m:oMath>
        <m:r>
          <w:rPr>
            <w:rFonts w:ascii="Cambria Math" w:hAnsi="Cambria Math"/>
            <w:color w:val="1F4E9E"/>
          </w:rPr>
          <m:t>w</m:t>
        </m:r>
        <m:r>
          <m:rPr>
            <m:nor/>
          </m:rPr>
          <w:rPr>
            <w:rFonts w:ascii="Cambria Math" w:hAnsi="Cambria Math"/>
            <w:color w:val="1F4E9E"/>
          </w:rPr>
          <m:t>=0</m:t>
        </m:r>
      </m:oMath>
      <w:r>
        <w:rPr>
          <w:color w:val="1F4E9E"/>
        </w:rPr>
        <w:t xml:space="preserve">, so </w:t>
      </w:r>
      <m:oMath>
        <m:r>
          <w:rPr>
            <w:rFonts w:ascii="Cambria Math" w:hAnsi="Cambria Math"/>
            <w:color w:val="1F4E9E"/>
          </w:rPr>
          <m:t>M</m:t>
        </m:r>
        <m:r>
          <m:rPr>
            <m:nor/>
          </m:rPr>
          <w:rPr>
            <w:rFonts w:ascii="Cambria Math" w:hAnsi="Cambria Math"/>
            <w:color w:val="1F4E9E"/>
          </w:rPr>
          <m:t>=</m:t>
        </m:r>
        <m:r>
          <w:rPr>
            <w:rFonts w:ascii="Cambria Math" w:hAnsi="Cambria Math"/>
            <w:color w:val="1F4E9E"/>
          </w:rPr>
          <m:t>α</m:t>
        </m:r>
      </m:oMath>
      <w:r>
        <w:rPr>
          <w:color w:val="1F4E9E"/>
        </w:rPr>
        <w:t xml:space="preserve"> and </w:t>
      </w:r>
      <m:oMath>
        <m:r>
          <w:rPr>
            <w:rFonts w:ascii="Cambria Math" w:hAnsi="Cambria Math"/>
            <w:color w:val="1F4E9E"/>
          </w:rPr>
          <m:t>S</m:t>
        </m:r>
        <m:r>
          <m:rPr>
            <m:nor/>
          </m:rPr>
          <w:rPr>
            <w:rFonts w:ascii="Cambria Math" w:hAnsi="Cambria Math"/>
            <w:color w:val="1F4E9E"/>
          </w:rPr>
          <m:t>=</m:t>
        </m:r>
        <m:sSubSup>
          <m:sSubSupPr>
            <m:ctrlPr>
              <w:rPr>
                <w:rFonts w:ascii="Cambria Math" w:hAnsi="Cambria Math"/>
              </w:rPr>
            </m:ctrlPr>
          </m:sSubSupPr>
          <m:e>
            <m:r>
              <w:rPr>
                <w:rFonts w:ascii="Cambria Math" w:hAnsi="Cambria Math"/>
                <w:color w:val="1F4E9E"/>
              </w:rPr>
              <m:t>σ</m:t>
            </m:r>
          </m:e>
          <m:sub>
            <m:acc>
              <m:accPr>
                <m:chr m:val="̇"/>
                <m:ctrlPr>
                  <w:rPr>
                    <w:rFonts w:ascii="Cambria Math" w:hAnsi="Cambria Math"/>
                  </w:rPr>
                </m:ctrlPr>
              </m:accPr>
              <m:e>
                <m:r>
                  <w:rPr>
                    <w:rFonts w:ascii="Cambria Math" w:hAnsi="Cambria Math"/>
                    <w:color w:val="1F4E9E"/>
                  </w:rPr>
                  <m:t>V</m:t>
                </m:r>
              </m:e>
            </m:acc>
          </m:sub>
          <m:sup>
            <m:r>
              <m:rPr>
                <m:nor/>
              </m:rPr>
              <w:rPr>
                <w:rFonts w:ascii="Cambria Math" w:hAnsi="Cambria Math"/>
                <w:color w:val="1F4E9E"/>
              </w:rPr>
              <m:t>2</m:t>
            </m:r>
          </m:sup>
        </m:sSubSup>
      </m:oMath>
      <w:r>
        <w:rPr>
          <w:color w:val="1F4E9E"/>
        </w:rPr>
        <w:t xml:space="preserve">; dividing through by </w:t>
      </w:r>
      <m:oMath>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and writing </w:t>
      </w:r>
      <m:oMath>
        <m:r>
          <w:rPr>
            <w:rFonts w:ascii="Cambria Math" w:hAnsi="Cambria Math"/>
            <w:color w:val="1F4E9E"/>
          </w:rPr>
          <m:t>a</m:t>
        </m:r>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and </w:t>
      </w:r>
      <m:oMath>
        <m:r>
          <w:rPr>
            <w:rFonts w:ascii="Cambria Math" w:hAnsi="Cambria Math"/>
            <w:color w:val="1F4E9E"/>
          </w:rPr>
          <m:t>b</m:t>
        </m:r>
        <m:r>
          <m:rPr>
            <m:nor/>
          </m:rPr>
          <w:rPr>
            <w:rFonts w:ascii="Cambria Math" w:hAnsi="Cambria Math"/>
            <w:color w:val="1F4E9E"/>
          </w:rPr>
          <m:t>:=</m:t>
        </m:r>
        <m:r>
          <w:rPr>
            <w:rFonts w:ascii="Cambria Math" w:hAnsi="Cambria Math"/>
            <w:color w:val="1F4E9E"/>
          </w:rPr>
          <m:t>α</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leaves</w:t>
      </w:r>
    </w:p>
    <w:p w14:paraId="1F3B725A" w14:textId="77777777" w:rsidR="00205CBC" w:rsidRDefault="00000000">
      <m:oMathPara>
        <m:oMath>
          <m:eqArr>
            <m:eqArrPr>
              <m:maxDist m:val="1"/>
              <m:ctrlPr>
                <w:rPr>
                  <w:rFonts w:ascii="Cambria Math" w:hAnsi="Cambria Math"/>
                </w:rPr>
              </m:ctrlPr>
            </m:eqArrPr>
            <m:e>
              <m:r>
                <w:rPr>
                  <w:rFonts w:ascii="Cambria Math" w:hAnsi="Cambria Math"/>
                  <w:color w:val="1F4E9E"/>
                </w:rPr>
                <m:t>ν</m:t>
              </m:r>
              <m:d>
                <m:dPr>
                  <m:ctrlPr>
                    <w:rPr>
                      <w:rFonts w:ascii="Cambria Math" w:hAnsi="Cambria Math"/>
                    </w:rPr>
                  </m:ctrlPr>
                </m:dPr>
                <m:e>
                  <m:r>
                    <w:rPr>
                      <w:rFonts w:ascii="Cambria Math" w:hAnsi="Cambria Math"/>
                      <w:color w:val="1F4E9E"/>
                    </w:rPr>
                    <m:t>t</m:t>
                  </m:r>
                </m:e>
              </m:d>
              <m:r>
                <m:rPr>
                  <m:nor/>
                </m:rPr>
                <w:rPr>
                  <w:rFonts w:ascii="Cambria Math" w:hAnsi="Cambria Math"/>
                  <w:color w:val="1F4E9E"/>
                </w:rPr>
                <m:t>=</m:t>
              </m:r>
              <m:r>
                <w:rPr>
                  <w:rFonts w:ascii="Cambria Math" w:hAnsi="Cambria Math"/>
                  <w:color w:val="1F4E9E"/>
                </w:rPr>
                <m:t>φ</m:t>
              </m:r>
              <m:d>
                <m:dPr>
                  <m:ctrlPr>
                    <w:rPr>
                      <w:rFonts w:ascii="Cambria Math" w:hAnsi="Cambria Math"/>
                    </w:rPr>
                  </m:ctrlPr>
                </m:dPr>
                <m:e>
                  <m:r>
                    <w:rPr>
                      <w:rFonts w:ascii="Cambria Math" w:hAnsi="Cambria Math"/>
                      <w:color w:val="1F4E9E"/>
                    </w:rPr>
                    <m:t>a</m:t>
                  </m:r>
                  <m:d>
                    <m:dPr>
                      <m:ctrlPr>
                        <w:rPr>
                          <w:rFonts w:ascii="Cambria Math" w:hAnsi="Cambria Math"/>
                        </w:rPr>
                      </m:ctrlPr>
                    </m:dPr>
                    <m:e>
                      <m:r>
                        <w:rPr>
                          <w:rFonts w:ascii="Cambria Math" w:hAnsi="Cambria Math"/>
                          <w:color w:val="1F4E9E"/>
                        </w:rPr>
                        <m:t>t</m:t>
                      </m:r>
                    </m:e>
                  </m:d>
                </m:e>
              </m:d>
              <m:d>
                <m:dPr>
                  <m:begChr m:val="["/>
                  <m:endChr m:val="]"/>
                  <m:ctrlPr>
                    <w:rPr>
                      <w:rFonts w:ascii="Cambria Math" w:hAnsi="Cambria Math"/>
                    </w:rPr>
                  </m:ctrlPr>
                </m:dPr>
                <m:e>
                  <m:r>
                    <w:rPr>
                      <w:rFonts w:ascii="Cambria Math" w:hAnsi="Cambria Math"/>
                      <w:color w:val="1F4E9E"/>
                    </w:rPr>
                    <m:t>bΦ</m:t>
                  </m:r>
                  <m:d>
                    <m:dPr>
                      <m:ctrlPr>
                        <w:rPr>
                          <w:rFonts w:ascii="Cambria Math" w:hAnsi="Cambria Math"/>
                        </w:rPr>
                      </m:ctrlPr>
                    </m:dPr>
                    <m:e>
                      <m:f>
                        <m:fPr>
                          <m:ctrlPr>
                            <w:rPr>
                              <w:rFonts w:ascii="Cambria Math" w:hAnsi="Cambria Math"/>
                            </w:rPr>
                          </m:ctrlPr>
                        </m:fPr>
                        <m:num>
                          <m:r>
                            <w:rPr>
                              <w:rFonts w:ascii="Cambria Math" w:hAnsi="Cambria Math"/>
                              <w:color w:val="1F4E9E"/>
                            </w:rPr>
                            <m:t>b</m:t>
                          </m:r>
                        </m:num>
                        <m:den>
                          <m:r>
                            <w:rPr>
                              <w:rFonts w:ascii="Cambria Math" w:hAnsi="Cambria Math"/>
                              <w:color w:val="1F4E9E"/>
                            </w:rPr>
                            <m:t>ω</m:t>
                          </m:r>
                        </m:den>
                      </m:f>
                    </m:e>
                  </m:d>
                  <m:r>
                    <m:rPr>
                      <m:nor/>
                    </m:rPr>
                    <w:rPr>
                      <w:rFonts w:ascii="Cambria Math" w:hAnsi="Cambria Math"/>
                      <w:color w:val="1F4E9E"/>
                    </w:rPr>
                    <m:t>+</m:t>
                  </m:r>
                  <m:r>
                    <w:rPr>
                      <w:rFonts w:ascii="Cambria Math" w:hAnsi="Cambria Math"/>
                      <w:color w:val="1F4E9E"/>
                    </w:rPr>
                    <m:t>ωφ</m:t>
                  </m:r>
                  <m:d>
                    <m:dPr>
                      <m:ctrlPr>
                        <w:rPr>
                          <w:rFonts w:ascii="Cambria Math" w:hAnsi="Cambria Math"/>
                        </w:rPr>
                      </m:ctrlPr>
                    </m:dPr>
                    <m:e>
                      <m:f>
                        <m:fPr>
                          <m:ctrlPr>
                            <w:rPr>
                              <w:rFonts w:ascii="Cambria Math" w:hAnsi="Cambria Math"/>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m:t>
              </m:r>
              <m:d>
                <m:dPr>
                  <m:ctrlPr>
                    <w:rPr>
                      <w:rFonts w:ascii="Cambria Math" w:hAnsi="Cambria Math"/>
                    </w:rPr>
                  </m:ctrlPr>
                </m:dPr>
                <m:e>
                  <m:r>
                    <m:rPr>
                      <m:nor/>
                    </m:rPr>
                    <w:rPr>
                      <w:rFonts w:ascii="Cambria Math" w:hAnsi="Cambria Math"/>
                      <w:color w:val="1F4E9E"/>
                    </w:rPr>
                    <m:t>22</m:t>
                  </m:r>
                </m:e>
              </m:d>
            </m:e>
          </m:eqArr>
        </m:oMath>
      </m:oMathPara>
    </w:p>
    <w:p w14:paraId="469EA928" w14:textId="77777777" w:rsidR="00205CBC" w:rsidRDefault="00000000">
      <w:r>
        <w:rPr>
          <w:color w:val="1F4E9E"/>
        </w:rPr>
        <w:t>which is the expression used in Results (Delay-locked). Its two special cases are Corollaries C.1 and C.2 below.</w:t>
      </w:r>
    </w:p>
    <w:p w14:paraId="4FCC41CA" w14:textId="77777777" w:rsidR="00205CBC" w:rsidRDefault="00000000">
      <w:r>
        <w:rPr>
          <w:color w:val="1F4E9E"/>
        </w:rPr>
        <w:t xml:space="preserve">Corollary C.1 (a ceiling on Model 1’s delay-period rate). Setting </w:t>
      </w:r>
      <m:oMath>
        <m:r>
          <w:rPr>
            <w:rFonts w:ascii="Cambria Math" w:hAnsi="Cambria Math"/>
            <w:color w:val="1F4E9E"/>
          </w:rPr>
          <m:t>α</m:t>
        </m:r>
        <m:r>
          <m:rPr>
            <m:nor/>
          </m:rPr>
          <w:rPr>
            <w:rFonts w:ascii="Cambria Math" w:hAnsi="Cambria Math"/>
            <w:color w:val="1F4E9E"/>
          </w:rPr>
          <m:t>=0</m:t>
        </m:r>
      </m:oMath>
      <w:r>
        <w:rPr>
          <w:color w:val="1F4E9E"/>
        </w:rPr>
        <w:t xml:space="preserve"> in (22) — Model 1 — gives the classical Rice formula,</w:t>
      </w:r>
    </w:p>
    <w:p w14:paraId="6A04CF8D" w14:textId="77777777" w:rsidR="00205CBC" w:rsidRDefault="00000000">
      <m:oMathPara>
        <m:oMath>
          <m:eqArr>
            <m:eqArrPr>
              <m:maxDist m:val="1"/>
              <m:ctrlPr>
                <w:rPr>
                  <w:rFonts w:ascii="Cambria Math" w:hAnsi="Cambria Math"/>
                </w:rPr>
              </m:ctrlPr>
            </m:eqArrPr>
            <m:e>
              <m:r>
                <w:rPr>
                  <w:rFonts w:ascii="Cambria Math" w:hAnsi="Cambria Math"/>
                  <w:color w:val="1F4E9E"/>
                </w:rPr>
                <m:t>ν</m:t>
              </m:r>
              <m:r>
                <m:rPr>
                  <m:nor/>
                </m:rPr>
                <w:rPr>
                  <w:rFonts w:ascii="Cambria Math" w:hAnsi="Cambria Math"/>
                  <w:color w:val="1F4E9E"/>
                </w:rPr>
                <m:t>=</m:t>
              </m:r>
              <m:f>
                <m:fPr>
                  <m:ctrlPr>
                    <w:rPr>
                      <w:rFonts w:ascii="Cambria Math" w:hAnsi="Cambria Math"/>
                    </w:rPr>
                  </m:ctrlPr>
                </m:fPr>
                <m:num>
                  <m:r>
                    <w:rPr>
                      <w:rFonts w:ascii="Cambria Math" w:hAnsi="Cambria Math"/>
                      <w:color w:val="1F4E9E"/>
                    </w:rPr>
                    <m:t>ω</m:t>
                  </m:r>
                </m:num>
                <m:den>
                  <m:r>
                    <m:rPr>
                      <m:nor/>
                    </m:rPr>
                    <w:rPr>
                      <w:rFonts w:ascii="Cambria Math" w:hAnsi="Cambria Math"/>
                      <w:color w:val="1F4E9E"/>
                    </w:rPr>
                    <m:t>2</m:t>
                  </m:r>
                  <m:r>
                    <w:rPr>
                      <w:rFonts w:ascii="Cambria Math" w:hAnsi="Cambria Math"/>
                      <w:color w:val="1F4E9E"/>
                    </w:rPr>
                    <m:t>π</m:t>
                  </m:r>
                </m:den>
              </m:f>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/2</m:t>
                  </m:r>
                </m:sup>
              </m:sSup>
              <m:r>
                <w:rPr>
                  <w:rFonts w:ascii="Cambria Math" w:hAnsi="Cambria Math"/>
                  <w:color w:val="1F4E9E"/>
                </w:rPr>
                <m:t>#</m:t>
              </m:r>
              <m:d>
                <m:dPr>
                  <m:ctrlPr>
                    <w:rPr>
                      <w:rFonts w:ascii="Cambria Math" w:hAnsi="Cambria Math"/>
                    </w:rPr>
                  </m:ctrlPr>
                </m:dPr>
                <m:e>
                  <m:r>
                    <m:rPr>
                      <m:nor/>
                    </m:rPr>
                    <w:rPr>
                      <w:rFonts w:ascii="Cambria Math" w:hAnsi="Cambria Math"/>
                      <w:color w:val="1F4E9E"/>
                    </w:rPr>
                    <m:t>23</m:t>
                  </m:r>
                </m:e>
              </m:d>
            </m:e>
          </m:eqArr>
        </m:oMath>
      </m:oMathPara>
    </w:p>
    <w:p w14:paraId="559B4703" w14:textId="77777777" w:rsidR="00205CBC" w:rsidRDefault="00000000">
      <w:r>
        <w:rPr>
          <w:color w:val="1F4E9E"/>
        </w:rPr>
        <w:t xml:space="preserve">whose maximum over the standardized distance </w:t>
      </w:r>
      <m:oMath>
        <m:r>
          <w:rPr>
            <w:rFonts w:ascii="Cambria Math" w:hAnsi="Cambria Math"/>
            <w:color w:val="1F4E9E"/>
          </w:rPr>
          <m:t>a</m:t>
        </m:r>
      </m:oMath>
      <w:r>
        <w:rPr>
          <w:color w:val="1F4E9E"/>
        </w:rPr>
        <w:t xml:space="preserve"> is </w:t>
      </w:r>
      <m:oMath>
        <m:r>
          <w:rPr>
            <w:rFonts w:ascii="Cambria Math" w:hAnsi="Cambria Math"/>
            <w:color w:val="1F4E9E"/>
          </w:rPr>
          <m:t>ω</m:t>
        </m:r>
        <m:r>
          <m:rPr>
            <m:nor/>
          </m:rPr>
          <w:rPr>
            <w:rFonts w:ascii="Cambria Math" w:hAnsi="Cambria Math"/>
            <w:color w:val="1F4E9E"/>
          </w:rPr>
          <m:t>/2</m:t>
        </m:r>
        <m:r>
          <w:rPr>
            <w:rFonts w:ascii="Cambria Math" w:hAnsi="Cambria Math"/>
            <w:color w:val="1F4E9E"/>
          </w:rPr>
          <m:t>π</m:t>
        </m:r>
      </m:oMath>
      <w:r>
        <w:rPr>
          <w:color w:val="1F4E9E"/>
        </w:rPr>
        <w:t xml:space="preserve">, attained at </w:t>
      </w:r>
      <m:oMath>
        <m:r>
          <w:rPr>
            <w:rFonts w:ascii="Cambria Math" w:hAnsi="Cambria Math"/>
            <w:color w:val="1F4E9E"/>
          </w:rPr>
          <m:t>a</m:t>
        </m:r>
        <m:r>
          <m:rPr>
            <m:nor/>
          </m:rPr>
          <w:rPr>
            <w:rFonts w:ascii="Cambria Math" w:hAnsi="Cambria Math"/>
            <w:color w:val="1F4E9E"/>
          </w:rPr>
          <m:t>=0</m:t>
        </m:r>
      </m:oMath>
      <w:r>
        <w:rPr>
          <w:color w:val="1F4E9E"/>
        </w:rPr>
        <w:t xml:space="preserve">. Under Model 1 the delay-period rate of partial activations therefore cannot exceed </w:t>
      </w:r>
      <m:oMath>
        <m:rad>
          <m:radPr>
            <m:degHide m:val="1"/>
            <m:ctrlPr>
              <w:rPr>
                <w:rFonts w:ascii="Cambria Math" w:hAnsi="Cambria Math"/>
              </w:rPr>
            </m:ctrlPr>
          </m:radPr>
          <m:deg/>
          <m:e>
            <m:r>
              <w:rPr>
                <w:rFonts w:ascii="Cambria Math" w:hAnsi="Cambria Math"/>
                <w:color w:val="1F4E9E"/>
              </w:rPr>
              <m:t>λκ</m:t>
            </m:r>
          </m:e>
        </m:rad>
        <m:r>
          <m:rPr>
            <m:nor/>
          </m:rPr>
          <w:rPr>
            <w:rFonts w:ascii="Cambria Math" w:hAnsi="Cambria Math"/>
            <w:color w:val="1F4E9E"/>
          </w:rPr>
          <m:t>/2</m:t>
        </m:r>
        <m:r>
          <w:rPr>
            <w:rFonts w:ascii="Cambria Math" w:hAnsi="Cambria Math"/>
            <w:color w:val="1F4E9E"/>
          </w:rPr>
          <m:t>π</m:t>
        </m:r>
      </m:oMath>
      <w:r>
        <w:rPr>
          <w:color w:val="1F4E9E"/>
        </w:rPr>
        <w:t xml:space="preserve">, whatever the distance from the maintained level to the gate. The numerical consequence is drawn in Results (Delay-locked), where the non-stationary correction at small </w:t>
      </w:r>
      <m:oMath>
        <m:r>
          <w:rPr>
            <w:rFonts w:ascii="Cambria Math" w:hAnsi="Cambria Math"/>
            <w:color w:val="1F4E9E"/>
          </w:rPr>
          <m:t>κ</m:t>
        </m:r>
      </m:oMath>
      <w:r>
        <w:rPr>
          <w:color w:val="1F4E9E"/>
        </w:rPr>
        <w:t xml:space="preserve"> — which lowers the ceiling further — is also given. ∎</w:t>
      </w:r>
    </w:p>
    <w:p w14:paraId="4100226B" w14:textId="77777777" w:rsidR="00205CBC" w:rsidRDefault="00000000">
      <w:r>
        <w:rPr>
          <w:color w:val="1F4E9E"/>
        </w:rPr>
        <w:t xml:space="preserve">Corollary C.2 (the log-rate slope). Under Model 2 the barrier moves at constant speed, so by (12) </w:t>
      </w:r>
      <m:oMath>
        <m:r>
          <w:rPr>
            <w:rFonts w:ascii="Cambria Math" w:hAnsi="Cambria Math"/>
            <w:color w:val="1F4E9E"/>
          </w:rPr>
          <m:t>d</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d</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ατ</m:t>
        </m:r>
      </m:oMath>
      <w:r>
        <w:rPr>
          <w:color w:val="1F4E9E"/>
        </w:rPr>
        <w:t xml:space="preserve"> and hence </w:t>
      </w:r>
      <m:oMath>
        <m:r>
          <w:rPr>
            <w:rFonts w:ascii="Cambria Math" w:hAnsi="Cambria Math"/>
            <w:color w:val="1F4E9E"/>
          </w:rPr>
          <m:t>a</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a</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bτ</m:t>
        </m:r>
      </m:oMath>
      <w:r>
        <w:rPr>
          <w:color w:val="1F4E9E"/>
        </w:rPr>
        <w:t xml:space="preserve">, with </w:t>
      </w:r>
      <m:oMath>
        <m:r>
          <w:rPr>
            <w:rFonts w:ascii="Cambria Math" w:hAnsi="Cambria Math"/>
            <w:color w:val="1F4E9E"/>
          </w:rPr>
          <m:t>b</m:t>
        </m:r>
        <m:r>
          <m:rPr>
            <m:nor/>
          </m:rPr>
          <w:rPr>
            <w:rFonts w:ascii="Cambria Math" w:hAnsi="Cambria Math"/>
            <w:color w:val="1F4E9E"/>
          </w:rPr>
          <m:t>=</m:t>
        </m:r>
        <m:r>
          <w:rPr>
            <w:rFonts w:ascii="Cambria Math" w:hAnsi="Cambria Math"/>
            <w:color w:val="1F4E9E"/>
          </w:rPr>
          <m:t>α</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as above. Taking logarithms in (22), the bracket is constant in </w:t>
      </w:r>
      <m:oMath>
        <m:r>
          <w:rPr>
            <w:rFonts w:ascii="Cambria Math" w:hAnsi="Cambria Math"/>
            <w:color w:val="1F4E9E"/>
          </w:rPr>
          <m:t>τ</m:t>
        </m:r>
      </m:oMath>
      <w:r>
        <w:rPr>
          <w:color w:val="1F4E9E"/>
        </w:rPr>
        <w:t xml:space="preserve"> and </w:t>
      </w:r>
      <m:oMath>
        <m:r>
          <m:rPr>
            <m:nor/>
          </m:rPr>
          <w:rPr>
            <w:rFonts w:ascii="Cambria Math" w:hAnsi="Cambria Math"/>
            <w:color w:val="1F4E9E"/>
          </w:rPr>
          <m:t>ln</m:t>
        </m:r>
        <m:r>
          <w:rPr>
            <w:rFonts w:ascii="Cambria Math" w:hAnsi="Cambria Math"/>
            <w:color w:val="1F4E9E"/>
          </w:rPr>
          <m:t>φ</m:t>
        </m:r>
        <m:d>
          <m:dPr>
            <m:ctrlPr>
              <w:rPr>
                <w:rFonts w:ascii="Cambria Math" w:hAnsi="Cambria Math"/>
              </w:rPr>
            </m:ctrlPr>
          </m:dPr>
          <m:e>
            <m:r>
              <w:rPr>
                <w:rFonts w:ascii="Cambria Math" w:hAnsi="Cambria Math"/>
                <w:color w:val="1F4E9E"/>
              </w:rPr>
              <m:t>a</m:t>
            </m:r>
          </m:e>
        </m:d>
        <m:r>
          <m:rPr>
            <m:nor/>
          </m:rPr>
          <w:rPr>
            <w:rFonts w:ascii="Cambria Math" w:hAnsi="Cambria Math"/>
            <w:color w:val="1F4E9E"/>
          </w:rPr>
          <m:t>=-</m:t>
        </m:r>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/2-ln</m:t>
        </m:r>
        <m:rad>
          <m:radPr>
            <m:degHide m:val="1"/>
            <m:ctrlPr>
              <w:rPr>
                <w:rFonts w:ascii="Cambria Math" w:hAnsi="Cambria Math"/>
              </w:rPr>
            </m:ctrlPr>
          </m:radPr>
          <m:deg/>
          <m:e>
            <m:r>
              <m:rPr>
                <m:nor/>
              </m:rPr>
              <w:rPr>
                <w:rFonts w:ascii="Cambria Math" w:hAnsi="Cambria Math"/>
                <w:color w:val="1F4E9E"/>
              </w:rPr>
              <m:t>2</m:t>
            </m:r>
            <m:r>
              <w:rPr>
                <w:rFonts w:ascii="Cambria Math" w:hAnsi="Cambria Math"/>
                <w:color w:val="1F4E9E"/>
              </w:rPr>
              <m:t>π</m:t>
            </m:r>
          </m:e>
        </m:rad>
      </m:oMath>
      <w:r>
        <w:rPr>
          <w:color w:val="1F4E9E"/>
        </w:rPr>
        <w:t>, so differentiating with respect to elapsed maintenance time gives</w:t>
      </w:r>
    </w:p>
    <w:p w14:paraId="3D354507" w14:textId="77777777" w:rsidR="00205CBC" w:rsidRDefault="00000000">
      <m:oMathPara>
        <m:oMath>
          <m:eqArr>
            <m:eqArrPr>
              <m:maxDist m:val="1"/>
              <m:ctrlPr>
                <w:rPr>
                  <w:rFonts w:ascii="Cambria Math" w:hAnsi="Cambria Math"/>
                </w:rPr>
              </m:ctrlPr>
            </m:eqArrPr>
            <m:e>
              <m:f>
                <m:fPr>
                  <m:ctrlPr>
                    <w:rPr>
                      <w:rFonts w:ascii="Cambria Math" w:hAnsi="Cambria Math"/>
                    </w:rPr>
                  </m:ctrlPr>
                </m:fPr>
                <m:num>
                  <m:r>
                    <m:rPr>
                      <m:nor/>
                    </m:rPr>
                    <w:rPr>
                      <w:rFonts w:ascii="Cambria Math" w:hAnsi="Cambria Math"/>
                      <w:color w:val="1F4E9E"/>
                    </w:rPr>
                    <m:t>d</m:t>
                  </m:r>
                  <m:d>
                    <m:dPr>
                      <m:ctrlPr>
                        <w:rPr>
                          <w:rFonts w:ascii="Cambria Math" w:hAnsi="Cambria Math"/>
                        </w:rPr>
                      </m:ctrlPr>
                    </m:dPr>
                    <m:e>
                      <m:r>
                        <m:rPr>
                          <m:nor/>
                        </m:rPr>
                        <w:rPr>
                          <w:rFonts w:ascii="Cambria Math" w:hAnsi="Cambria Math"/>
                          <w:color w:val="1F4E9E"/>
                        </w:rPr>
                        <m:t>ln</m:t>
                      </m:r>
                      <m:r>
                        <w:rPr>
                          <w:rFonts w:ascii="Cambria Math" w:hAnsi="Cambria Math"/>
                          <w:color w:val="1F4E9E"/>
                        </w:rPr>
                        <m:t>ν</m:t>
                      </m:r>
                    </m:e>
                  </m:d>
                </m:num>
                <m:den>
                  <m:r>
                    <m:rPr>
                      <m:nor/>
                    </m:rPr>
                    <w:rPr>
                      <w:rFonts w:ascii="Cambria Math" w:hAnsi="Cambria Math"/>
                      <w:color w:val="1F4E9E"/>
                    </w:rPr>
                    <m:t>d</m:t>
                  </m:r>
                  <m:r>
                    <w:rPr>
                      <w:rFonts w:ascii="Cambria Math" w:hAnsi="Cambria Math"/>
                      <w:color w:val="1F4E9E"/>
                    </w:rPr>
                    <m:t>τ</m:t>
                  </m:r>
                </m:den>
              </m:f>
              <m:r>
                <m:rPr>
                  <m:nor/>
                </m:rPr>
                <w:rPr>
                  <w:rFonts w:ascii="Cambria Math" w:hAnsi="Cambria Math"/>
                  <w:color w:val="1F4E9E"/>
                </w:rPr>
                <m:t>=</m:t>
              </m:r>
              <m:r>
                <w:rPr>
                  <w:rFonts w:ascii="Cambria Math" w:hAnsi="Cambria Math"/>
                  <w:color w:val="1F4E9E"/>
                </w:rPr>
                <m:t>b</m:t>
              </m:r>
              <m:r>
                <m:rPr>
                  <m:nor/>
                </m:rPr>
                <w:rPr>
                  <w:rFonts w:ascii="Cambria Math" w:hAnsi="Cambria Math"/>
                  <w:color w:val="1F4E9E"/>
                </w:rPr>
                <m:t> </m:t>
              </m:r>
              <m:r>
                <w:rPr>
                  <w:rFonts w:ascii="Cambria Math" w:hAnsi="Cambria Math"/>
                  <w:color w:val="1F4E9E"/>
                </w:rPr>
                <m:t>a</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,  </m:t>
              </m:r>
              <m:f>
                <m:fPr>
                  <m:ctrlPr>
                    <w:rPr>
                      <w:rFonts w:ascii="Cambria Math" w:hAnsi="Cambria Math"/>
                    </w:rPr>
                  </m:ctrlPr>
                </m:fPr>
                <m:num>
                  <m:sSup>
                    <m:sSupPr>
                      <m:ctrlPr>
                        <w:rPr>
                          <w:rFonts w:ascii="Cambria Math" w:hAnsi="Cambria Math"/>
                        </w:rPr>
                      </m:ctrlPr>
                    </m:sSupPr>
                    <m:e>
                      <m:r>
                        <m:rPr>
                          <m:nor/>
                        </m:rPr>
                        <w:rPr>
                          <w:rFonts w:ascii="Cambria Math" w:hAnsi="Cambria Math"/>
                          <w:color w:val="1F4E9E"/>
                        </w:rPr>
                        <m:t>d</m:t>
                      </m:r>
                    </m:e>
                    <m:sup>
                      <m:r>
                        <m:rPr>
                          <m:nor/>
                        </m:rPr>
                        <w:rPr>
                          <w:rFonts w:ascii="Cambria Math" w:hAnsi="Cambria Math"/>
                          <w:color w:val="1F4E9E"/>
                        </w:rPr>
                        <m:t>2</m:t>
                      </m:r>
                    </m:sup>
                  </m:sSup>
                  <m:d>
                    <m:dPr>
                      <m:ctrlPr>
                        <w:rPr>
                          <w:rFonts w:ascii="Cambria Math" w:hAnsi="Cambria Math"/>
                        </w:rPr>
                      </m:ctrlPr>
                    </m:dPr>
                    <m:e>
                      <m:r>
                        <m:rPr>
                          <m:nor/>
                        </m:rPr>
                        <w:rPr>
                          <w:rFonts w:ascii="Cambria Math" w:hAnsi="Cambria Math"/>
                          <w:color w:val="1F4E9E"/>
                        </w:rPr>
                        <m:t>ln</m:t>
                      </m:r>
                      <m:r>
                        <w:rPr>
                          <w:rFonts w:ascii="Cambria Math" w:hAnsi="Cambria Math"/>
                          <w:color w:val="1F4E9E"/>
                        </w:rPr>
                        <m:t>ν</m:t>
                      </m:r>
                    </m:e>
                  </m:d>
                </m:num>
                <m:den>
                  <m:r>
                    <m:rPr>
                      <m:nor/>
                    </m:rPr>
                    <w:rPr>
                      <w:rFonts w:ascii="Cambria Math" w:hAnsi="Cambria Math"/>
                      <w:color w:val="1F4E9E"/>
                    </w:rPr>
                    <m:t>d</m:t>
                  </m:r>
                  <m:sSup>
                    <m:sSupPr>
                      <m:ctrlPr>
                        <w:rPr>
                          <w:rFonts w:ascii="Cambria Math" w:hAnsi="Cambria Math"/>
                        </w:rPr>
                      </m:ctrlPr>
                    </m:sSupPr>
                    <m:e>
                      <m:r>
                        <w:rPr>
                          <w:rFonts w:ascii="Cambria Math" w:hAnsi="Cambria Math"/>
                          <w:color w:val="1F4E9E"/>
                        </w:rPr>
                        <m:t>τ</m:t>
                      </m:r>
                    </m:e>
                    <m:sup>
                      <m:r>
                        <m:rPr>
                          <m:nor/>
                        </m:rPr>
                        <w:rPr>
                          <w:rFonts w:ascii="Cambria Math" w:hAnsi="Cambria Math"/>
                          <w:color w:val="1F4E9E"/>
                        </w:rPr>
                        <m:t>2</m:t>
                      </m:r>
                    </m:sup>
                  </m:sSup>
                </m:den>
              </m:f>
              <m:r>
                <m:rPr>
                  <m:nor/>
                </m:rPr>
                <w:rPr>
                  <w:rFonts w:ascii="Cambria Math" w:hAnsi="Cambria Math"/>
                  <w:color w:val="1F4E9E"/>
                </w:rPr>
                <m:t>=-</m:t>
              </m:r>
              <m:sSup>
                <m:sSupPr>
                  <m:ctrlPr>
                    <w:rPr>
                      <w:rFonts w:ascii="Cambria Math" w:hAnsi="Cambria Math"/>
                    </w:rPr>
                  </m:ctrlPr>
                </m:sSupPr>
                <m:e>
                  <m:r>
                    <w:rPr>
                      <w:rFonts w:ascii="Cambria Math" w:hAnsi="Cambria Math"/>
                      <w:color w:val="1F4E9E"/>
                    </w:rPr>
                    <m:t>b</m:t>
                  </m:r>
                </m:e>
                <m:sup>
                  <m:r>
                    <m:rPr>
                      <m:nor/>
                    </m:rPr>
                    <w:rPr>
                      <w:rFonts w:ascii="Cambria Math" w:hAnsi="Cambria Math"/>
                      <w:color w:val="1F4E9E"/>
                    </w:rPr>
                    <m:t>2</m:t>
                  </m:r>
                </m:sup>
              </m:sSup>
              <m:r>
                <m:rPr>
                  <m:nor/>
                </m:rPr>
                <w:rPr>
                  <w:rFonts w:ascii="Cambria Math" w:hAnsi="Cambria Math"/>
                  <w:color w:val="1F4E9E"/>
                </w:rPr>
                <m:t>&lt;0</m:t>
              </m:r>
              <m:r>
                <w:rPr>
                  <w:rFonts w:ascii="Cambria Math" w:hAnsi="Cambria Math"/>
                  <w:color w:val="1F4E9E"/>
                </w:rPr>
                <m:t>#</m:t>
              </m:r>
              <m:d>
                <m:dPr>
                  <m:ctrlPr>
                    <w:rPr>
                      <w:rFonts w:ascii="Cambria Math" w:hAnsi="Cambria Math"/>
                    </w:rPr>
                  </m:ctrlPr>
                </m:dPr>
                <m:e>
                  <m:r>
                    <m:rPr>
                      <m:nor/>
                    </m:rPr>
                    <w:rPr>
                      <w:rFonts w:ascii="Cambria Math" w:hAnsi="Cambria Math"/>
                      <w:color w:val="1F4E9E"/>
                    </w:rPr>
                    <m:t>24</m:t>
                  </m:r>
                </m:e>
              </m:d>
            </m:e>
          </m:eqArr>
        </m:oMath>
      </m:oMathPara>
    </w:p>
    <w:p w14:paraId="3FA5F56F" w14:textId="77777777" w:rsidR="00205CBC" w:rsidRDefault="00000000">
      <w:r>
        <w:rPr>
          <w:color w:val="1F4E9E"/>
        </w:rPr>
        <w:t xml:space="preserve">The log rate therefore rises at a rate proportional to the current standardized distance to the gate, and its curvature is negative and free of parameters. A cell with a higher rate has by construction a smaller </w:t>
      </w:r>
      <m:oMath>
        <m:r>
          <w:rPr>
            <w:rFonts w:ascii="Cambria Math" w:hAnsi="Cambria Math"/>
            <w:color w:val="1F4E9E"/>
          </w:rPr>
          <m:t>a</m:t>
        </m:r>
      </m:oMath>
      <w:r>
        <w:rPr>
          <w:color w:val="1F4E9E"/>
        </w:rPr>
        <w:t xml:space="preserve"> and so a shallower predicted log-rate slope. ∎</w:t>
      </w:r>
    </w:p>
    <w:p w14:paraId="5CC57FA2" w14:textId="77777777" w:rsidR="00205CBC" w:rsidRDefault="00000000">
      <w:r>
        <w:rPr>
          <w:color w:val="1F4E9E"/>
        </w:rPr>
        <w:t xml:space="preserve">Proposition C.3 (saturation reverses the coherence × duration interaction). The model predicts that the effect of coherence on the delay-period rate is smaller, not larger, after a long </w:t>
      </w:r>
      <w:r>
        <w:rPr>
          <w:color w:val="1F4E9E"/>
        </w:rPr>
        <w:lastRenderedPageBreak/>
        <w:t xml:space="preserve">stimulus. Proof. The maintained level is capped pathwise at </w:t>
      </w:r>
      <m:oMath>
        <m:r>
          <w:rPr>
            <w:rFonts w:ascii="Cambria Math" w:hAnsi="Cambria Math"/>
            <w:color w:val="1F4E9E"/>
          </w:rPr>
          <m:t>θ</m:t>
        </m:r>
      </m:oMath>
      <w:r>
        <w:rPr>
          <w:color w:val="1F4E9E"/>
        </w:rPr>
        <w:t xml:space="preserve">: once a trial reaches the threshold it is held there for the rest of the delay, and its instantaneous rate sits at the corresponding ceiling value irrespective of coherence. Writing </w:t>
      </w:r>
      <m:oMath>
        <m:r>
          <w:rPr>
            <w:rFonts w:ascii="Cambria Math" w:hAnsi="Cambria Math"/>
            <w:color w:val="1F4E9E"/>
          </w:rPr>
          <m:t>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oMath>
      <w:r>
        <w:rPr>
          <w:color w:val="1F4E9E"/>
        </w:rPr>
        <w:t xml:space="preserve"> for the fraction of trials at duration </w:t>
      </w:r>
      <m:oMath>
        <m:r>
          <w:rPr>
            <w:rFonts w:ascii="Cambria Math" w:hAnsi="Cambria Math"/>
            <w:color w:val="1F4E9E"/>
          </w:rPr>
          <m:t>D</m:t>
        </m:r>
      </m:oMath>
      <w:r>
        <w:rPr>
          <w:color w:val="1F4E9E"/>
        </w:rPr>
        <w:t xml:space="preserve"> and coherence </w:t>
      </w:r>
      <m:oMath>
        <m:r>
          <w:rPr>
            <w:rFonts w:ascii="Cambria Math" w:hAnsi="Cambria Math"/>
            <w:color w:val="1F4E9E"/>
          </w:rPr>
          <m:t>c</m:t>
        </m:r>
      </m:oMath>
      <w:r>
        <w:rPr>
          <w:color w:val="1F4E9E"/>
        </w:rPr>
        <w:t xml:space="preserve"> that have reached </w:t>
      </w:r>
      <m:oMath>
        <m:r>
          <w:rPr>
            <w:rFonts w:ascii="Cambria Math" w:hAnsi="Cambria Math"/>
            <w:color w:val="1F4E9E"/>
          </w:rPr>
          <m:t>θ</m:t>
        </m:r>
      </m:oMath>
      <w:r>
        <w:rPr>
          <w:color w:val="1F4E9E"/>
        </w:rPr>
        <w:t xml:space="preserve"> by a given point in the delay, and conditioning (22) on that event, the rate tends as </w:t>
      </w:r>
      <m:oMath>
        <m:r>
          <w:rPr>
            <w:rFonts w:ascii="Cambria Math" w:hAnsi="Cambria Math"/>
            <w:color w:val="1F4E9E"/>
          </w:rPr>
          <m:t>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r>
          <m:rPr>
            <m:nor/>
          </m:rPr>
          <w:rPr>
            <w:rFonts w:ascii="Cambria Math" w:hAnsi="Cambria Math"/>
            <w:color w:val="1F4E9E"/>
          </w:rPr>
          <m:t>→1</m:t>
        </m:r>
      </m:oMath>
      <w:r>
        <w:rPr>
          <w:color w:val="1F4E9E"/>
        </w:rPr>
        <w:t xml:space="preserve"> to a value that no longer depends on coherence, so the coherence levels converge on a common capped rate. A longer stimulus raises </w:t>
      </w:r>
      <m:oMath>
        <m:r>
          <w:rPr>
            <w:rFonts w:ascii="Cambria Math" w:hAnsi="Cambria Math"/>
            <w:color w:val="1F4E9E"/>
          </w:rPr>
          <m:t>F</m:t>
        </m:r>
        <m:d>
          <m:dPr>
            <m:ctrlPr>
              <w:rPr>
                <w:rFonts w:ascii="Cambria Math" w:hAnsi="Cambria Math"/>
              </w:rPr>
            </m:ctrlPr>
          </m:dPr>
          <m:e>
            <m:r>
              <w:rPr>
                <w:rFonts w:ascii="Cambria Math" w:hAnsi="Cambria Math"/>
                <w:color w:val="1F4E9E"/>
              </w:rPr>
              <m:t>D</m:t>
            </m:r>
            <m:r>
              <m:rPr>
                <m:nor/>
              </m:rPr>
              <w:rPr>
                <w:rFonts w:ascii="Cambria Math" w:hAnsi="Cambria Math"/>
                <w:color w:val="1F4E9E"/>
              </w:rPr>
              <m:t>,</m:t>
            </m:r>
            <m:r>
              <w:rPr>
                <w:rFonts w:ascii="Cambria Math" w:hAnsi="Cambria Math"/>
                <w:color w:val="1F4E9E"/>
              </w:rPr>
              <m:t>c</m:t>
            </m:r>
          </m:e>
        </m:d>
      </m:oMath>
      <w:r>
        <w:rPr>
          <w:color w:val="1F4E9E"/>
        </w:rPr>
        <w:t xml:space="preserve"> at every coherence (A.1), so it moves every cell closer to that common value. The argument is a limit argument and the prediction is conditional on the limit being approached: it requires the LOWEST-coherence long-duration cell to be near the cap, since the effect is a difference between coherences and the cap can only shrink that difference once both of its terms are capped. Where that fails the prediction is not merely unproven, it reverses, and for a reason that is the direct converse of the one above: below the cap the maintained level is free, its mean grows by (27) about as </w:t>
      </w:r>
      <m:oMath>
        <m:r>
          <w:rPr>
            <w:rFonts w:ascii="Cambria Math" w:hAnsi="Cambria Math"/>
            <w:color w:val="1F4E9E"/>
          </w:rPr>
          <m:t>kc</m:t>
        </m:r>
        <m:d>
          <m:dPr>
            <m:ctrlPr>
              <w:rPr>
                <w:rFonts w:ascii="Cambria Math" w:hAnsi="Cambria Math"/>
              </w:rPr>
            </m:ctrlPr>
          </m:dPr>
          <m:e>
            <m:r>
              <w:rPr>
                <w:rFonts w:ascii="Cambria Math" w:hAnsi="Cambria Math"/>
                <w:color w:val="1F4E9E"/>
              </w:rPr>
              <m:t>t</m:t>
            </m:r>
            <m:r>
              <m:rPr>
                <m:nor/>
              </m:rPr>
              <w:rPr>
                <w:rFonts w:ascii="Cambria Math" w:hAnsi="Cambria Math"/>
                <w:color w:val="1F4E9E"/>
              </w:rPr>
              <m:t>-1/</m:t>
            </m:r>
            <m:r>
              <w:rPr>
                <w:rFonts w:ascii="Cambria Math" w:hAnsi="Cambria Math"/>
                <w:color w:val="1F4E9E"/>
              </w:rPr>
              <m:t>λ</m:t>
            </m:r>
          </m:e>
        </m:d>
      </m:oMath>
      <w:r>
        <w:rPr>
          <w:color w:val="1F4E9E"/>
        </w:rPr>
        <w:t xml:space="preserve">, and its coherence derivative </w:t>
      </w:r>
      <m:oMath>
        <m:r>
          <w:rPr>
            <w:rFonts w:ascii="Cambria Math" w:hAnsi="Cambria Math"/>
            <w:color w:val="1F4E9E"/>
          </w:rPr>
          <m:t>k</m:t>
        </m:r>
        <m:d>
          <m:dPr>
            <m:ctrlPr>
              <w:rPr>
                <w:rFonts w:ascii="Cambria Math" w:hAnsi="Cambria Math"/>
              </w:rPr>
            </m:ctrlPr>
          </m:dPr>
          <m:e>
            <m:r>
              <w:rPr>
                <w:rFonts w:ascii="Cambria Math" w:hAnsi="Cambria Math"/>
                <w:color w:val="1F4E9E"/>
              </w:rPr>
              <m:t>t</m:t>
            </m:r>
            <m:r>
              <m:rPr>
                <m:nor/>
              </m:rPr>
              <w:rPr>
                <w:rFonts w:ascii="Cambria Math" w:hAnsi="Cambria Math"/>
                <w:color w:val="1F4E9E"/>
              </w:rPr>
              <m:t>-1/</m:t>
            </m:r>
            <m:r>
              <w:rPr>
                <w:rFonts w:ascii="Cambria Math" w:hAnsi="Cambria Math"/>
                <w:color w:val="1F4E9E"/>
              </w:rPr>
              <m:t>λ</m:t>
            </m:r>
          </m:e>
        </m:d>
      </m:oMath>
      <w:r>
        <w:rPr>
          <w:color w:val="1F4E9E"/>
        </w:rPr>
        <w:t xml:space="preserve"> therefore GROWS with duration. Saturation is the only thing that turns that growth into a shrinkage. It is worth stating that this condition cannot be enforced through accuracy. The contrast is taken between 50% and 0% coherence, and the cell that fails to saturate is the 0% one, whose accuracy is one half by symmetry at every parameter setting (A.2); accuracy is governed by the signal-to-noise ratio of A.1 and not by </w:t>
      </w:r>
      <m:oMath>
        <m:r>
          <w:rPr>
            <w:rFonts w:ascii="Cambria Math" w:hAnsi="Cambria Math"/>
            <w:color w:val="1F4E9E"/>
          </w:rPr>
          <m:t>F</m:t>
        </m:r>
      </m:oMath>
      <w:r>
        <w:rPr>
          <w:color w:val="1F4E9E"/>
        </w:rPr>
        <w:t xml:space="preserve">, so a trial can be on the correct side of zero without having reached </w:t>
      </w:r>
      <m:oMath>
        <m:r>
          <w:rPr>
            <w:rFonts w:ascii="Cambria Math" w:hAnsi="Cambria Math"/>
            <w:color w:val="1F4E9E"/>
          </w:rPr>
          <m:t>θ</m:t>
        </m:r>
      </m:oMath>
      <w:r>
        <w:rPr>
          <w:color w:val="1F4E9E"/>
        </w:rPr>
        <w:t xml:space="preserve">. Over the admissible space the condition holds widely but not everywhere: the interaction has the predicted sign at 85% of Model 1’s settings and 87% of Model 2’s, and reverses at 4% and 7% of them, those being settings at the top of the range of </w:t>
      </w:r>
      <m:oMath>
        <m:r>
          <w:rPr>
            <w:rFonts w:ascii="Cambria Math" w:hAnsi="Cambria Math"/>
            <w:color w:val="1F4E9E"/>
          </w:rPr>
          <m:t>θ</m:t>
        </m:r>
      </m:oMath>
      <w:r>
        <w:rPr>
          <w:color w:val="1F4E9E"/>
        </w:rPr>
        <w:t xml:space="preserve"> and the bottom of the range of </w:t>
      </w:r>
      <m:oMath>
        <m:r>
          <w:rPr>
            <w:rFonts w:ascii="Cambria Math" w:hAnsi="Cambria Math"/>
            <w:color w:val="1F4E9E"/>
          </w:rPr>
          <m:t>k</m:t>
        </m:r>
      </m:oMath>
      <w:r>
        <w:rPr>
          <w:color w:val="1F4E9E"/>
        </w:rPr>
        <w:t xml:space="preserve">. In units of </w:t>
      </w:r>
      <m:oMath>
        <m:r>
          <w:rPr>
            <w:rFonts w:ascii="Cambria Math" w:hAnsi="Cambria Math"/>
            <w:color w:val="1F4E9E"/>
          </w:rPr>
          <m:t>θ</m:t>
        </m:r>
      </m:oMath>
      <w:r>
        <w:rPr>
          <w:color w:val="1F4E9E"/>
        </w:rPr>
        <w:t xml:space="preserve"> the coherence gap in </w:t>
      </w:r>
      <m:oMath>
        <m:r>
          <m:rPr>
            <m:nor/>
          </m:rPr>
          <w:rPr>
            <w:rFonts w:ascii="Cambria Math" w:hAnsi="Cambria Math"/>
            <w:color w:val="1F4E9E"/>
          </w:rPr>
          <m:t>E</m:t>
        </m:r>
        <m:d>
          <m:dPr>
            <m:begChr m:val="|"/>
            <m:endChr m:val="|"/>
            <m:ctrlPr>
              <w:rPr>
                <w:rFonts w:ascii="Cambria Math" w:hAnsi="Cambria Math"/>
              </w:rPr>
            </m:ctrlPr>
          </m:dPr>
          <m:e>
            <m:r>
              <w:rPr>
                <w:rFonts w:ascii="Cambria Math" w:hAnsi="Cambria Math"/>
                <w:color w:val="1F4E9E"/>
              </w:rPr>
              <m:t>m</m:t>
            </m:r>
          </m:e>
        </m:d>
      </m:oMath>
      <w:r>
        <w:rPr>
          <w:color w:val="1F4E9E"/>
        </w:rPr>
        <w:t xml:space="preserve"> falls from +0.38 at </w:t>
      </w:r>
      <m:oMath>
        <m:r>
          <w:rPr>
            <w:rFonts w:ascii="Cambria Math" w:hAnsi="Cambria Math"/>
            <w:color w:val="1F4E9E"/>
          </w:rPr>
          <m:t>D</m:t>
        </m:r>
        <m:r>
          <m:rPr>
            <m:nor/>
          </m:rPr>
          <w:rPr>
            <w:rFonts w:ascii="Cambria Math" w:hAnsi="Cambria Math"/>
            <w:color w:val="1F4E9E"/>
          </w:rPr>
          <m:t>=0.3</m:t>
        </m:r>
      </m:oMath>
      <w:r>
        <w:rPr>
          <w:color w:val="1F4E9E"/>
        </w:rPr>
        <w:t xml:space="preserve"> s to +0.01 at </w:t>
      </w:r>
      <m:oMath>
        <m:r>
          <w:rPr>
            <w:rFonts w:ascii="Cambria Math" w:hAnsi="Cambria Math"/>
            <w:color w:val="1F4E9E"/>
          </w:rPr>
          <m:t>D</m:t>
        </m:r>
        <m:r>
          <m:rPr>
            <m:nor/>
          </m:rPr>
          <w:rPr>
            <w:rFonts w:ascii="Cambria Math" w:hAnsi="Cambria Math"/>
            <w:color w:val="1F4E9E"/>
          </w:rPr>
          <m:t>=2</m:t>
        </m:r>
      </m:oMath>
      <w:r>
        <w:rPr>
          <w:color w:val="1F4E9E"/>
        </w:rPr>
        <w:t xml:space="preserve"> s in a conforming draw and rises from +0.27 to +0.38 in a reversing one, the high-coherence long-duration cell sitting at exactly </w:t>
      </w:r>
      <m:oMath>
        <m:r>
          <w:rPr>
            <w:rFonts w:ascii="Cambria Math" w:hAnsi="Cambria Math"/>
            <w:color w:val="1F4E9E"/>
          </w:rPr>
          <m:t>θ</m:t>
        </m:r>
      </m:oMath>
      <w:r>
        <w:rPr>
          <w:color w:val="1F4E9E"/>
        </w:rPr>
        <w:t xml:space="preserve"> in both. ∎</w:t>
      </w:r>
    </w:p>
    <w:p w14:paraId="1FBE61AA" w14:textId="77777777" w:rsidR="00205CBC" w:rsidRDefault="00000000">
      <w:r>
        <w:rPr>
          <w:color w:val="1F4E9E"/>
        </w:rPr>
        <w:lastRenderedPageBreak/>
        <w:t>Remark C.4. Corollary C.2 and Proposition C.3 pull in opposite directions on the coherence dependence of the delay-period rate, and it is worth being explicit that they are consistent. C.3 concerns the rate itself, whose coherence dependence saturates; C.2 concerns the slope of its logarithm, which is predicted to remain coherence-dependent — shallower where the rate is higher — precisely because the distance to the gate is smaller there. A residual coherence dependence of the log-rate slope is therefore a signature of saturated maintenance, not of continued evidence accumulation.</w:t>
      </w:r>
    </w:p>
    <w:p w14:paraId="65B57B3E" w14:textId="77777777" w:rsidR="00205CBC" w:rsidRDefault="00000000">
      <w:r>
        <w:rPr>
          <w:color w:val="1F4E9E"/>
        </w:rPr>
        <w:t xml:space="preserve">Corollary C.5 (Model 1 cannot ramp and activate at the same rate: the ramp–rate frontier). Under Model 1 the delay-period ramp exists only by virtue of the non-stationarity of </w:t>
      </w:r>
      <m:oMath>
        <m:r>
          <w:rPr>
            <w:rFonts w:ascii="Cambria Math" w:hAnsi="Cambria Math"/>
            <w:color w:val="1F4E9E"/>
          </w:rPr>
          <m:t>V</m:t>
        </m:r>
      </m:oMath>
      <w:r>
        <w:rPr>
          <w:color w:val="1F4E9E"/>
        </w:rPr>
        <w:t xml:space="preserve">, and it is traded off against the rate itself, the trade-off being carried by the standardized distance </w:t>
      </w:r>
      <m:oMath>
        <m:r>
          <w:rPr>
            <w:rFonts w:ascii="Cambria Math" w:hAnsi="Cambria Math"/>
            <w:color w:val="1F4E9E"/>
          </w:rPr>
          <m:t>a</m:t>
        </m:r>
      </m:oMath>
      <w:r>
        <w:rPr>
          <w:color w:val="1F4E9E"/>
        </w:rPr>
        <w:t xml:space="preserve">. Proof. Maintenance begins with the filtered signal exactly at its target and the Ornstein–Uhlenbeck input at its own mean, so </w:t>
      </w:r>
      <m:oMath>
        <m:r>
          <w:rPr>
            <w:rFonts w:ascii="Cambria Math" w:hAnsi="Cambria Math"/>
            <w:color w:val="1F4E9E"/>
          </w:rPr>
          <m:t>V</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r>
          <m:rPr>
            <m:nor/>
          </m:rPr>
          <w:rPr>
            <w:rFonts w:ascii="Cambria Math" w:hAnsi="Cambria Math"/>
            <w:color w:val="1F4E9E"/>
          </w:rPr>
          <m:t>=0</m:t>
        </m:r>
      </m:oMath>
      <w:r>
        <w:rPr>
          <w:color w:val="1F4E9E"/>
        </w:rPr>
        <w:t xml:space="preserve"> with zero variance and the moments (16) and (17) relax to their stationary limits from below. Set </w:t>
      </w:r>
      <m:oMath>
        <m:r>
          <w:rPr>
            <w:rFonts w:ascii="Cambria Math" w:hAnsi="Cambria Math"/>
            <w:color w:val="1F4E9E"/>
          </w:rPr>
          <m:t>α</m:t>
        </m:r>
        <m:r>
          <m:rPr>
            <m:nor/>
          </m:rPr>
          <w:rPr>
            <w:rFonts w:ascii="Cambria Math" w:hAnsi="Cambria Math"/>
            <w:color w:val="1F4E9E"/>
          </w:rPr>
          <m:t>=0</m:t>
        </m:r>
      </m:oMath>
      <w:r>
        <w:rPr>
          <w:color w:val="1F4E9E"/>
        </w:rPr>
        <w:t xml:space="preserve"> in (21), keep the non-stationary moments, and drop for the moment the covariance term — that is, take </w:t>
      </w:r>
      <m:oMath>
        <m:r>
          <w:rPr>
            <w:rFonts w:ascii="Cambria Math" w:hAnsi="Cambria Math"/>
            <w:color w:val="1F4E9E"/>
          </w:rPr>
          <m:t>M</m:t>
        </m:r>
        <m:r>
          <m:rPr>
            <m:nor/>
          </m:rPr>
          <w:rPr>
            <w:rFonts w:ascii="Cambria Math" w:hAnsi="Cambria Math"/>
            <w:color w:val="1F4E9E"/>
          </w:rPr>
          <m:t>=0</m:t>
        </m:r>
      </m:oMath>
      <w:r>
        <w:rPr>
          <w:color w:val="1F4E9E"/>
        </w:rPr>
        <w:t xml:space="preserve"> and </w:t>
      </w:r>
      <m:oMath>
        <m:r>
          <w:rPr>
            <w:rFonts w:ascii="Cambria Math" w:hAnsi="Cambria Math"/>
            <w:color w:val="1F4E9E"/>
          </w:rPr>
          <m:t>S</m:t>
        </m:r>
        <m:r>
          <m:rPr>
            <m:nor/>
          </m:rPr>
          <w:rPr>
            <w:rFonts w:ascii="Cambria Math" w:hAnsi="Cambria Math"/>
            <w:color w:val="1F4E9E"/>
          </w:rPr>
          <m:t>=</m:t>
        </m:r>
        <m:r>
          <w:rPr>
            <w:rFonts w:ascii="Cambria Math" w:hAnsi="Cambria Math"/>
            <w:color w:val="1F4E9E"/>
          </w:rPr>
          <m:t>u</m:t>
        </m:r>
      </m:oMath>
      <w:r>
        <w:rPr>
          <w:color w:val="1F4E9E"/>
        </w:rPr>
        <w:t xml:space="preserve"> in (20), which is exact at stationarity and which the numerical evaluation of C.6 does not do. Writing </w:t>
      </w:r>
      <m:oMath>
        <m:r>
          <w:rPr>
            <w:rFonts w:ascii="Cambria Math" w:hAnsi="Cambria Math"/>
            <w:color w:val="1F4E9E"/>
          </w:rPr>
          <m:t>ω</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u</m:t>
            </m:r>
            <m:r>
              <m:rPr>
                <m:nor/>
              </m:rPr>
              <w:rPr>
                <w:rFonts w:ascii="Cambria Math" w:hAnsi="Cambria Math"/>
                <w:color w:val="1F4E9E"/>
              </w:rPr>
              <m:t>/</m:t>
            </m:r>
            <m:r>
              <w:rPr>
                <w:rFonts w:ascii="Cambria Math" w:hAnsi="Cambria Math"/>
                <w:color w:val="1F4E9E"/>
              </w:rPr>
              <m:t>s</m:t>
            </m:r>
          </m:e>
        </m:rad>
      </m:oMath>
      <w:r>
        <w:rPr>
          <w:color w:val="1F4E9E"/>
        </w:rPr>
        <w:t xml:space="preserve"> and </w:t>
      </w:r>
      <m:oMath>
        <m:r>
          <w:rPr>
            <w:rFonts w:ascii="Cambria Math" w:hAnsi="Cambria Math"/>
            <w:color w:val="1F4E9E"/>
          </w:rPr>
          <m:t>a</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e>
        </m:rad>
      </m:oMath>
      <w:r>
        <w:rPr>
          <w:color w:val="1F4E9E"/>
        </w:rPr>
        <w:t xml:space="preserve">, the rate is then </w:t>
      </w:r>
      <m:oMath>
        <m:r>
          <m:rPr>
            <m:nor/>
          </m:rPr>
          <w:rPr>
            <w:rFonts w:ascii="Cambria Math" w:hAnsi="Cambria Math"/>
            <w:color w:val="1F4E9E"/>
          </w:rPr>
          <m:t>ln</m:t>
        </m:r>
        <m:r>
          <w:rPr>
            <w:rFonts w:ascii="Cambria Math" w:hAnsi="Cambria Math"/>
            <w:color w:val="1F4E9E"/>
          </w:rPr>
          <m:t>ν</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=ln</m:t>
        </m:r>
        <m:d>
          <m:dPr>
            <m:begChr m:val="["/>
            <m:endChr m:val="]"/>
            <m:ctrlPr>
              <w:rPr>
                <w:rFonts w:ascii="Cambria Math" w:hAnsi="Cambria Math"/>
              </w:rPr>
            </m:ctrlPr>
          </m:dPr>
          <m:e>
            <m:r>
              <w:rPr>
                <w:rFonts w:ascii="Cambria Math" w:hAnsi="Cambria Math"/>
                <w:color w:val="1F4E9E"/>
              </w:rPr>
              <m:t>ω</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/2</m:t>
            </m:r>
            <m:r>
              <w:rPr>
                <w:rFonts w:ascii="Cambria Math" w:hAnsi="Cambria Math"/>
                <w:color w:val="1F4E9E"/>
              </w:rPr>
              <m:t>π</m:t>
            </m:r>
          </m:e>
        </m:d>
        <m:r>
          <m:rPr>
            <m:nor/>
          </m:rPr>
          <w:rPr>
            <w:rFonts w:ascii="Cambria Math" w:hAnsi="Cambria Math"/>
            <w:color w:val="1F4E9E"/>
          </w:rPr>
          <m:t>-</m:t>
        </m:r>
        <m:r>
          <w:rPr>
            <w:rFonts w:ascii="Cambria Math" w:hAnsi="Cambria Math"/>
            <w:color w:val="1F4E9E"/>
          </w:rPr>
          <m:t>a</m:t>
        </m:r>
        <m:sSup>
          <m:sSupPr>
            <m:ctrlPr>
              <w:rPr>
                <w:rFonts w:ascii="Cambria Math" w:hAnsi="Cambria Math"/>
              </w:rPr>
            </m:ctrlPr>
          </m:sSupPr>
          <m:e>
            <m:d>
              <m:dPr>
                <m:ctrlPr>
                  <w:rPr>
                    <w:rFonts w:ascii="Cambria Math" w:hAnsi="Cambria Math"/>
                  </w:rPr>
                </m:ctrlPr>
              </m:dPr>
              <m:e>
                <m:r>
                  <w:rPr>
                    <w:rFonts w:ascii="Cambria Math" w:hAnsi="Cambria Math"/>
                    <w:color w:val="1F4E9E"/>
                  </w:rPr>
                  <m:t>τ</m:t>
                </m:r>
              </m:e>
            </m:d>
          </m:e>
          <m:sup>
            <m:r>
              <m:rPr>
                <m:nor/>
              </m:rPr>
              <w:rPr>
                <w:rFonts w:ascii="Cambria Math" w:hAnsi="Cambria Math"/>
                <w:color w:val="1F4E9E"/>
              </w:rPr>
              <m:t>2</m:t>
            </m:r>
          </m:sup>
        </m:sSup>
        <m:r>
          <m:rPr>
            <m:nor/>
          </m:rPr>
          <w:rPr>
            <w:rFonts w:ascii="Cambria Math" w:hAnsi="Cambria Math"/>
            <w:color w:val="1F4E9E"/>
          </w:rPr>
          <m:t>/2</m:t>
        </m:r>
      </m:oMath>
      <w:r>
        <w:rPr>
          <w:color w:val="1F4E9E"/>
        </w:rPr>
        <w:t xml:space="preserve"> and, with </w:t>
      </w:r>
      <m:oMath>
        <m:r>
          <w:rPr>
            <w:rFonts w:ascii="Cambria Math" w:hAnsi="Cambria Math"/>
            <w:color w:val="1F4E9E"/>
          </w:rPr>
          <m:t>d</m:t>
        </m:r>
      </m:oMath>
      <w:r>
        <w:rPr>
          <w:color w:val="1F4E9E"/>
        </w:rPr>
        <w:t xml:space="preserve"> constant,</w:t>
      </w:r>
    </w:p>
    <w:p w14:paraId="7E45D41C" w14:textId="77777777" w:rsidR="00205CBC" w:rsidRDefault="00000000">
      <m:oMathPara>
        <m:oMath>
          <m:eqArr>
            <m:eqArrPr>
              <m:maxDist m:val="1"/>
              <m:ctrlPr>
                <w:rPr>
                  <w:rFonts w:ascii="Cambria Math" w:hAnsi="Cambria Math"/>
                </w:rPr>
              </m:ctrlPr>
            </m:eqArrPr>
            <m:e>
              <m:f>
                <m:fPr>
                  <m:ctrlPr>
                    <w:rPr>
                      <w:rFonts w:ascii="Cambria Math" w:hAnsi="Cambria Math"/>
                    </w:rPr>
                  </m:ctrlPr>
                </m:fPr>
                <m:num>
                  <m:r>
                    <m:rPr>
                      <m:nor/>
                    </m:rPr>
                    <w:rPr>
                      <w:rFonts w:ascii="Cambria Math" w:hAnsi="Cambria Math"/>
                      <w:color w:val="1F4E9E"/>
                    </w:rPr>
                    <m:t>d</m:t>
                  </m:r>
                  <m:d>
                    <m:dPr>
                      <m:ctrlPr>
                        <w:rPr>
                          <w:rFonts w:ascii="Cambria Math" w:hAnsi="Cambria Math"/>
                        </w:rPr>
                      </m:ctrlPr>
                    </m:dPr>
                    <m:e>
                      <m:r>
                        <m:rPr>
                          <m:nor/>
                        </m:rPr>
                        <w:rPr>
                          <w:rFonts w:ascii="Cambria Math" w:hAnsi="Cambria Math"/>
                          <w:color w:val="1F4E9E"/>
                        </w:rPr>
                        <m:t>ln</m:t>
                      </m:r>
                      <m:r>
                        <w:rPr>
                          <w:rFonts w:ascii="Cambria Math" w:hAnsi="Cambria Math"/>
                          <w:color w:val="1F4E9E"/>
                        </w:rPr>
                        <m:t>ν</m:t>
                      </m:r>
                    </m:e>
                  </m:d>
                </m:num>
                <m:den>
                  <m:r>
                    <m:rPr>
                      <m:nor/>
                    </m:rPr>
                    <w:rPr>
                      <w:rFonts w:ascii="Cambria Math" w:hAnsi="Cambria Math"/>
                      <w:color w:val="1F4E9E"/>
                    </w:rPr>
                    <m:t>d</m:t>
                  </m:r>
                  <m:r>
                    <w:rPr>
                      <w:rFonts w:ascii="Cambria Math" w:hAnsi="Cambria Math"/>
                      <w:color w:val="1F4E9E"/>
                    </w:rPr>
                    <m:t>τ</m:t>
                  </m:r>
                </m:den>
              </m:f>
              <m:r>
                <m:rPr>
                  <m:nor/>
                </m:rPr>
                <w:rPr>
                  <w:rFonts w:ascii="Cambria Math" w:hAnsi="Cambria Math"/>
                  <w:color w:val="1F4E9E"/>
                </w:rPr>
                <m:t>=</m:t>
              </m:r>
              <m:f>
                <m:fPr>
                  <m:ctrlPr>
                    <w:rPr>
                      <w:rFonts w:ascii="Cambria Math" w:hAnsi="Cambria Math"/>
                    </w:rPr>
                  </m:ctrlPr>
                </m:fPr>
                <m:num>
                  <m:r>
                    <m:rPr>
                      <m:nor/>
                    </m:rPr>
                    <w:rPr>
                      <w:rFonts w:ascii="Cambria Math" w:hAnsi="Cambria Math"/>
                      <w:color w:val="1F4E9E"/>
                    </w:rPr>
                    <m:t>1</m:t>
                  </m:r>
                </m:num>
                <m:den>
                  <m:r>
                    <m:rPr>
                      <m:nor/>
                    </m:rPr>
                    <w:rPr>
                      <w:rFonts w:ascii="Cambria Math" w:hAnsi="Cambria Math"/>
                      <w:color w:val="1F4E9E"/>
                    </w:rPr>
                    <m:t>2</m:t>
                  </m:r>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olor w:val="1F4E9E"/>
                            </w:rPr>
                            <m:t>u</m:t>
                          </m:r>
                        </m:e>
                        <m:sup>
                          <m:r>
                            <m:rPr>
                              <m:nor/>
                            </m:rPr>
                            <w:rPr>
                              <w:rFonts w:ascii="Cambria Math" w:hAnsi="Cambria Math"/>
                              <w:color w:val="1F4E9E"/>
                            </w:rPr>
                            <m:t>'</m:t>
                          </m:r>
                        </m:sup>
                      </m:sSup>
                    </m:num>
                    <m:den>
                      <m:r>
                        <w:rPr>
                          <w:rFonts w:ascii="Cambria Math" w:hAnsi="Cambria Math"/>
                          <w:color w:val="1F4E9E"/>
                        </w:rPr>
                        <m:t>u</m:t>
                      </m:r>
                    </m:den>
                  </m:f>
                  <m:r>
                    <m:rPr>
                      <m:nor/>
                    </m:rPr>
                    <w:rPr>
                      <w:rFonts w:ascii="Cambria Math" w:hAnsi="Cambria Math"/>
                      <w:color w:val="1F4E9E"/>
                    </w:rPr>
                    <m:t>-</m:t>
                  </m:r>
                  <m:f>
                    <m:fPr>
                      <m:ctrlPr>
                        <w:rPr>
                          <w:rFonts w:ascii="Cambria Math" w:hAnsi="Cambria Math"/>
                        </w:rPr>
                      </m:ctrlPr>
                    </m:fPr>
                    <m:num>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num>
                    <m:den>
                      <m:r>
                        <w:rPr>
                          <w:rFonts w:ascii="Cambria Math" w:hAnsi="Cambria Math"/>
                          <w:color w:val="1F4E9E"/>
                        </w:rPr>
                        <m:t>s</m:t>
                      </m:r>
                    </m:den>
                  </m:f>
                </m:e>
              </m:d>
              <m:r>
                <m:rPr>
                  <m:nor/>
                </m:rPr>
                <w:rPr>
                  <w:rFonts w:ascii="Cambria Math" w:hAnsi="Cambria Math"/>
                  <w:color w:val="1F4E9E"/>
                </w:rPr>
                <m:t>+</m:t>
              </m:r>
              <m:f>
                <m:fPr>
                  <m:ctrlPr>
                    <w:rPr>
                      <w:rFonts w:ascii="Cambria Math" w:hAnsi="Cambria Math"/>
                    </w:rPr>
                  </m:ctrlPr>
                </m:fPr>
                <m:num>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num>
                <m:den>
                  <m:r>
                    <m:rPr>
                      <m:nor/>
                    </m:rPr>
                    <w:rPr>
                      <w:rFonts w:ascii="Cambria Math" w:hAnsi="Cambria Math"/>
                      <w:color w:val="1F4E9E"/>
                    </w:rPr>
                    <m:t>2</m:t>
                  </m:r>
                </m:den>
              </m:f>
              <m:f>
                <m:fPr>
                  <m:ctrlPr>
                    <w:rPr>
                      <w:rFonts w:ascii="Cambria Math" w:hAnsi="Cambria Math"/>
                    </w:rPr>
                  </m:ctrlPr>
                </m:fPr>
                <m:num>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num>
                <m:den>
                  <m:r>
                    <w:rPr>
                      <w:rFonts w:ascii="Cambria Math" w:hAnsi="Cambria Math"/>
                      <w:color w:val="1F4E9E"/>
                    </w:rPr>
                    <m:t>s</m:t>
                  </m:r>
                </m:den>
              </m:f>
              <m:r>
                <w:rPr>
                  <w:rFonts w:ascii="Cambria Math" w:hAnsi="Cambria Math"/>
                  <w:color w:val="1F4E9E"/>
                </w:rPr>
                <m:t>#</m:t>
              </m:r>
              <m:d>
                <m:dPr>
                  <m:ctrlPr>
                    <w:rPr>
                      <w:rFonts w:ascii="Cambria Math" w:hAnsi="Cambria Math"/>
                    </w:rPr>
                  </m:ctrlPr>
                </m:dPr>
                <m:e>
                  <m:r>
                    <m:rPr>
                      <m:nor/>
                    </m:rPr>
                    <w:rPr>
                      <w:rFonts w:ascii="Cambria Math" w:hAnsi="Cambria Math"/>
                      <w:color w:val="1F4E9E"/>
                    </w:rPr>
                    <m:t>25</m:t>
                  </m:r>
                </m:e>
              </m:d>
            </m:e>
          </m:eqArr>
        </m:oMath>
      </m:oMathPara>
    </w:p>
    <w:p w14:paraId="57E7272A" w14:textId="77777777" w:rsidR="00205CBC" w:rsidRDefault="00000000">
      <w:r>
        <w:rPr>
          <w:color w:val="1F4E9E"/>
        </w:rPr>
        <w:t xml:space="preserve">The second term is positive — the variance is still filling in — and is what produces the ramp. The first is negative throughout the analyzed window: by (17) </w:t>
      </w:r>
      <m:oMath>
        <m:r>
          <w:rPr>
            <w:rFonts w:ascii="Cambria Math" w:hAnsi="Cambria Math"/>
            <w:color w:val="1F4E9E"/>
          </w:rPr>
          <m:t>u</m:t>
        </m:r>
      </m:oMath>
      <w:r>
        <w:rPr>
          <w:color w:val="1F4E9E"/>
        </w:rPr>
        <w:t xml:space="preserve"> is governed by the fast filter and saturates on the timescale </w:t>
      </w:r>
      <m:oMath>
        <m:r>
          <m:rPr>
            <m:nor/>
          </m:rPr>
          <w:rPr>
            <w:rFonts w:ascii="Cambria Math" w:hAnsi="Cambria Math"/>
            <w:color w:val="1F4E9E"/>
          </w:rPr>
          <m:t>1/2</m:t>
        </m:r>
        <m:r>
          <w:rPr>
            <w:rFonts w:ascii="Cambria Math" w:hAnsi="Cambria Math"/>
            <w:color w:val="1F4E9E"/>
          </w:rPr>
          <m:t>λ</m:t>
        </m:r>
      </m:oMath>
      <w:r>
        <w:rPr>
          <w:color w:val="1F4E9E"/>
        </w:rPr>
        <w:t xml:space="preserve">, whereas by (16) </w:t>
      </w:r>
      <m:oMath>
        <m:r>
          <w:rPr>
            <w:rFonts w:ascii="Cambria Math" w:hAnsi="Cambria Math"/>
            <w:color w:val="1F4E9E"/>
          </w:rPr>
          <m:t>s</m:t>
        </m:r>
      </m:oMath>
      <w:r>
        <w:rPr>
          <w:color w:val="1F4E9E"/>
        </w:rPr>
        <w:t xml:space="preserve"> carries the slow mean-reversion mode and saturates on </w:t>
      </w:r>
      <m:oMath>
        <m:r>
          <m:rPr>
            <m:nor/>
          </m:rPr>
          <w:rPr>
            <w:rFonts w:ascii="Cambria Math" w:hAnsi="Cambria Math"/>
            <w:color w:val="1F4E9E"/>
          </w:rPr>
          <m:t>1/2</m:t>
        </m:r>
        <m:r>
          <w:rPr>
            <w:rFonts w:ascii="Cambria Math" w:hAnsi="Cambria Math"/>
            <w:color w:val="1F4E9E"/>
          </w:rPr>
          <m:t>κ</m:t>
        </m:r>
      </m:oMath>
      <w:r>
        <w:rPr>
          <w:color w:val="1F4E9E"/>
        </w:rPr>
        <w:t xml:space="preserve">, so beyond the first few filter time constants </w:t>
      </w:r>
      <m:oMath>
        <m:sSup>
          <m:sSupPr>
            <m:ctrlPr>
              <w:rPr>
                <w:rFonts w:ascii="Cambria Math" w:hAnsi="Cambria Math"/>
              </w:rPr>
            </m:ctrlPr>
          </m:sSupPr>
          <m:e>
            <m:r>
              <w:rPr>
                <w:rFonts w:ascii="Cambria Math" w:hAnsi="Cambria Math"/>
                <w:color w:val="1F4E9E"/>
              </w:rPr>
              <m:t>u</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u</m:t>
        </m:r>
      </m:oMath>
      <w:r>
        <w:rPr>
          <w:color w:val="1F4E9E"/>
        </w:rPr>
        <w:t xml:space="preserve"> is negligible while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s</m:t>
        </m:r>
      </m:oMath>
      <w:r>
        <w:rPr>
          <w:color w:val="1F4E9E"/>
        </w:rPr>
        <w:t xml:space="preserve"> is not. Two consequences follow. First, at </w:t>
      </w:r>
      <m:oMath>
        <m:r>
          <w:rPr>
            <w:rFonts w:ascii="Cambria Math" w:hAnsi="Cambria Math"/>
            <w:color w:val="1F4E9E"/>
          </w:rPr>
          <m:t>a</m:t>
        </m:r>
        <m:r>
          <m:rPr>
            <m:nor/>
          </m:rPr>
          <w:rPr>
            <w:rFonts w:ascii="Cambria Math" w:hAnsi="Cambria Math"/>
            <w:color w:val="1F4E9E"/>
          </w:rPr>
          <m:t>=0</m:t>
        </m:r>
      </m:oMath>
      <w:r>
        <w:rPr>
          <w:color w:val="1F4E9E"/>
        </w:rPr>
        <w:t xml:space="preserve"> — the distance at which Corollary C.1’s </w:t>
      </w:r>
      <w:r>
        <w:rPr>
          <w:color w:val="1F4E9E"/>
        </w:rPr>
        <w:lastRenderedPageBreak/>
        <w:t xml:space="preserve">ceiling </w:t>
      </w:r>
      <m:oMath>
        <m:r>
          <w:rPr>
            <w:rFonts w:ascii="Cambria Math" w:hAnsi="Cambria Math"/>
            <w:color w:val="1F4E9E"/>
          </w:rPr>
          <m:t>ω</m:t>
        </m:r>
        <m:r>
          <m:rPr>
            <m:nor/>
          </m:rPr>
          <w:rPr>
            <w:rFonts w:ascii="Cambria Math" w:hAnsi="Cambria Math"/>
            <w:color w:val="1F4E9E"/>
          </w:rPr>
          <m:t>/2</m:t>
        </m:r>
        <m:r>
          <w:rPr>
            <w:rFonts w:ascii="Cambria Math" w:hAnsi="Cambria Math"/>
            <w:color w:val="1F4E9E"/>
          </w:rPr>
          <m:t>π</m:t>
        </m:r>
      </m:oMath>
      <w:r>
        <w:rPr>
          <w:color w:val="1F4E9E"/>
        </w:rPr>
        <w:t xml:space="preserve"> is attained — the slope is strictly negative: the configuration that maximizes Model 1’s delay-period rate is one in which that rate declines. The ceiling is therefore not the binding constraint. Second, a positive slope requires </w:t>
      </w:r>
      <m:oMath>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&gt;1-</m:t>
        </m:r>
        <m:d>
          <m:dPr>
            <m:ctrlPr>
              <w:rPr>
                <w:rFonts w:ascii="Cambria Math" w:hAnsi="Cambria Math"/>
              </w:rPr>
            </m:ctrlPr>
          </m:dPr>
          <m:e>
            <m:sSup>
              <m:sSupPr>
                <m:ctrlPr>
                  <w:rPr>
                    <w:rFonts w:ascii="Cambria Math" w:hAnsi="Cambria Math"/>
                  </w:rPr>
                </m:ctrlPr>
              </m:sSupPr>
              <m:e>
                <m:r>
                  <w:rPr>
                    <w:rFonts w:ascii="Cambria Math" w:hAnsi="Cambria Math"/>
                    <w:color w:val="1F4E9E"/>
                  </w:rPr>
                  <m:t>u</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u</m:t>
            </m:r>
          </m:e>
        </m:d>
        <m:d>
          <m:dPr>
            <m:ctrlPr>
              <w:rPr>
                <w:rFonts w:ascii="Cambria Math" w:hAnsi="Cambria Math"/>
              </w:rPr>
            </m:ctrlPr>
          </m:dPr>
          <m:e>
            <m:r>
              <w:rPr>
                <w:rFonts w:ascii="Cambria Math" w:hAnsi="Cambria Math"/>
                <w:color w:val="1F4E9E"/>
              </w:rPr>
              <m:t>s</m:t>
            </m:r>
            <m:r>
              <m:rPr>
                <m:nor/>
              </m:rPr>
              <w:rPr>
                <w:rFonts w:ascii="Cambria Math" w:hAnsi="Cambria Math"/>
                <w:color w:val="1F4E9E"/>
              </w:rPr>
              <m:t>/</m:t>
            </m:r>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e>
        </m:d>
      </m:oMath>
      <w:r>
        <w:rPr>
          <w:color w:val="1F4E9E"/>
        </w:rPr>
        <w:t xml:space="preserve">, that is </w:t>
      </w:r>
      <m:oMath>
        <m:r>
          <w:rPr>
            <w:rFonts w:ascii="Cambria Math" w:hAnsi="Cambria Math"/>
            <w:color w:val="1F4E9E"/>
          </w:rPr>
          <m:t>a</m:t>
        </m:r>
        <m:r>
          <m:rPr>
            <m:nor/>
          </m:rPr>
          <w:rPr>
            <w:rFonts w:ascii="Cambria Math" w:hAnsi="Cambria Math"/>
            <w:color w:val="1F4E9E"/>
          </w:rPr>
          <m:t>&gt;1</m:t>
        </m:r>
      </m:oMath>
      <w:r>
        <w:rPr>
          <w:color w:val="1F4E9E"/>
        </w:rPr>
        <w:t xml:space="preserve"> to good approximation, and by (23) every further unit of </w:t>
      </w:r>
      <m:oMath>
        <m:r>
          <w:rPr>
            <w:rFonts w:ascii="Cambria Math" w:hAnsi="Cambria Math"/>
            <w:color w:val="1F4E9E"/>
          </w:rPr>
          <m:t>a</m:t>
        </m:r>
      </m:oMath>
      <w:r>
        <w:rPr>
          <w:color w:val="1F4E9E"/>
        </w:rPr>
        <w:t xml:space="preserve"> costs a factor </w:t>
      </w:r>
      <m:oMath>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/2</m:t>
            </m:r>
          </m:sup>
        </m:sSup>
      </m:oMath>
      <w:r>
        <w:rPr>
          <w:color w:val="1F4E9E"/>
        </w:rPr>
        <w:t xml:space="preserve"> in the rate. Ramp and rate are thus governed by the same quantity in opposite directions. The covariance term dropped above does not overturn this: it is non-negative, so it raises the rate at every distance without changing which distances give a rising one, and the frontier of C.6 is computed from (21) with it retained. ∎</w:t>
      </w:r>
    </w:p>
    <w:p w14:paraId="59D64CCC" w14:textId="77777777" w:rsidR="00205CBC" w:rsidRDefault="00000000">
      <w:r>
        <w:rPr>
          <w:color w:val="1F4E9E"/>
        </w:rPr>
        <w:t xml:space="preserve">Remark C.6 (the frontier, evaluated). Corollary C.5 is qualitative; its quantitative content is the largest log-rate slope Model 1 can produce subject to a floor on the delay-period rate. Maximizing (21) over </w:t>
      </w:r>
      <m:oMath>
        <m:r>
          <w:rPr>
            <w:rFonts w:ascii="Cambria Math" w:hAnsi="Cambria Math"/>
            <w:color w:val="1F4E9E"/>
          </w:rPr>
          <m:t>a</m:t>
        </m:r>
      </m:oMath>
      <w:r>
        <w:rPr>
          <w:color w:val="1F4E9E"/>
        </w:rPr>
        <w:t xml:space="preserve"> and over the ranges of </w:t>
      </w:r>
      <m:oMath>
        <m:r>
          <w:rPr>
            <w:rFonts w:ascii="Cambria Math" w:hAnsi="Cambria Math"/>
            <w:color w:val="1F4E9E"/>
          </w:rPr>
          <m:t>κ</m:t>
        </m:r>
      </m:oMath>
      <w:r>
        <w:rPr>
          <w:color w:val="1F4E9E"/>
        </w:rPr>
        <w:t xml:space="preserve"> and </w:t>
      </w:r>
      <m:oMath>
        <m:r>
          <w:rPr>
            <w:rFonts w:ascii="Cambria Math" w:hAnsi="Cambria Math"/>
            <w:color w:val="1F4E9E"/>
          </w:rPr>
          <m:t>λ</m:t>
        </m:r>
      </m:oMath>
      <w:r>
        <w:rPr>
          <w:color w:val="1F4E9E"/>
        </w:rPr>
        <w:t xml:space="preserve"> in Table A1, with the moments taken from (16) and (17) rather than from their stationary limits, and estimating the slope as the data’s slope is estimated (C.8), gives: at a rate of at least 0.085 s⁻¹ — the lowest value observed in any participant × condition cell — a slope of at most +0.81 s⁻¹; at 0.2 s⁻¹, at most +0.40; at 0.3, at most +0.19; at 0.4, at most +0.05; at 0.5, at most +0.01; and at the observed mean rate of 0.709 s⁻¹, nothing distinguishable from zero. The optimum lies at the smallest </w:t>
      </w:r>
      <m:oMath>
        <m:r>
          <w:rPr>
            <w:rFonts w:ascii="Cambria Math" w:hAnsi="Cambria Math"/>
            <w:color w:val="1F4E9E"/>
          </w:rPr>
          <m:t>κ</m:t>
        </m:r>
      </m:oMath>
      <w:r>
        <w:rPr>
          <w:color w:val="1F4E9E"/>
        </w:rPr>
        <w:t xml:space="preserve"> and the largest </w:t>
      </w:r>
      <m:oMath>
        <m:r>
          <w:rPr>
            <w:rFonts w:ascii="Cambria Math" w:hAnsi="Cambria Math"/>
            <w:color w:val="1F4E9E"/>
          </w:rPr>
          <m:t>λ</m:t>
        </m:r>
      </m:oMath>
      <w:r>
        <w:rPr>
          <w:color w:val="1F4E9E"/>
        </w:rPr>
        <w:t xml:space="preserve"> of the sampled ranges throughout, so the frontier is the most favorable one those ranges allow. The observed slope is +0.892 s⁻¹ at a rate of 0.709 s⁻¹, three orders of magnitude above the frontier at that rate. Conversely, the largest rate at which Model 1 attains the observed slope anywhere in the sampled ranges is 0.069 s⁻¹, a tenth of the observed mean and below the 0.085 s⁻¹ of the least active participant in the least active condition.</w:t>
      </w:r>
    </w:p>
    <w:p w14:paraId="0D4D2673" w14:textId="77777777" w:rsidR="00205CBC" w:rsidRDefault="00000000">
      <w:r>
        <w:rPr>
          <w:color w:val="1F4E9E"/>
        </w:rPr>
        <w:t xml:space="preserve">Remark C.7 (the same frontier for Model 2). Temporal preparation moves the barrier: with </w:t>
      </w:r>
      <m:oMath>
        <m:r>
          <w:rPr>
            <w:rFonts w:ascii="Cambria Math" w:hAnsi="Cambria Math"/>
            <w:color w:val="1F4E9E"/>
          </w:rPr>
          <m:t>d</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d</m:t>
            </m:r>
          </m:e>
          <m:sub>
            <m:r>
              <m:rPr>
                <m:nor/>
              </m:rPr>
              <w:rPr>
                <w:rFonts w:ascii="Cambria Math" w:hAnsi="Cambria Math"/>
                <w:color w:val="1F4E9E"/>
              </w:rPr>
              <m:t>0</m:t>
            </m:r>
          </m:sub>
        </m:sSub>
        <m:r>
          <m:rPr>
            <m:nor/>
          </m:rPr>
          <w:rPr>
            <w:rFonts w:ascii="Cambria Math" w:hAnsi="Cambria Math"/>
            <w:color w:val="1F4E9E"/>
          </w:rPr>
          <m:t>-</m:t>
        </m:r>
        <m:r>
          <w:rPr>
            <w:rFonts w:ascii="Cambria Math" w:hAnsi="Cambria Math"/>
            <w:color w:val="1F4E9E"/>
          </w:rPr>
          <m:t>ατ</m:t>
        </m:r>
      </m:oMath>
      <w:r>
        <w:rPr>
          <w:color w:val="1F4E9E"/>
        </w:rPr>
        <w:t xml:space="preserve"> by (12), the Kac–Rice formula (19) is unchanged except that the relevant derivative is </w:t>
      </w:r>
      <m:oMath>
        <m:acc>
          <m:accPr>
            <m:chr m:val="̇"/>
            <m:ctrlPr>
              <w:rPr>
                <w:rFonts w:ascii="Cambria Math" w:hAnsi="Cambria Math"/>
              </w:rPr>
            </m:ctrlPr>
          </m:accPr>
          <m:e>
            <m:r>
              <w:rPr>
                <w:rFonts w:ascii="Cambria Math" w:hAnsi="Cambria Math"/>
                <w:color w:val="1F4E9E"/>
              </w:rPr>
              <m:t>V</m:t>
            </m:r>
          </m:e>
        </m:acc>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d</m:t>
            </m:r>
          </m:e>
        </m:acc>
        <m:r>
          <m:rPr>
            <m:nor/>
          </m:rPr>
          <w:rPr>
            <w:rFonts w:ascii="Cambria Math" w:hAnsi="Cambria Math"/>
            <w:color w:val="1F4E9E"/>
          </w:rPr>
          <m:t>=</m:t>
        </m:r>
        <m:acc>
          <m:accPr>
            <m:chr m:val="̇"/>
            <m:ctrlPr>
              <w:rPr>
                <w:rFonts w:ascii="Cambria Math" w:hAnsi="Cambria Math"/>
              </w:rPr>
            </m:ctrlPr>
          </m:accPr>
          <m:e>
            <m:r>
              <w:rPr>
                <w:rFonts w:ascii="Cambria Math" w:hAnsi="Cambria Math"/>
                <w:color w:val="1F4E9E"/>
              </w:rPr>
              <m:t>V</m:t>
            </m:r>
          </m:e>
        </m:acc>
        <m:r>
          <m:rPr>
            <m:nor/>
          </m:rPr>
          <w:rPr>
            <w:rFonts w:ascii="Cambria Math" w:hAnsi="Cambria Math"/>
            <w:color w:val="1F4E9E"/>
          </w:rPr>
          <m:t>+</m:t>
        </m:r>
        <m:r>
          <w:rPr>
            <w:rFonts w:ascii="Cambria Math" w:hAnsi="Cambria Math"/>
            <w:color w:val="1F4E9E"/>
          </w:rPr>
          <m:t>α</m:t>
        </m:r>
      </m:oMath>
      <w:r>
        <w:rPr>
          <w:color w:val="1F4E9E"/>
        </w:rPr>
        <w:t xml:space="preserve">, which shifts the conditional mean </w:t>
      </w:r>
      <m:oMath>
        <m:r>
          <w:rPr>
            <w:rFonts w:ascii="Cambria Math" w:hAnsi="Cambria Math"/>
            <w:color w:val="1F4E9E"/>
          </w:rPr>
          <m:t>M</m:t>
        </m:r>
      </m:oMath>
      <w:r>
        <w:rPr>
          <w:color w:val="1F4E9E"/>
        </w:rPr>
        <w:t xml:space="preserve"> of (20) by </w:t>
      </w:r>
      <m:oMath>
        <m:r>
          <w:rPr>
            <w:rFonts w:ascii="Cambria Math" w:hAnsi="Cambria Math"/>
            <w:color w:val="1F4E9E"/>
          </w:rPr>
          <m:t>α</m:t>
        </m:r>
      </m:oMath>
      <w:r>
        <w:rPr>
          <w:color w:val="1F4E9E"/>
        </w:rPr>
        <w:t xml:space="preserve"> and leaves the </w:t>
      </w:r>
      <w:r>
        <w:rPr>
          <w:color w:val="1F4E9E"/>
        </w:rPr>
        <w:lastRenderedPageBreak/>
        <w:t xml:space="preserve">density at the barrier alone. The same computation therefore gives Model 2’s frontier, with one addition: the ramp height must be bounded, since the calculation knows nothing of admissibility and an unbounded ramp gives an unbounded slope, whereas in the model a ramp large enough to carry the signal past the response criterion during the delay produces premature responses and is rejected. Bounding it at three fluctuation standard deviations over the analyzed window — the upper quartile of </w:t>
      </w:r>
      <m:oMath>
        <m:r>
          <w:rPr>
            <w:rFonts w:ascii="Cambria Math" w:hAnsi="Cambria Math"/>
            <w:color w:val="1F4E9E"/>
          </w:rPr>
          <m:t>β</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over the admissible draws, whose median is 1.0 and whose maximum is 31 — gives, at the observed rate of 0.709 s⁻¹, a largest attainable slope of +4.05 s⁻¹, and an observed slope of +0.892 s⁻¹ attainable at rates up to 6.44 s⁻¹. Model 1’s corresponding figures are 0.000 s⁻¹ and 0.069 s⁻¹.</w:t>
      </w:r>
    </w:p>
    <w:p w14:paraId="63C8B250" w14:textId="77777777" w:rsidR="00205CBC" w:rsidRDefault="00000000">
      <w:r>
        <w:rPr>
          <w:color w:val="1F4E9E"/>
        </w:rPr>
        <w:t>Remark C.8 (the slope is estimated as the data’s slope is estimated). The frontier compares a model quantity with an observed one, so the two must be the same functional of the rate curve. The observed slope is the coefficient of an offset-Poisson regression of the partial-activation counts on time over the twenty 0.1 s bins of the window; the frontier therefore evaluates ν at those same twenty bins and fits the same regression, rather than taking the secant between the ends of the window. The distinction is not cosmetic under Model 1, whose log-rate is strongly concave: the regression weights the late, event-rich bins, where the variance transient has already flattened, and returns between 45% and 75% of the secant. Using the secant would credit Model 1 with a ramp its own data analysis would not have measured.</w:t>
      </w:r>
    </w:p>
    <w:p w14:paraId="256D8B2B" w14:textId="77777777" w:rsidR="00205CBC" w:rsidRDefault="00000000">
      <w:r>
        <w:rPr>
          <w:color w:val="1F4E9E"/>
        </w:rPr>
        <w:t xml:space="preserve">Corollary C.9 (the bound survives trial-to-trial heterogeneity of the maintained level). Within a participant </w:t>
      </w:r>
      <m:oMath>
        <m:r>
          <w:rPr>
            <w:rFonts w:ascii="Cambria Math" w:hAnsi="Cambria Math"/>
            <w:color w:val="1F4E9E"/>
          </w:rPr>
          <m:t>κ</m:t>
        </m:r>
      </m:oMath>
      <w:r>
        <w:rPr>
          <w:color w:val="1F4E9E"/>
        </w:rPr>
        <w:t xml:space="preserve">, </w:t>
      </w:r>
      <m:oMath>
        <m:r>
          <w:rPr>
            <w:rFonts w:ascii="Cambria Math" w:hAnsi="Cambria Math"/>
            <w:color w:val="1F4E9E"/>
          </w:rPr>
          <m:t>λ</m:t>
        </m:r>
      </m:oMath>
      <w:r>
        <w:rPr>
          <w:color w:val="1F4E9E"/>
        </w:rPr>
        <w:t xml:space="preserve"> and </w:t>
      </w:r>
      <m:oMath>
        <m:sSub>
          <m:sSubPr>
            <m:ctrlPr>
              <w:rPr>
                <w:rFonts w:ascii="Cambria Math" w:hAnsi="Cambria Math"/>
              </w:rPr>
            </m:ctrlPr>
          </m:sSubPr>
          <m:e>
            <m:r>
              <w:rPr>
                <w:rFonts w:ascii="Cambria Math" w:hAnsi="Cambria Math"/>
                <w:color w:val="1F4E9E"/>
              </w:rPr>
              <m:t>σ</m:t>
            </m:r>
          </m:e>
          <m:sub>
            <m:r>
              <w:rPr>
                <w:rFonts w:ascii="Cambria Math" w:hAnsi="Cambria Math"/>
                <w:color w:val="1F4E9E"/>
              </w:rPr>
              <m:t>V</m:t>
            </m:r>
          </m:sub>
        </m:sSub>
      </m:oMath>
      <w:r>
        <w:rPr>
          <w:color w:val="1F4E9E"/>
        </w:rPr>
        <w:t xml:space="preserve"> are the same on every trial, but the maintained level is not — it is </w:t>
      </w:r>
      <m:oMath>
        <m:r>
          <w:rPr>
            <w:rFonts w:ascii="Cambria Math" w:hAnsi="Cambria Math"/>
            <w:color w:val="1F4E9E"/>
          </w:rPr>
          <m:t>θ</m:t>
        </m:r>
      </m:oMath>
      <w:r>
        <w:rPr>
          <w:color w:val="1F4E9E"/>
        </w:rPr>
        <w:t xml:space="preserve"> on trials that reached the internal threshold and </w:t>
      </w:r>
      <m:oMath>
        <m:r>
          <w:rPr>
            <w:rFonts w:ascii="Cambria Math" w:hAnsi="Cambria Math"/>
            <w:color w:val="1F4E9E"/>
          </w:rPr>
          <m:t>y</m:t>
        </m:r>
        <m:d>
          <m:dPr>
            <m:ctrlPr>
              <w:rPr>
                <w:rFonts w:ascii="Cambria Math" w:hAnsi="Cambria Math"/>
              </w:rPr>
            </m:ctrlPr>
          </m:dPr>
          <m:e>
            <m:sSub>
              <m:sSubPr>
                <m:ctrlPr>
                  <w:rPr>
                    <w:rFonts w:ascii="Cambria Math" w:hAnsi="Cambria Math"/>
                  </w:rPr>
                </m:ctrlPr>
              </m:sSubPr>
              <m:e>
                <m:r>
                  <w:rPr>
                    <w:rFonts w:ascii="Cambria Math" w:hAnsi="Cambria Math"/>
                    <w:color w:val="1F4E9E"/>
                  </w:rPr>
                  <m:t>t</m:t>
                </m:r>
              </m:e>
              <m:sub>
                <m:r>
                  <m:rPr>
                    <m:nor/>
                  </m:rPr>
                  <w:rPr>
                    <w:rFonts w:ascii="Cambria Math" w:hAnsi="Cambria Math"/>
                    <w:color w:val="1F4E9E"/>
                  </w:rPr>
                  <m:t>offset</m:t>
                </m:r>
              </m:sub>
            </m:sSub>
          </m:e>
        </m:d>
      </m:oMath>
      <w:r>
        <w:rPr>
          <w:color w:val="1F4E9E"/>
        </w:rPr>
        <w:t xml:space="preserve"> on the rest — so the measured rate is a mixture over the distance </w:t>
      </w:r>
      <m:oMath>
        <m:r>
          <w:rPr>
            <w:rFonts w:ascii="Cambria Math" w:hAnsi="Cambria Math"/>
            <w:color w:val="1F4E9E"/>
          </w:rPr>
          <m:t>d</m:t>
        </m:r>
      </m:oMath>
      <w:r>
        <w:rPr>
          <w:color w:val="1F4E9E"/>
        </w:rPr>
        <w:t xml:space="preserve">, and a bound proved at a single </w:t>
      </w:r>
      <m:oMath>
        <m:r>
          <w:rPr>
            <w:rFonts w:ascii="Cambria Math" w:hAnsi="Cambria Math"/>
            <w:color w:val="1F4E9E"/>
          </w:rPr>
          <m:t>d</m:t>
        </m:r>
      </m:oMath>
      <w:r>
        <w:rPr>
          <w:color w:val="1F4E9E"/>
        </w:rPr>
        <w:t xml:space="preserve"> does not automatically bound a mixture. It does here, and the reason is that the maximization is a linear programme. Fix the mixture’s rate at the end of the window, </w:t>
      </w:r>
      <m:oMath>
        <m:nary>
          <m:naryPr>
            <m:chr m:val="∑"/>
            <m:limLoc m:val="undOvr"/>
            <m:supHide m:val="1"/>
            <m:ctrlPr>
              <w:rPr>
                <w:rFonts w:ascii="Cambria Math" w:hAnsi="Cambria Math"/>
              </w:rPr>
            </m:ctrlPr>
          </m:naryPr>
          <m:sub>
            <m:r>
              <w:rPr>
                <w:rFonts w:ascii="Cambria Math" w:hAnsi="Cambria Math"/>
                <w:color w:val="1F4E9E"/>
              </w:rPr>
              <m:t>d</m:t>
            </m:r>
          </m:sub>
          <m:sup/>
          <m:e>
            <m:sSub>
              <m:sSubPr>
                <m:ctrlPr>
                  <w:rPr>
                    <w:rFonts w:ascii="Cambria Math" w:hAnsi="Cambria Math"/>
                  </w:rPr>
                </m:ctrlPr>
              </m:sSubPr>
              <m:e>
                <m:r>
                  <w:rPr>
                    <w:rFonts w:ascii="Cambria Math" w:hAnsi="Cambria Math"/>
                    <w:color w:val="1F4E9E"/>
                  </w:rPr>
                  <m:t>p</m:t>
                </m:r>
              </m:e>
              <m:sub>
                <m:r>
                  <w:rPr>
                    <w:rFonts w:ascii="Cambria Math" w:hAnsi="Cambria Math"/>
                    <w:color w:val="1F4E9E"/>
                  </w:rPr>
                  <m:t>d</m:t>
                </m:r>
              </m:sub>
            </m:sSub>
            <m:sSub>
              <m:sSubPr>
                <m:ctrlPr>
                  <w:rPr>
                    <w:rFonts w:ascii="Cambria Math" w:hAnsi="Cambria Math"/>
                  </w:rPr>
                </m:ctrlPr>
              </m:sSubPr>
              <m:e>
                <m:r>
                  <w:rPr>
                    <w:rFonts w:ascii="Cambria Math" w:hAnsi="Cambria Math"/>
                    <w:color w:val="1F4E9E"/>
                  </w:rPr>
                  <m:t>ν</m:t>
                </m:r>
              </m:e>
              <m:sub>
                <m:r>
                  <w:rPr>
                    <w:rFonts w:ascii="Cambria Math" w:hAnsi="Cambria Math"/>
                    <w:color w:val="1F4E9E"/>
                  </w:rPr>
                  <m:t>d</m:t>
                </m:r>
              </m:sub>
            </m:sSub>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1</m:t>
                    </m:r>
                  </m:sub>
                </m:sSub>
              </m:e>
            </m:d>
          </m:e>
        </m:nary>
        <m:r>
          <m:rPr>
            <m:nor/>
          </m:rPr>
          <w:rPr>
            <w:rFonts w:ascii="Cambria Math" w:hAnsi="Cambria Math"/>
            <w:color w:val="1F4E9E"/>
          </w:rPr>
          <m:t>=</m:t>
        </m:r>
        <m:r>
          <w:rPr>
            <w:rFonts w:ascii="Cambria Math" w:hAnsi="Cambria Math"/>
            <w:color w:val="1F4E9E"/>
          </w:rPr>
          <m:t>R</m:t>
        </m:r>
      </m:oMath>
      <w:r>
        <w:rPr>
          <w:color w:val="1F4E9E"/>
        </w:rPr>
        <w:t xml:space="preserve">. Maximizing the mixture’s log-rate </w:t>
      </w:r>
      <w:r>
        <w:rPr>
          <w:color w:val="1F4E9E"/>
        </w:rPr>
        <w:lastRenderedPageBreak/>
        <w:t xml:space="preserve">slope then means minimizing </w:t>
      </w:r>
      <m:oMath>
        <m:nary>
          <m:naryPr>
            <m:chr m:val="∑"/>
            <m:limLoc m:val="undOvr"/>
            <m:supHide m:val="1"/>
            <m:ctrlPr>
              <w:rPr>
                <w:rFonts w:ascii="Cambria Math" w:hAnsi="Cambria Math"/>
              </w:rPr>
            </m:ctrlPr>
          </m:naryPr>
          <m:sub>
            <m:r>
              <w:rPr>
                <w:rFonts w:ascii="Cambria Math" w:hAnsi="Cambria Math"/>
                <w:color w:val="1F4E9E"/>
              </w:rPr>
              <m:t>d</m:t>
            </m:r>
          </m:sub>
          <m:sup/>
          <m:e>
            <m:sSub>
              <m:sSubPr>
                <m:ctrlPr>
                  <w:rPr>
                    <w:rFonts w:ascii="Cambria Math" w:hAnsi="Cambria Math"/>
                  </w:rPr>
                </m:ctrlPr>
              </m:sSubPr>
              <m:e>
                <m:r>
                  <w:rPr>
                    <w:rFonts w:ascii="Cambria Math" w:hAnsi="Cambria Math"/>
                    <w:color w:val="1F4E9E"/>
                  </w:rPr>
                  <m:t>p</m:t>
                </m:r>
              </m:e>
              <m:sub>
                <m:r>
                  <w:rPr>
                    <w:rFonts w:ascii="Cambria Math" w:hAnsi="Cambria Math"/>
                    <w:color w:val="1F4E9E"/>
                  </w:rPr>
                  <m:t>d</m:t>
                </m:r>
              </m:sub>
            </m:sSub>
            <m:sSub>
              <m:sSubPr>
                <m:ctrlPr>
                  <w:rPr>
                    <w:rFonts w:ascii="Cambria Math" w:hAnsi="Cambria Math"/>
                  </w:rPr>
                </m:ctrlPr>
              </m:sSubPr>
              <m:e>
                <m:r>
                  <w:rPr>
                    <w:rFonts w:ascii="Cambria Math" w:hAnsi="Cambria Math"/>
                    <w:color w:val="1F4E9E"/>
                  </w:rPr>
                  <m:t>ν</m:t>
                </m:r>
              </m:e>
              <m:sub>
                <m:r>
                  <w:rPr>
                    <w:rFonts w:ascii="Cambria Math" w:hAnsi="Cambria Math"/>
                    <w:color w:val="1F4E9E"/>
                  </w:rPr>
                  <m:t>d</m:t>
                </m:r>
              </m:sub>
            </m:sSub>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e>
        </m:nary>
      </m:oMath>
      <w:r>
        <w:rPr>
          <w:color w:val="1F4E9E"/>
        </w:rPr>
        <w:t xml:space="preserve"> subject to that constraint and to </w:t>
      </w:r>
      <m:oMath>
        <m:nary>
          <m:naryPr>
            <m:chr m:val="∑"/>
            <m:limLoc m:val="undOvr"/>
            <m:supHide m:val="1"/>
            <m:ctrlPr>
              <w:rPr>
                <w:rFonts w:ascii="Cambria Math" w:hAnsi="Cambria Math"/>
              </w:rPr>
            </m:ctrlPr>
          </m:naryPr>
          <m:sub>
            <m:r>
              <w:rPr>
                <w:rFonts w:ascii="Cambria Math" w:hAnsi="Cambria Math"/>
                <w:color w:val="1F4E9E"/>
              </w:rPr>
              <m:t>d</m:t>
            </m:r>
          </m:sub>
          <m:sup/>
          <m:e>
            <m:sSub>
              <m:sSubPr>
                <m:ctrlPr>
                  <w:rPr>
                    <w:rFonts w:ascii="Cambria Math" w:hAnsi="Cambria Math"/>
                  </w:rPr>
                </m:ctrlPr>
              </m:sSubPr>
              <m:e>
                <m:r>
                  <w:rPr>
                    <w:rFonts w:ascii="Cambria Math" w:hAnsi="Cambria Math"/>
                    <w:color w:val="1F4E9E"/>
                  </w:rPr>
                  <m:t>p</m:t>
                </m:r>
              </m:e>
              <m:sub>
                <m:r>
                  <w:rPr>
                    <w:rFonts w:ascii="Cambria Math" w:hAnsi="Cambria Math"/>
                    <w:color w:val="1F4E9E"/>
                  </w:rPr>
                  <m:t>d</m:t>
                </m:r>
              </m:sub>
            </m:sSub>
          </m:e>
        </m:nary>
        <m:r>
          <m:rPr>
            <m:nor/>
          </m:rPr>
          <w:rPr>
            <w:rFonts w:ascii="Cambria Math" w:hAnsi="Cambria Math"/>
            <w:color w:val="1F4E9E"/>
          </w:rPr>
          <m:t>=1</m:t>
        </m:r>
      </m:oMath>
      <w:r>
        <w:rPr>
          <w:color w:val="1F4E9E"/>
        </w:rPr>
        <w:t xml:space="preserve">: two equality constraints, so the optimum sits at a vertex of the simplex with at most two non-zero components, and the bound is obtained from the lower convex envelope of the planar curve </w:t>
      </w:r>
      <m:oMath>
        <m:r>
          <w:rPr>
            <w:rFonts w:ascii="Cambria Math" w:hAnsi="Cambria Math"/>
            <w:color w:val="1F4E9E"/>
          </w:rPr>
          <m:t>d</m:t>
        </m:r>
        <m:r>
          <m:rPr>
            <m:nor/>
          </m:rPr>
          <w:rPr>
            <w:rFonts w:ascii="Cambria Math" w:hAnsi="Cambria Math"/>
            <w:color w:val="1F4E9E"/>
          </w:rPr>
          <m:t>↦</m:t>
        </m:r>
        <m:d>
          <m:dPr>
            <m:ctrlPr>
              <w:rPr>
                <w:rFonts w:ascii="Cambria Math" w:hAnsi="Cambria Math"/>
              </w:rPr>
            </m:ctrlPr>
          </m:dPr>
          <m:e>
            <m:sSub>
              <m:sSubPr>
                <m:ctrlPr>
                  <w:rPr>
                    <w:rFonts w:ascii="Cambria Math" w:hAnsi="Cambria Math"/>
                  </w:rPr>
                </m:ctrlPr>
              </m:sSubPr>
              <m:e>
                <m:r>
                  <w:rPr>
                    <w:rFonts w:ascii="Cambria Math" w:hAnsi="Cambria Math"/>
                    <w:color w:val="1F4E9E"/>
                  </w:rPr>
                  <m:t>ν</m:t>
                </m:r>
              </m:e>
              <m:sub>
                <m:r>
                  <w:rPr>
                    <w:rFonts w:ascii="Cambria Math" w:hAnsi="Cambria Math"/>
                    <w:color w:val="1F4E9E"/>
                  </w:rPr>
                  <m:t>d</m:t>
                </m:r>
              </m:sub>
            </m:sSub>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1</m:t>
                    </m:r>
                  </m:sub>
                </m:sSub>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ν</m:t>
                </m:r>
              </m:e>
              <m:sub>
                <m:r>
                  <w:rPr>
                    <w:rFonts w:ascii="Cambria Math" w:hAnsi="Cambria Math"/>
                    <w:color w:val="1F4E9E"/>
                  </w:rPr>
                  <m:t>d</m:t>
                </m:r>
              </m:sub>
            </m:sSub>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e>
            </m:d>
          </m:e>
        </m:d>
      </m:oMath>
      <w:r>
        <w:rPr>
          <w:color w:val="1F4E9E"/>
        </w:rPr>
        <w:t>. Evaluated over the ranges of Table A1, that envelope moves the frontier by less than one per cent at every rate — at a rate of 0.2 s⁻¹, from +0.549 to +0.557 s⁻¹; at the observed rate, not at all. Heterogeneity of the maintained level therefore buys Model 1 nothing. (Mixing over PARAMETERS is a different operation and does violate the single-draw frontier, by up to +0.18 s⁻¹ in the constructed worst case; it is not the relevant one, because the observed slope this is compared against is estimated within participant and condition and then averaged, not estimated on a profile pooled across participants.) ∎</w:t>
      </w:r>
    </w:p>
    <w:p w14:paraId="7680BDDF" w14:textId="77777777" w:rsidR="00205CBC" w:rsidRDefault="00000000">
      <w:r>
        <w:rPr>
          <w:color w:val="1F4E9E"/>
        </w:rPr>
        <w:t xml:space="preserve">Remark C.10 (what remains approximate). Two gaps are left, and both are small and in the conservative direction. First, the observable is not an upcrossing but a merged supra-threshold interval, and the ratio between the two depends on the characteristic frequency </w:t>
      </w:r>
      <m:oMath>
        <m:r>
          <w:rPr>
            <w:rFonts w:ascii="Cambria Math" w:hAnsi="Cambria Math"/>
            <w:color w:val="1F4E9E"/>
          </w:rPr>
          <m:t>ω</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u</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
              <w:rPr>
                <w:rFonts w:ascii="Cambria Math" w:hAnsi="Cambria Math"/>
                <w:color w:val="1F4E9E"/>
              </w:rPr>
              <m:t>s</m:t>
            </m:r>
            <m:d>
              <m:dPr>
                <m:ctrlPr>
                  <w:rPr>
                    <w:rFonts w:ascii="Cambria Math" w:hAnsi="Cambria Math"/>
                  </w:rPr>
                </m:ctrlPr>
              </m:dPr>
              <m:e>
                <m:r>
                  <w:rPr>
                    <w:rFonts w:ascii="Cambria Math" w:hAnsi="Cambria Math"/>
                    <w:color w:val="1F4E9E"/>
                  </w:rPr>
                  <m:t>τ</m:t>
                </m:r>
              </m:e>
            </m:d>
          </m:e>
        </m:rad>
      </m:oMath>
      <w:r>
        <w:rPr>
          <w:color w:val="1F4E9E"/>
        </w:rPr>
        <w:t xml:space="preserve">, which under Model 1’s transient falls across the window — from 6.1 to 3.9 rad s⁻¹ at </w:t>
      </w:r>
      <m:oMath>
        <m:r>
          <w:rPr>
            <w:rFonts w:ascii="Cambria Math" w:hAnsi="Cambria Math"/>
            <w:color w:val="1F4E9E"/>
          </w:rPr>
          <m:t>κ</m:t>
        </m:r>
        <m:r>
          <m:rPr>
            <m:nor/>
          </m:rPr>
          <w:rPr>
            <w:rFonts w:ascii="Cambria Math" w:hAnsi="Cambria Math"/>
            <w:color w:val="1F4E9E"/>
          </w:rPr>
          <m:t>=0.20</m:t>
        </m:r>
      </m:oMath>
      <w:r>
        <w:rPr>
          <w:color w:val="1F4E9E"/>
        </w:rPr>
        <w:t xml:space="preserve"> s⁻¹. In the region where Model 1 has any ramp at all this correction is negligible, because </w:t>
      </w:r>
      <m:oMath>
        <m:r>
          <w:rPr>
            <w:rFonts w:ascii="Cambria Math" w:hAnsi="Cambria Math"/>
            <w:color w:val="1F4E9E"/>
          </w:rPr>
          <m:t>ω</m:t>
        </m:r>
        <m:r>
          <m:rPr>
            <m:nor/>
          </m:rPr>
          <w:rPr>
            <w:rFonts w:ascii="Cambria Math" w:hAnsi="Cambria Math"/>
            <w:color w:val="1F4E9E"/>
          </w:rPr>
          <m:t>=6.1</m:t>
        </m:r>
      </m:oMath>
      <w:r>
        <w:rPr>
          <w:color w:val="1F4E9E"/>
        </w:rPr>
        <w:t xml:space="preserve"> rad s⁻¹ is a characteristic period of about one second against a merge window of 25 ms, so successive crossings are essentially never merged; clustering matters only at large </w:t>
      </w:r>
      <m:oMath>
        <m:r>
          <w:rPr>
            <w:rFonts w:ascii="Cambria Math" w:hAnsi="Cambria Math"/>
            <w:color w:val="1F4E9E"/>
          </w:rPr>
          <m:t>κ</m:t>
        </m:r>
      </m:oMath>
      <w:r>
        <w:rPr>
          <w:color w:val="1F4E9E"/>
        </w:rPr>
        <w:t>, where the transient is over before the window begins. Second, the response criterion is an absorbing boundary: a delay-period crossing that reaches it ends the trial as a premature response, and conditioning on survival destroys the Gaussianity (19) uses. The admissibility screen holds premature responses below 10% of trials, and absorption removes preferentially the trials closest to the gate and preferentially late in the window, so its effect is to depress the late rate — that is, to reduce the measured slope below the value computed here. The frontier is an upper bound in both respects.</w:t>
      </w:r>
    </w:p>
    <w:p w14:paraId="4400F844" w14:textId="77777777" w:rsidR="00205CBC" w:rsidRDefault="00000000">
      <w:r>
        <w:rPr>
          <w:color w:val="1F4E9E"/>
        </w:rPr>
        <w:lastRenderedPageBreak/>
        <w:t xml:space="preserve">Corollary C.11 (Model 1 cannot hold its ramp to the response signal). Under Model 1 the log-rate slope must fall by more than an order of magnitude across the analysis window, at every admissible parameter setting. Proof. By (25) — with the same covariance term dropped, and restored in the numerical evaluation below — the ramp is carried by the relative rate of variance growth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s</m:t>
        </m:r>
      </m:oMath>
      <w:r>
        <w:rPr>
          <w:color w:val="1F4E9E"/>
        </w:rPr>
        <w:t xml:space="preserve">, and by (15)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τ</m:t>
                </m:r>
              </m:e>
            </m:d>
          </m:e>
          <m:sup>
            <m:r>
              <m:rPr>
                <m:nor/>
              </m:rPr>
              <w:rPr>
                <w:rFonts w:ascii="Cambria Math" w:hAnsi="Cambria Math"/>
                <w:color w:val="1F4E9E"/>
              </w:rPr>
              <m:t>2</m:t>
            </m:r>
          </m:sup>
        </m:sSup>
      </m:oMath>
      <w:r>
        <w:rPr>
          <w:color w:val="1F4E9E"/>
        </w:rPr>
        <w:t>, so that quantity has the exact form</w:t>
      </w:r>
    </w:p>
    <w:p w14:paraId="744123E3" w14:textId="77777777" w:rsidR="00205CBC" w:rsidRDefault="00000000">
      <m:oMathPara>
        <m:oMath>
          <m:eqArr>
            <m:eqArrPr>
              <m:maxDist m:val="1"/>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d>
                    <m:dPr>
                      <m:ctrlPr>
                        <w:rPr>
                          <w:rFonts w:ascii="Cambria Math" w:hAnsi="Cambria Math"/>
                        </w:rPr>
                      </m:ctrlPr>
                    </m:dPr>
                    <m:e>
                      <m:r>
                        <w:rPr>
                          <w:rFonts w:ascii="Cambria Math" w:hAnsi="Cambria Math"/>
                          <w:color w:val="1F4E9E"/>
                        </w:rPr>
                        <m:t>τ</m:t>
                      </m:r>
                    </m:e>
                  </m:d>
                </m:num>
                <m:den>
                  <m:r>
                    <w:rPr>
                      <w:rFonts w:ascii="Cambria Math" w:hAnsi="Cambria Math"/>
                      <w:color w:val="1F4E9E"/>
                    </w:rPr>
                    <m:t>s</m:t>
                  </m:r>
                  <m:d>
                    <m:dPr>
                      <m:ctrlPr>
                        <w:rPr>
                          <w:rFonts w:ascii="Cambria Math" w:hAnsi="Cambria Math"/>
                        </w:rPr>
                      </m:ctrlPr>
                    </m:dPr>
                    <m:e>
                      <m:r>
                        <w:rPr>
                          <w:rFonts w:ascii="Cambria Math" w:hAnsi="Cambria Math"/>
                          <w:color w:val="1F4E9E"/>
                        </w:rPr>
                        <m:t>τ</m:t>
                      </m:r>
                    </m:e>
                  </m:d>
                </m:den>
              </m:f>
              <m:r>
                <m:rPr>
                  <m:nor/>
                </m:rPr>
                <w:rPr>
                  <w:rFonts w:ascii="Cambria Math" w:hAnsi="Cambria Math"/>
                  <w:color w:val="1F4E9E"/>
                </w:rPr>
                <m:t>=</m:t>
              </m:r>
              <m:f>
                <m:fPr>
                  <m:ctrlPr>
                    <w:rPr>
                      <w:rFonts w:ascii="Cambria Math" w:hAnsi="Cambria Math"/>
                    </w:rPr>
                  </m:ctrlPr>
                </m:fPr>
                <m:num>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τ</m:t>
                          </m:r>
                        </m:e>
                      </m:d>
                    </m:e>
                    <m:sup>
                      <m:r>
                        <m:rPr>
                          <m:nor/>
                        </m:rPr>
                        <w:rPr>
                          <w:rFonts w:ascii="Cambria Math" w:hAnsi="Cambria Math"/>
                          <w:color w:val="1F4E9E"/>
                        </w:rPr>
                        <m:t>2</m:t>
                      </m:r>
                    </m:sup>
                  </m:sSup>
                </m:num>
                <m:den>
                  <m:nary>
                    <m:naryPr>
                      <m:limLoc m:val="subSup"/>
                      <m:ctrlPr>
                        <w:rPr>
                          <w:rFonts w:ascii="Cambria Math" w:hAnsi="Cambria Math"/>
                        </w:rPr>
                      </m:ctrlPr>
                    </m:naryPr>
                    <m:sub>
                      <m:r>
                        <m:rPr>
                          <m:nor/>
                        </m:rPr>
                        <w:rPr>
                          <w:rFonts w:ascii="Cambria Math" w:hAnsi="Cambria Math"/>
                          <w:color w:val="1F4E9E"/>
                        </w:rPr>
                        <m:t>0</m:t>
                      </m:r>
                    </m:sub>
                    <m:sup>
                      <m:r>
                        <w:rPr>
                          <w:rFonts w:ascii="Cambria Math" w:hAnsi="Cambria Math"/>
                          <w:color w:val="1F4E9E"/>
                        </w:rPr>
                        <m:t>τ</m:t>
                      </m:r>
                    </m:sup>
                    <m:e>
                      <m:r>
                        <w:rPr>
                          <w:rFonts w:ascii="Cambria Math" w:hAnsi="Cambria Math"/>
                          <w:color w:val="1F4E9E"/>
                        </w:rPr>
                        <m:t>K</m:t>
                      </m:r>
                      <m:sSup>
                        <m:sSupPr>
                          <m:ctrlPr>
                            <w:rPr>
                              <w:rFonts w:ascii="Cambria Math" w:hAnsi="Cambria Math"/>
                            </w:rPr>
                          </m:ctrlPr>
                        </m:sSupPr>
                        <m:e>
                          <m:d>
                            <m:dPr>
                              <m:ctrlPr>
                                <w:rPr>
                                  <w:rFonts w:ascii="Cambria Math" w:hAnsi="Cambria Math"/>
                                </w:rPr>
                              </m:ctrlPr>
                            </m:dPr>
                            <m:e>
                              <m:r>
                                <w:rPr>
                                  <w:rFonts w:ascii="Cambria Math" w:hAnsi="Cambria Math"/>
                                  <w:color w:val="1F4E9E"/>
                                </w:rPr>
                                <m:t>v</m:t>
                              </m:r>
                            </m:e>
                          </m:d>
                        </m:e>
                        <m:sup>
                          <m:r>
                            <m:rPr>
                              <m:nor/>
                            </m:rPr>
                            <w:rPr>
                              <w:rFonts w:ascii="Cambria Math" w:hAnsi="Cambria Math"/>
                              <w:color w:val="1F4E9E"/>
                            </w:rPr>
                            <m:t>2</m:t>
                          </m:r>
                        </m:sup>
                      </m:sSup>
                      <m:r>
                        <m:rPr>
                          <m:nor/>
                        </m:rPr>
                        <w:rPr>
                          <w:rFonts w:ascii="Cambria Math" w:hAnsi="Cambria Math"/>
                          <w:color w:val="1F4E9E"/>
                        </w:rPr>
                        <m:t> d</m:t>
                      </m:r>
                      <m:r>
                        <w:rPr>
                          <w:rFonts w:ascii="Cambria Math" w:hAnsi="Cambria Math"/>
                          <w:color w:val="1F4E9E"/>
                        </w:rPr>
                        <m:t>v</m:t>
                      </m:r>
                    </m:e>
                  </m:nary>
                </m:den>
              </m:f>
              <m:r>
                <w:rPr>
                  <w:rFonts w:ascii="Cambria Math" w:hAnsi="Cambria Math"/>
                  <w:color w:val="1F4E9E"/>
                </w:rPr>
                <m:t>#</m:t>
              </m:r>
              <m:d>
                <m:dPr>
                  <m:ctrlPr>
                    <w:rPr>
                      <w:rFonts w:ascii="Cambria Math" w:hAnsi="Cambria Math"/>
                    </w:rPr>
                  </m:ctrlPr>
                </m:dPr>
                <m:e>
                  <m:r>
                    <m:rPr>
                      <m:nor/>
                    </m:rPr>
                    <w:rPr>
                      <w:rFonts w:ascii="Cambria Math" w:hAnsi="Cambria Math"/>
                      <w:color w:val="1F4E9E"/>
                    </w:rPr>
                    <m:t>26</m:t>
                  </m:r>
                </m:e>
              </m:d>
            </m:e>
          </m:eqArr>
        </m:oMath>
      </m:oMathPara>
    </w:p>
    <w:p w14:paraId="020ABDD8" w14:textId="77777777" w:rsidR="00205CBC" w:rsidRDefault="00000000">
      <w:r>
        <w:rPr>
          <w:color w:val="1F4E9E"/>
        </w:rPr>
        <w:t xml:space="preserve">It is decreasing in </w:t>
      </w:r>
      <m:oMath>
        <m:r>
          <w:rPr>
            <w:rFonts w:ascii="Cambria Math" w:hAnsi="Cambria Math"/>
            <w:color w:val="1F4E9E"/>
          </w:rPr>
          <m:t>κ</m:t>
        </m:r>
      </m:oMath>
      <w:r>
        <w:rPr>
          <w:color w:val="1F4E9E"/>
        </w:rPr>
        <w:t xml:space="preserve">, and its supremum over </w:t>
      </w:r>
      <m:oMath>
        <m:r>
          <w:rPr>
            <w:rFonts w:ascii="Cambria Math" w:hAnsi="Cambria Math"/>
            <w:color w:val="1F4E9E"/>
          </w:rPr>
          <m:t>κ</m:t>
        </m:r>
      </m:oMath>
      <w:r>
        <w:rPr>
          <w:color w:val="1F4E9E"/>
        </w:rPr>
        <w:t xml:space="preserve"> is the limit </w:t>
      </w:r>
      <m:oMath>
        <m:r>
          <w:rPr>
            <w:rFonts w:ascii="Cambria Math" w:hAnsi="Cambria Math"/>
            <w:color w:val="1F4E9E"/>
          </w:rPr>
          <m:t>κ</m:t>
        </m:r>
        <m:r>
          <m:rPr>
            <m:nor/>
          </m:rPr>
          <w:rPr>
            <w:rFonts w:ascii="Cambria Math" w:hAnsi="Cambria Math"/>
            <w:color w:val="1F4E9E"/>
          </w:rPr>
          <m:t>→0</m:t>
        </m:r>
      </m:oMath>
      <w:r>
        <w:rPr>
          <w:color w:val="1F4E9E"/>
        </w:rPr>
        <w:t xml:space="preserve">, in which </w:t>
      </w:r>
      <m:oMath>
        <m:r>
          <w:rPr>
            <w:rFonts w:ascii="Cambria Math" w:hAnsi="Cambria Math"/>
            <w:color w:val="1F4E9E"/>
          </w:rPr>
          <m:t>K</m:t>
        </m:r>
        <m:d>
          <m:dPr>
            <m:ctrlPr>
              <w:rPr>
                <w:rFonts w:ascii="Cambria Math" w:hAnsi="Cambria Math"/>
              </w:rPr>
            </m:ctrlPr>
          </m:dPr>
          <m:e>
            <m:r>
              <w:rPr>
                <w:rFonts w:ascii="Cambria Math" w:hAnsi="Cambria Math"/>
                <w:color w:val="1F4E9E"/>
              </w:rPr>
              <m:t>v</m:t>
            </m:r>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σ</m:t>
            </m:r>
          </m:e>
          <m:sub>
            <m:r>
              <w:rPr>
                <w:rFonts w:ascii="Cambria Math" w:hAnsi="Cambria Math"/>
                <w:color w:val="1F4E9E"/>
              </w:rPr>
              <m:t>ε</m:t>
            </m:r>
          </m:sub>
        </m:sSub>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λv</m:t>
                </m:r>
              </m:sup>
            </m:sSup>
          </m:e>
        </m:d>
      </m:oMath>
      <w:r>
        <w:rPr>
          <w:color w:val="1F4E9E"/>
        </w:rPr>
        <w:t xml:space="preserve"> and (26) becomes </w:t>
      </w:r>
      <m:oMath>
        <m:r>
          <m:rPr>
            <m:nor/>
          </m:rPr>
          <w:rPr>
            <w:rFonts w:ascii="Cambria Math" w:hAnsi="Cambria Math"/>
            <w:color w:val="1F4E9E"/>
          </w:rPr>
          <m:t>1/</m:t>
        </m:r>
        <m:d>
          <m:dPr>
            <m:ctrlPr>
              <w:rPr>
                <w:rFonts w:ascii="Cambria Math" w:hAnsi="Cambria Math"/>
              </w:rPr>
            </m:ctrlPr>
          </m:dPr>
          <m:e>
            <m:r>
              <w:rPr>
                <w:rFonts w:ascii="Cambria Math" w:hAnsi="Cambria Math"/>
                <w:color w:val="1F4E9E"/>
              </w:rPr>
              <m:t>τ</m:t>
            </m:r>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d>
      </m:oMath>
      <w:r>
        <w:rPr>
          <w:color w:val="1F4E9E"/>
        </w:rPr>
        <w:t xml:space="preserve"> up to terms of order </w:t>
      </w:r>
      <m:oMath>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m:t>
            </m:r>
            <m:r>
              <w:rPr>
                <w:rFonts w:ascii="Cambria Math" w:hAnsi="Cambria Math"/>
                <w:color w:val="1F4E9E"/>
              </w:rPr>
              <m:t>λτ</m:t>
            </m:r>
          </m:sup>
        </m:sSup>
      </m:oMath>
      <w:r>
        <w:rPr>
          <w:color w:val="1F4E9E"/>
        </w:rPr>
        <w:t xml:space="preserve">: the filter’s lag </w:t>
      </w:r>
      <m:oMath>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oMath>
      <w:r>
        <w:rPr>
          <w:color w:val="1F4E9E"/>
        </w:rPr>
        <w:t xml:space="preserve"> displaces the clock, and nothing else survives. Hence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s</m:t>
        </m:r>
        <m:r>
          <m:rPr>
            <m:nor/>
          </m:rPr>
          <w:rPr>
            <w:rFonts w:ascii="Cambria Math" w:hAnsi="Cambria Math"/>
            <w:color w:val="1F4E9E"/>
          </w:rPr>
          <m:t>≤1/</m:t>
        </m:r>
        <m:d>
          <m:dPr>
            <m:ctrlPr>
              <w:rPr>
                <w:rFonts w:ascii="Cambria Math" w:hAnsi="Cambria Math"/>
              </w:rPr>
            </m:ctrlPr>
          </m:dPr>
          <m:e>
            <m:r>
              <w:rPr>
                <w:rFonts w:ascii="Cambria Math" w:hAnsi="Cambria Math"/>
                <w:color w:val="1F4E9E"/>
              </w:rPr>
              <m:t>τ</m:t>
            </m:r>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d>
      </m:oMath>
      <w:r>
        <w:rPr>
          <w:color w:val="1F4E9E"/>
        </w:rPr>
        <w:t xml:space="preserve"> throughout, so no choice of </w:t>
      </w:r>
      <m:oMath>
        <m:r>
          <w:rPr>
            <w:rFonts w:ascii="Cambria Math" w:hAnsi="Cambria Math"/>
            <w:color w:val="1F4E9E"/>
          </w:rPr>
          <m:t>κ</m:t>
        </m:r>
      </m:oMath>
      <w:r>
        <w:rPr>
          <w:color w:val="1F4E9E"/>
        </w:rPr>
        <w:t xml:space="preserve"> makes the log-rate slope decay more slowly than that — which alone imposes a factor of </w:t>
      </w:r>
      <m:oMath>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1</m:t>
                </m:r>
              </m:sub>
            </m:sSub>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d>
        <m:r>
          <m:rPr>
            <m:nor/>
          </m:rPr>
          <w:rPr>
            <w:rFonts w:ascii="Cambria Math" w:hAnsi="Cambria Math"/>
            <w:color w:val="1F4E9E"/>
          </w:rPr>
          <m:t>/</m:t>
        </m:r>
        <m:d>
          <m:dPr>
            <m:ctrlPr>
              <w:rPr>
                <w:rFonts w:ascii="Cambria Math" w:hAnsi="Cambria Math"/>
              </w:rPr>
            </m:ctrlPr>
          </m:dPr>
          <m:e>
            <m:sSub>
              <m:sSubPr>
                <m:ctrlPr>
                  <w:rPr>
                    <w:rFonts w:ascii="Cambria Math" w:hAnsi="Cambria Math"/>
                  </w:rPr>
                </m:ctrlPr>
              </m:sSubPr>
              <m:e>
                <m:r>
                  <w:rPr>
                    <w:rFonts w:ascii="Cambria Math" w:hAnsi="Cambria Math"/>
                    <w:color w:val="1F4E9E"/>
                  </w:rPr>
                  <m:t>τ</m:t>
                </m:r>
              </m:e>
              <m:sub>
                <m:r>
                  <m:rPr>
                    <m:nor/>
                  </m:rPr>
                  <w:rPr>
                    <w:rFonts w:ascii="Cambria Math" w:hAnsi="Cambria Math"/>
                    <w:color w:val="1F4E9E"/>
                  </w:rPr>
                  <m:t>0</m:t>
                </m:r>
              </m:sub>
            </m:sSub>
            <m:r>
              <m:rPr>
                <m:nor/>
              </m:rPr>
              <w:rPr>
                <w:rFonts w:ascii="Cambria Math" w:hAnsi="Cambria Math"/>
                <w:color w:val="1F4E9E"/>
              </w:rPr>
              <m:t>-3/</m:t>
            </m:r>
            <m:d>
              <m:dPr>
                <m:ctrlPr>
                  <w:rPr>
                    <w:rFonts w:ascii="Cambria Math" w:hAnsi="Cambria Math"/>
                  </w:rPr>
                </m:ctrlPr>
              </m:dPr>
              <m:e>
                <m:r>
                  <m:rPr>
                    <m:nor/>
                  </m:rPr>
                  <w:rPr>
                    <w:rFonts w:ascii="Cambria Math" w:hAnsi="Cambria Math"/>
                    <w:color w:val="1F4E9E"/>
                  </w:rPr>
                  <m:t>2</m:t>
                </m:r>
                <m:r>
                  <w:rPr>
                    <w:rFonts w:ascii="Cambria Math" w:hAnsi="Cambria Math"/>
                    <w:color w:val="1F4E9E"/>
                  </w:rPr>
                  <m:t>λ</m:t>
                </m:r>
              </m:e>
            </m:d>
          </m:e>
        </m:d>
      </m:oMath>
      <w:r>
        <w:rPr>
          <w:color w:val="1F4E9E"/>
        </w:rPr>
        <w:t xml:space="preserve"> across the window, at least 3.6 over the range of </w:t>
      </w:r>
      <m:oMath>
        <m:r>
          <w:rPr>
            <w:rFonts w:ascii="Cambria Math" w:hAnsi="Cambria Math"/>
            <w:color w:val="1F4E9E"/>
          </w:rPr>
          <m:t>λ</m:t>
        </m:r>
      </m:oMath>
      <w:r>
        <w:rPr>
          <w:color w:val="1F4E9E"/>
        </w:rPr>
        <w:t xml:space="preserve"> in Table A1 and 3.5 in the limit of an infinitely fast filter. Writing the maintenance variance instead as </w:t>
      </w:r>
      <m:oMath>
        <m:sSubSup>
          <m:sSubSupPr>
            <m:ctrlPr>
              <w:rPr>
                <w:rFonts w:ascii="Cambria Math" w:hAnsi="Cambria Math"/>
              </w:rPr>
            </m:ctrlPr>
          </m:sSubSupPr>
          <m:e>
            <m:r>
              <m:rPr>
                <m:nor/>
              </m:rPr>
              <w:rPr>
                <w:rFonts w:ascii="Cambria Math" w:hAnsi="Cambria Math"/>
                <w:color w:val="1F4E9E"/>
              </w:rPr>
              <m:t>SD</m:t>
            </m:r>
          </m:e>
          <m:sub>
            <m:r>
              <w:rPr>
                <w:rFonts w:ascii="Cambria Math" w:hAnsi="Cambria Math"/>
                <w:color w:val="1F4E9E"/>
              </w:rPr>
              <m:t>ε</m:t>
            </m:r>
          </m:sub>
          <m:sup>
            <m:r>
              <m:rPr>
                <m:nor/>
              </m:rPr>
              <w:rPr>
                <w:rFonts w:ascii="Cambria Math" w:hAnsi="Cambria Math"/>
                <w:color w:val="1F4E9E"/>
              </w:rPr>
              <m:t>2</m:t>
            </m:r>
          </m:sup>
        </m:sSubSup>
        <m:d>
          <m:dPr>
            <m:ctrlPr>
              <w:rPr>
                <w:rFonts w:ascii="Cambria Math" w:hAnsi="Cambria Math"/>
              </w:rPr>
            </m:ctrlPr>
          </m:dPr>
          <m:e>
            <m:r>
              <m:rPr>
                <m:nor/>
              </m:rPr>
              <w:rPr>
                <w:rFonts w:ascii="Cambria Math" w:hAnsi="Cambria Math"/>
                <w:color w:val="1F4E9E"/>
              </w:rPr>
              <m:t>1-</m:t>
            </m:r>
            <m:sSup>
              <m:sSupPr>
                <m:ctrlPr>
                  <w:rPr>
                    <w:rFonts w:ascii="Cambria Math" w:hAnsi="Cambria Math"/>
                  </w:rPr>
                </m:ctrlPr>
              </m:sSupPr>
              <m:e>
                <m:r>
                  <w:rPr>
                    <w:rFonts w:ascii="Cambria Math" w:hAnsi="Cambria Math"/>
                    <w:color w:val="1F4E9E"/>
                  </w:rPr>
                  <m:t>e</m:t>
                </m:r>
              </m:e>
              <m:sup>
                <m:r>
                  <m:rPr>
                    <m:nor/>
                  </m:rPr>
                  <w:rPr>
                    <w:rFonts w:ascii="Cambria Math" w:hAnsi="Cambria Math"/>
                    <w:color w:val="1F4E9E"/>
                  </w:rPr>
                  <m:t>-2</m:t>
                </m:r>
                <m:r>
                  <w:rPr>
                    <w:rFonts w:ascii="Cambria Math" w:hAnsi="Cambria Math"/>
                    <w:color w:val="1F4E9E"/>
                  </w:rPr>
                  <m:t>κτ</m:t>
                </m:r>
              </m:sup>
            </m:sSup>
          </m:e>
        </m:d>
      </m:oMath>
      <w:r>
        <w:rPr>
          <w:color w:val="1F4E9E"/>
        </w:rPr>
        <w:t xml:space="preserve">, which is the variance of </w:t>
      </w:r>
      <m:oMath>
        <m:r>
          <w:rPr>
            <w:rFonts w:ascii="Cambria Math" w:hAnsi="Cambria Math"/>
            <w:color w:val="1F4E9E"/>
          </w:rPr>
          <m:t>ε</m:t>
        </m:r>
      </m:oMath>
      <w:r>
        <w:rPr>
          <w:color w:val="1F4E9E"/>
        </w:rPr>
        <w:t xml:space="preserve"> rather than of </w:t>
      </w:r>
      <m:oMath>
        <m:r>
          <w:rPr>
            <w:rFonts w:ascii="Cambria Math" w:hAnsi="Cambria Math"/>
            <w:color w:val="1F4E9E"/>
          </w:rPr>
          <m:t>V</m:t>
        </m:r>
      </m:oMath>
      <w:r>
        <w:rPr>
          <w:color w:val="1F4E9E"/>
        </w:rPr>
        <w:t xml:space="preserve"> and is the limit of (16) as </w:t>
      </w:r>
      <m:oMath>
        <m:r>
          <w:rPr>
            <w:rFonts w:ascii="Cambria Math" w:hAnsi="Cambria Math"/>
            <w:color w:val="1F4E9E"/>
          </w:rPr>
          <m:t>λ</m:t>
        </m:r>
        <m:r>
          <m:rPr>
            <m:nor/>
          </m:rPr>
          <w:rPr>
            <w:rFonts w:ascii="Cambria Math" w:hAnsi="Cambria Math"/>
            <w:color w:val="1F4E9E"/>
          </w:rPr>
          <m:t>→∞</m:t>
        </m:r>
      </m:oMath>
      <w:r>
        <w:rPr>
          <w:color w:val="1F4E9E"/>
        </w:rPr>
        <w:t xml:space="preserve">, would give the simpler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s</m:t>
        </m:r>
        <m:r>
          <m:rPr>
            <m:nor/>
          </m:rPr>
          <w:rPr>
            <w:rFonts w:ascii="Cambria Math" w:hAnsi="Cambria Math"/>
            <w:color w:val="1F4E9E"/>
          </w:rPr>
          <m:t>=</m:t>
        </m:r>
        <m:r>
          <w:rPr>
            <w:rFonts w:ascii="Cambria Math" w:hAnsi="Cambria Math"/>
            <w:color w:val="1F4E9E"/>
          </w:rPr>
          <m:t>v</m:t>
        </m:r>
        <m:r>
          <m:rPr>
            <m:nor/>
          </m:rPr>
          <w:rPr>
            <w:rFonts w:ascii="Cambria Math" w:hAnsi="Cambria Math"/>
            <w:color w:val="1F4E9E"/>
          </w:rPr>
          <m:t>/</m:t>
        </m:r>
        <m:d>
          <m:dPr>
            <m:ctrlPr>
              <w:rPr>
                <w:rFonts w:ascii="Cambria Math" w:hAnsi="Cambria Math"/>
              </w:rPr>
            </m:ctrlPr>
          </m:dPr>
          <m:e>
            <m:r>
              <w:rPr>
                <w:rFonts w:ascii="Cambria Math" w:hAnsi="Cambria Math"/>
                <w:color w:val="1F4E9E"/>
              </w:rPr>
              <m:t>τ</m:t>
            </m:r>
            <m:d>
              <m:dPr>
                <m:ctrlPr>
                  <w:rPr>
                    <w:rFonts w:ascii="Cambria Math" w:hAnsi="Cambria Math"/>
                  </w:rPr>
                </m:ctrlPr>
              </m:dPr>
              <m:e>
                <m:sSup>
                  <m:sSupPr>
                    <m:ctrlPr>
                      <w:rPr>
                        <w:rFonts w:ascii="Cambria Math" w:hAnsi="Cambria Math"/>
                      </w:rPr>
                    </m:ctrlPr>
                  </m:sSupPr>
                  <m:e>
                    <m:r>
                      <w:rPr>
                        <w:rFonts w:ascii="Cambria Math" w:hAnsi="Cambria Math"/>
                        <w:color w:val="1F4E9E"/>
                      </w:rPr>
                      <m:t>e</m:t>
                    </m:r>
                  </m:e>
                  <m:sup>
                    <m:r>
                      <w:rPr>
                        <w:rFonts w:ascii="Cambria Math" w:hAnsi="Cambria Math"/>
                        <w:color w:val="1F4E9E"/>
                      </w:rPr>
                      <m:t>v</m:t>
                    </m:r>
                  </m:sup>
                </m:sSup>
                <m:r>
                  <m:rPr>
                    <m:nor/>
                  </m:rPr>
                  <w:rPr>
                    <w:rFonts w:ascii="Cambria Math" w:hAnsi="Cambria Math"/>
                    <w:color w:val="1F4E9E"/>
                  </w:rPr>
                  <m:t>-1</m:t>
                </m:r>
              </m:e>
            </m:d>
          </m:e>
        </m:d>
      </m:oMath>
      <w:r>
        <w:rPr>
          <w:color w:val="1F4E9E"/>
        </w:rPr>
        <w:t xml:space="preserve"> with </w:t>
      </w:r>
      <m:oMath>
        <m:r>
          <w:rPr>
            <w:rFonts w:ascii="Cambria Math" w:hAnsi="Cambria Math"/>
            <w:color w:val="1F4E9E"/>
          </w:rPr>
          <m:t>v</m:t>
        </m:r>
        <m:r>
          <m:rPr>
            <m:nor/>
          </m:rPr>
          <w:rPr>
            <w:rFonts w:ascii="Cambria Math" w:hAnsi="Cambria Math"/>
            <w:color w:val="1F4E9E"/>
          </w:rPr>
          <m:t>=2</m:t>
        </m:r>
        <m:r>
          <w:rPr>
            <w:rFonts w:ascii="Cambria Math" w:hAnsi="Cambria Math"/>
            <w:color w:val="1F4E9E"/>
          </w:rPr>
          <m:t>κτ</m:t>
        </m:r>
      </m:oMath>
      <w:r>
        <w:rPr>
          <w:color w:val="1F4E9E"/>
        </w:rPr>
        <w:t xml:space="preserve">, and the bound </w:t>
      </w:r>
      <m:oMath>
        <m:r>
          <m:rPr>
            <m:nor/>
          </m:rPr>
          <w:rPr>
            <w:rFonts w:ascii="Cambria Math" w:hAnsi="Cambria Math"/>
            <w:color w:val="1F4E9E"/>
          </w:rPr>
          <m:t>1/</m:t>
        </m:r>
        <m:r>
          <w:rPr>
            <w:rFonts w:ascii="Cambria Math" w:hAnsi="Cambria Math"/>
            <w:color w:val="1F4E9E"/>
          </w:rPr>
          <m:t>τ</m:t>
        </m:r>
      </m:oMath>
      <w:r>
        <w:rPr>
          <w:color w:val="1F4E9E"/>
        </w:rPr>
        <w:t xml:space="preserve">; that bound is not valid for the true variance, which is why (26) is used. The realized decay is steeper than the bound for two further reasons: the prefactor term in (25) is negative and grows in relative importance as the transient dies, and </w:t>
      </w:r>
      <m:oMath>
        <m:r>
          <w:rPr>
            <w:rFonts w:ascii="Cambria Math" w:hAnsi="Cambria Math"/>
            <w:color w:val="1F4E9E"/>
          </w:rPr>
          <m:t>a</m:t>
        </m:r>
        <m:d>
          <m:dPr>
            <m:ctrlPr>
              <w:rPr>
                <w:rFonts w:ascii="Cambria Math" w:hAnsi="Cambria Math"/>
              </w:rPr>
            </m:ctrlPr>
          </m:dPr>
          <m:e>
            <m:r>
              <w:rPr>
                <w:rFonts w:ascii="Cambria Math" w:hAnsi="Cambria Math"/>
                <w:color w:val="1F4E9E"/>
              </w:rPr>
              <m:t>τ</m:t>
            </m:r>
          </m:e>
        </m:d>
        <m:r>
          <m:rPr>
            <m:nor/>
          </m:rPr>
          <w:rPr>
            <w:rFonts w:ascii="Cambria Math" w:hAnsi="Cambria Math"/>
            <w:color w:val="1F4E9E"/>
          </w:rPr>
          <m:t>=</m:t>
        </m:r>
        <m:r>
          <w:rPr>
            <w:rFonts w:ascii="Cambria Math" w:hAnsi="Cambria Math"/>
            <w:color w:val="1F4E9E"/>
          </w:rPr>
          <m:t>d</m:t>
        </m:r>
        <m:r>
          <m:rPr>
            <m:nor/>
          </m:rPr>
          <w:rPr>
            <w:rFonts w:ascii="Cambria Math" w:hAnsi="Cambria Math"/>
            <w:color w:val="1F4E9E"/>
          </w:rPr>
          <m:t>/</m:t>
        </m:r>
        <m:rad>
          <m:radPr>
            <m:degHide m:val="1"/>
            <m:ctrlPr>
              <w:rPr>
                <w:rFonts w:ascii="Cambria Math" w:hAnsi="Cambria Math"/>
              </w:rPr>
            </m:ctrlPr>
          </m:radPr>
          <m:deg/>
          <m:e>
            <m:r>
              <w:rPr>
                <w:rFonts w:ascii="Cambria Math" w:hAnsi="Cambria Math"/>
                <w:color w:val="1F4E9E"/>
              </w:rPr>
              <m:t>s</m:t>
            </m:r>
            <m:d>
              <m:dPr>
                <m:ctrlPr>
                  <w:rPr>
                    <w:rFonts w:ascii="Cambria Math" w:hAnsi="Cambria Math"/>
                  </w:rPr>
                </m:ctrlPr>
              </m:dPr>
              <m:e>
                <m:r>
                  <w:rPr>
                    <w:rFonts w:ascii="Cambria Math" w:hAnsi="Cambria Math"/>
                    <w:color w:val="1F4E9E"/>
                  </w:rPr>
                  <m:t>τ</m:t>
                </m:r>
              </m:e>
            </m:d>
          </m:e>
        </m:rad>
      </m:oMath>
      <w:r>
        <w:rPr>
          <w:color w:val="1F4E9E"/>
        </w:rPr>
        <w:t xml:space="preserve"> itself falls as the variance fills, so the factor </w:t>
      </w:r>
      <m:oMath>
        <m:sSup>
          <m:sSupPr>
            <m:ctrlPr>
              <w:rPr>
                <w:rFonts w:ascii="Cambria Math" w:hAnsi="Cambria Math"/>
              </w:rPr>
            </m:ctrlPr>
          </m:sSupPr>
          <m:e>
            <m:r>
              <w:rPr>
                <w:rFonts w:ascii="Cambria Math" w:hAnsi="Cambria Math"/>
                <w:color w:val="1F4E9E"/>
              </w:rPr>
              <m:t>a</m:t>
            </m:r>
          </m:e>
          <m:sup>
            <m:r>
              <m:rPr>
                <m:nor/>
              </m:rPr>
              <w:rPr>
                <w:rFonts w:ascii="Cambria Math" w:hAnsi="Cambria Math"/>
                <w:color w:val="1F4E9E"/>
              </w:rPr>
              <m:t>2</m:t>
            </m:r>
          </m:sup>
        </m:sSup>
        <m:r>
          <m:rPr>
            <m:nor/>
          </m:rPr>
          <w:rPr>
            <w:rFonts w:ascii="Cambria Math" w:hAnsi="Cambria Math"/>
            <w:color w:val="1F4E9E"/>
          </w:rPr>
          <m:t>/2</m:t>
        </m:r>
      </m:oMath>
      <w:r>
        <w:rPr>
          <w:color w:val="1F4E9E"/>
        </w:rPr>
        <w:t xml:space="preserve"> multiplying </w:t>
      </w:r>
      <m:oMath>
        <m:sSup>
          <m:sSupPr>
            <m:ctrlPr>
              <w:rPr>
                <w:rFonts w:ascii="Cambria Math" w:hAnsi="Cambria Math"/>
              </w:rPr>
            </m:ctrlPr>
          </m:sSupPr>
          <m:e>
            <m:r>
              <w:rPr>
                <w:rFonts w:ascii="Cambria Math" w:hAnsi="Cambria Math"/>
                <w:color w:val="1F4E9E"/>
              </w:rPr>
              <m:t>s</m:t>
            </m:r>
          </m:e>
          <m:sup>
            <m:r>
              <m:rPr>
                <m:nor/>
              </m:rPr>
              <w:rPr>
                <w:rFonts w:ascii="Cambria Math" w:hAnsi="Cambria Math"/>
                <w:color w:val="1F4E9E"/>
              </w:rPr>
              <m:t>'</m:t>
            </m:r>
          </m:sup>
        </m:sSup>
        <m:r>
          <m:rPr>
            <m:nor/>
          </m:rPr>
          <w:rPr>
            <w:rFonts w:ascii="Cambria Math" w:hAnsi="Cambria Math"/>
            <w:color w:val="1F4E9E"/>
          </w:rPr>
          <m:t>/</m:t>
        </m:r>
        <m:r>
          <w:rPr>
            <w:rFonts w:ascii="Cambria Math" w:hAnsi="Cambria Math"/>
            <w:color w:val="1F4E9E"/>
          </w:rPr>
          <m:t>s</m:t>
        </m:r>
      </m:oMath>
      <w:r>
        <w:rPr>
          <w:color w:val="1F4E9E"/>
        </w:rPr>
        <w:t xml:space="preserve"> shrinks too. Evaluated from (16) and (17) over the ranges of Table A1, among all settings whose slope is positive at both ends of the window, the ratio of the local log-rate slope at 0.8 s to that at 2.8 s is never below 15 — from 15 to 3400 over the box, and no lower than 13.7 even if </w:t>
      </w:r>
      <m:oMath>
        <m:r>
          <w:rPr>
            <w:rFonts w:ascii="Cambria Math" w:hAnsi="Cambria Math"/>
            <w:color w:val="1F4E9E"/>
          </w:rPr>
          <m:t>κ</m:t>
        </m:r>
      </m:oMath>
      <w:r>
        <w:rPr>
          <w:color w:val="1F4E9E"/>
        </w:rPr>
        <w:t xml:space="preserve"> is allowed two further orders of magnitude below its sampled floor. Model 2, whose slope is </w:t>
      </w:r>
      <m:oMath>
        <m:r>
          <w:rPr>
            <w:rFonts w:ascii="Cambria Math" w:hAnsi="Cambria Math"/>
            <w:color w:val="1F4E9E"/>
          </w:rPr>
          <m:t>b</m:t>
        </m:r>
        <m:r>
          <m:rPr>
            <m:nor/>
          </m:rPr>
          <w:rPr>
            <w:rFonts w:ascii="Cambria Math" w:hAnsi="Cambria Math"/>
            <w:color w:val="1F4E9E"/>
          </w:rPr>
          <m:t> </m:t>
        </m:r>
        <m:r>
          <w:rPr>
            <w:rFonts w:ascii="Cambria Math" w:hAnsi="Cambria Math"/>
            <w:color w:val="1F4E9E"/>
          </w:rPr>
          <m:t>a</m:t>
        </m:r>
        <m:d>
          <m:dPr>
            <m:ctrlPr>
              <w:rPr>
                <w:rFonts w:ascii="Cambria Math" w:hAnsi="Cambria Math"/>
              </w:rPr>
            </m:ctrlPr>
          </m:dPr>
          <m:e>
            <m:r>
              <w:rPr>
                <w:rFonts w:ascii="Cambria Math" w:hAnsi="Cambria Math"/>
                <w:color w:val="1F4E9E"/>
              </w:rPr>
              <m:t>τ</m:t>
            </m:r>
          </m:e>
        </m:d>
      </m:oMath>
      <w:r>
        <w:rPr>
          <w:color w:val="1F4E9E"/>
        </w:rPr>
        <w:t xml:space="preserve"> with </w:t>
      </w:r>
      <m:oMath>
        <m:r>
          <w:rPr>
            <w:rFonts w:ascii="Cambria Math" w:hAnsi="Cambria Math"/>
            <w:color w:val="1F4E9E"/>
          </w:rPr>
          <m:t>a</m:t>
        </m:r>
      </m:oMath>
      <w:r>
        <w:rPr>
          <w:color w:val="1F4E9E"/>
        </w:rPr>
        <w:t xml:space="preserve"> falling linearly by (24), is under no such constraint: its ratio runs from about 1.1 upward. ∎</w:t>
      </w:r>
    </w:p>
    <w:p w14:paraId="7121BD0A" w14:textId="77777777" w:rsidR="00205CBC" w:rsidRDefault="00000000">
      <w:r>
        <w:rPr>
          <w:color w:val="1F4E9E"/>
        </w:rPr>
        <w:lastRenderedPageBreak/>
        <w:t xml:space="preserve">Remark C.12. The bound of C.11 survives the two objections that matter. Mixing over the maintained level does not flatten it: a uniform mixture over standardized distances </w:t>
      </w:r>
      <m:oMath>
        <m:r>
          <m:rPr>
            <m:nor/>
          </m:rPr>
          <w:rPr>
            <w:rFonts w:ascii="Cambria Math" w:hAnsi="Cambria Math"/>
            <w:color w:val="1F4E9E"/>
          </w:rPr>
          <m:t>{1.5,2.0,2.5}</m:t>
        </m:r>
      </m:oMath>
      <w:r>
        <w:rPr>
          <w:color w:val="1F4E9E"/>
        </w:rPr>
        <w:t xml:space="preserve"> lowers the ratio from 16.5 to 13.0 at </w:t>
      </w:r>
      <m:oMath>
        <m:r>
          <w:rPr>
            <w:rFonts w:ascii="Cambria Math" w:hAnsi="Cambria Math"/>
            <w:color w:val="1F4E9E"/>
          </w:rPr>
          <m:t>κ</m:t>
        </m:r>
        <m:r>
          <m:rPr>
            <m:nor/>
          </m:rPr>
          <w:rPr>
            <w:rFonts w:ascii="Cambria Math" w:hAnsi="Cambria Math"/>
            <w:color w:val="1F4E9E"/>
          </w:rPr>
          <m:t>=0.02</m:t>
        </m:r>
      </m:oMath>
      <w:r>
        <w:rPr>
          <w:color w:val="1F4E9E"/>
        </w:rPr>
        <w:t xml:space="preserve"> s⁻¹, and a wider spread makes the pooled slope negative outright. And the measurement effect that depresses the end of the window — the burst preceding the response is scored as the response, in the data and in the simulation alike — acts on the observed profile too, so it makes the observation look more decelerating than it is, which is the conservative direction. The observed per-participant log-rate slopes in the four quarters of the window are +0.58, +0.94, +0.72 and +0.62 s⁻¹: their first-to-last ratio is 0.94, and Model 1 requires at least 15.</w:t>
      </w:r>
    </w:p>
    <w:p w14:paraId="365E23F8" w14:textId="77777777" w:rsidR="00205CBC" w:rsidRDefault="00000000">
      <w:pPr>
        <w:pStyle w:val="Titre1"/>
      </w:pPr>
      <w:r>
        <w:rPr>
          <w:b w:val="0"/>
          <w:color w:val="1F4E9E"/>
        </w:rPr>
        <w:t>Appendix D. RS-locked predictions</w:t>
      </w:r>
    </w:p>
    <w:p w14:paraId="5496AABF" w14:textId="77777777" w:rsidR="00205CBC" w:rsidRDefault="00000000">
      <w:r>
        <w:rPr>
          <w:color w:val="1F4E9E"/>
        </w:rPr>
        <w:t>Proposition D.1 (the rate falls after the response signal). Proof. From tRS the gated drive acquires a positive drift μRS toward the response criterion. An excursion above the gate therefore terminates at the criterion, rather than returning below the gate, with a probability that increases in that drift; and trials are absorbed progressively as the stage proceeds, so the population still at risk of producing a partial activation shrinks monotonically. Both effects reduce the rate of activations that remain partial. This argument is qualitative: once the criterion acts as an absorbing barrier, conditioning on survival destroys the Gaussian structure that Equation (22) relies on, and no closed form is available for this window. ∎</w:t>
      </w:r>
    </w:p>
    <w:p w14:paraId="3321506E" w14:textId="77777777" w:rsidR="00205CBC" w:rsidRDefault="00000000">
      <w:r>
        <w:rPr>
          <w:color w:val="1F4E9E"/>
        </w:rPr>
        <w:t xml:space="preserve">Proposition D.2 (coherence and duration modulate premotor but not motor execution time). Proof. Premotor execution time is the interval from the signal to the first upcrossing of the gate. Its expectation is </w:t>
      </w:r>
      <m:oMath>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RS</m:t>
            </m:r>
          </m:sub>
        </m:sSub>
        <m:r>
          <m:rPr>
            <m:nor/>
          </m:rPr>
          <w:rPr>
            <w:rFonts w:ascii="Cambria Math" w:hAnsi="Cambria Math"/>
            <w:color w:val="1F4E9E"/>
          </w:rPr>
          <m:t>+</m:t>
        </m:r>
        <m:d>
          <m:dPr>
            <m:ctrlPr>
              <w:rPr>
                <w:rFonts w:ascii="Cambria Math" w:hAnsi="Cambria Math"/>
              </w:rPr>
            </m:ctrlPr>
          </m:dPr>
          <m:e>
            <m:r>
              <w:rPr>
                <w:rFonts w:ascii="Cambria Math" w:hAnsi="Cambria Math"/>
                <w:color w:val="1F4E9E"/>
              </w:rPr>
              <m:t>g</m:t>
            </m:r>
            <m:r>
              <m:rPr>
                <m:nor/>
              </m:rPr>
              <w:rPr>
                <w:rFonts w:ascii="Cambria Math" w:hAnsi="Cambria Math"/>
                <w:color w:val="1F4E9E"/>
              </w:rPr>
              <m:t>-</m:t>
            </m:r>
            <m:r>
              <w:rPr>
                <w:rFonts w:ascii="Cambria Math" w:hAnsi="Cambria Math"/>
                <w:color w:val="1F4E9E"/>
              </w:rPr>
              <m:t>β</m:t>
            </m:r>
            <m:r>
              <m:rPr>
                <m:nor/>
              </m:rPr>
              <w:rPr>
                <w:rFonts w:ascii="Cambria Math" w:hAnsi="Cambria Math"/>
                <w:color w:val="1F4E9E"/>
              </w:rPr>
              <m:t>-</m:t>
            </m:r>
            <m:d>
              <m:dPr>
                <m:begChr m:val="|"/>
                <m:endChr m:val="|"/>
                <m:ctrlPr>
                  <w:rPr>
                    <w:rFonts w:ascii="Cambria Math" w:hAnsi="Cambria Math"/>
                  </w:rPr>
                </m:ctrlPr>
              </m:dPr>
              <m:e>
                <m:r>
                  <w:rPr>
                    <w:rFonts w:ascii="Cambria Math" w:hAnsi="Cambria Math"/>
                    <w:color w:val="1F4E9E"/>
                  </w:rPr>
                  <m:t>m</m:t>
                </m:r>
              </m:e>
            </m:d>
          </m:e>
        </m:d>
        <m:r>
          <m:rPr>
            <m:nor/>
          </m:rPr>
          <w:rPr>
            <w:rFonts w:ascii="Cambria Math" w:hAnsi="Cambria Math"/>
            <w:color w:val="1F4E9E"/>
          </w:rPr>
          <m:t>/</m:t>
        </m:r>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oMath>
      <w:r>
        <w:rPr>
          <w:color w:val="1F4E9E"/>
        </w:rPr>
        <w:t xml:space="preserve"> to the same first order as in A.3, and therefore carries all of the condition dependence, since </w:t>
      </w:r>
      <m:oMath>
        <m:d>
          <m:dPr>
            <m:begChr m:val="|"/>
            <m:endChr m:val="|"/>
            <m:ctrlPr>
              <w:rPr>
                <w:rFonts w:ascii="Cambria Math" w:hAnsi="Cambria Math"/>
              </w:rPr>
            </m:ctrlPr>
          </m:dPr>
          <m:e>
            <m:r>
              <w:rPr>
                <w:rFonts w:ascii="Cambria Math" w:hAnsi="Cambria Math"/>
                <w:color w:val="1F4E9E"/>
              </w:rPr>
              <m:t>m</m:t>
            </m:r>
          </m:e>
        </m:d>
      </m:oMath>
      <w:r>
        <w:rPr>
          <w:color w:val="1F4E9E"/>
        </w:rPr>
        <w:t xml:space="preserve"> is the only term in it that varies with coherence or duration. Motor execution time is the further interval from that upcrossing to the criterion, plus the residual latency </w:t>
      </w:r>
      <m:oMath>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motor</m:t>
            </m:r>
          </m:sub>
        </m:sSub>
      </m:oMath>
      <w:r>
        <w:rPr>
          <w:color w:val="1F4E9E"/>
        </w:rPr>
        <w:t xml:space="preserve">. That interval begins at the gate, the same level in </w:t>
      </w:r>
      <w:r>
        <w:rPr>
          <w:color w:val="1F4E9E"/>
        </w:rPr>
        <w:lastRenderedPageBreak/>
        <w:t xml:space="preserve">every condition, and runs under the same drift </w:t>
      </w:r>
      <m:oMath>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oMath>
      <w:r>
        <w:rPr>
          <w:color w:val="1F4E9E"/>
        </w:rPr>
        <w:t xml:space="preserve"> to the same criterion </w:t>
      </w:r>
      <m:oMath>
        <m:r>
          <w:rPr>
            <w:rFonts w:ascii="Cambria Math" w:hAnsi="Cambria Math"/>
            <w:color w:val="1F4E9E"/>
          </w:rPr>
          <m:t>g</m:t>
        </m:r>
        <m:r>
          <m:rPr>
            <m:nor/>
          </m:rPr>
          <w:rPr>
            <w:rFonts w:ascii="Cambria Math" w:hAnsi="Cambria Math"/>
            <w:color w:val="1F4E9E"/>
          </w:rPr>
          <m:t>+</m:t>
        </m:r>
        <m:r>
          <w:rPr>
            <w:rFonts w:ascii="Cambria Math" w:hAnsi="Cambria Math"/>
            <w:color w:val="1F4E9E"/>
          </w:rPr>
          <m:t>r</m:t>
        </m:r>
      </m:oMath>
      <w:r>
        <w:rPr>
          <w:color w:val="1F4E9E"/>
        </w:rPr>
        <w:t xml:space="preserve">, so its expectation is </w:t>
      </w:r>
      <m:oMath>
        <m:r>
          <w:rPr>
            <w:rFonts w:ascii="Cambria Math" w:hAnsi="Cambria Math"/>
            <w:color w:val="1F4E9E"/>
          </w:rPr>
          <m:t>r</m:t>
        </m:r>
        <m:r>
          <m:rPr>
            <m:nor/>
          </m:rPr>
          <w:rPr>
            <w:rFonts w:ascii="Cambria Math" w:hAnsi="Cambria Math"/>
            <w:color w:val="1F4E9E"/>
          </w:rPr>
          <m:t>/</m:t>
        </m:r>
        <m:sSub>
          <m:sSubPr>
            <m:ctrlPr>
              <w:rPr>
                <w:rFonts w:ascii="Cambria Math" w:hAnsi="Cambria Math"/>
              </w:rPr>
            </m:ctrlPr>
          </m:sSubPr>
          <m:e>
            <m:r>
              <w:rPr>
                <w:rFonts w:ascii="Cambria Math" w:hAnsi="Cambria Math"/>
                <w:color w:val="1F4E9E"/>
              </w:rPr>
              <m:t>μ</m:t>
            </m:r>
          </m:e>
          <m:sub>
            <m:r>
              <m:rPr>
                <m:nor/>
              </m:rPr>
              <w:rPr>
                <w:rFonts w:ascii="Cambria Math" w:hAnsi="Cambria Math"/>
                <w:color w:val="1F4E9E"/>
              </w:rPr>
              <m:t>RS</m:t>
            </m:r>
          </m:sub>
        </m:sSub>
        <m:r>
          <m:rPr>
            <m:nor/>
          </m:rPr>
          <w:rPr>
            <w:rFonts w:ascii="Cambria Math" w:hAnsi="Cambria Math"/>
            <w:color w:val="1F4E9E"/>
          </w:rPr>
          <m:t>+</m:t>
        </m:r>
        <m:sSub>
          <m:sSubPr>
            <m:ctrlPr>
              <w:rPr>
                <w:rFonts w:ascii="Cambria Math" w:hAnsi="Cambria Math"/>
              </w:rPr>
            </m:ctrlPr>
          </m:sSubPr>
          <m:e>
            <m:r>
              <w:rPr>
                <w:rFonts w:ascii="Cambria Math" w:hAnsi="Cambria Math"/>
                <w:color w:val="1F4E9E"/>
              </w:rPr>
              <m:t>L</m:t>
            </m:r>
          </m:e>
          <m:sub>
            <m:r>
              <m:rPr>
                <m:nor/>
              </m:rPr>
              <w:rPr>
                <w:rFonts w:ascii="Cambria Math" w:hAnsi="Cambria Math"/>
                <w:color w:val="1F4E9E"/>
              </w:rPr>
              <m:t>motor</m:t>
            </m:r>
          </m:sub>
        </m:sSub>
      </m:oMath>
      <w:r>
        <w:rPr>
          <w:color w:val="1F4E9E"/>
        </w:rPr>
        <w:t xml:space="preserve"> in every condition and does not depend on coherence or duration except through the filter’s exponentially decaying residual. That residual is not exactly zero, and the simulations put the duration effect it produces at a few milliseconds (Results, RS-locked). ∎</w:t>
      </w:r>
    </w:p>
    <w:p w14:paraId="20176D25" w14:textId="77777777" w:rsidR="00205CBC" w:rsidRDefault="00000000">
      <w:r>
        <w:rPr>
          <w:color w:val="1F4E9E"/>
        </w:rPr>
        <w:t>Proposition D.3 (the decline is steeper where the rate is higher at signal onset). Proof. By D.1 the decline acts as a roughly constant proportional attrition per unit time, so its absolute magnitude scales with the rate at signal onset. That rate is higher after the long stimulus, because the maintained level is higher there and the distance to the gate correspondingly smaller (A.3, Appendix C). ∎</w:t>
      </w:r>
    </w:p>
    <w:p w14:paraId="3DC2EE79" w14:textId="77777777" w:rsidR="00205CBC" w:rsidRDefault="00000000">
      <w:pPr>
        <w:pStyle w:val="Titre1"/>
      </w:pPr>
      <w:r>
        <w:rPr>
          <w:b w:val="0"/>
          <w:color w:val="1F4E9E"/>
        </w:rPr>
        <w:t>Appendix E. Response-locked predictions</w:t>
      </w:r>
    </w:p>
    <w:p w14:paraId="7A435D1D" w14:textId="77777777" w:rsidR="00205CBC" w:rsidRDefault="00000000">
      <w:r>
        <w:rPr>
          <w:color w:val="1F4E9E"/>
        </w:rPr>
        <w:t>Proposition E.1. The decline established in D.1 continues into the response period. Proof. The argument of D.1 applies unchanged and with greater force: by the response period the drive is closer still to the criterion, so an excursion above the gate is still more likely to be absorbed than to return. The duration ordering of D.3 carries over for the same reason. ∎</w:t>
      </w:r>
    </w:p>
    <w:p w14:paraId="0558147B" w14:textId="77777777" w:rsidR="00205CBC" w:rsidRDefault="00000000">
      <w:r>
        <w:rPr>
          <w:color w:val="1F4E9E"/>
        </w:rPr>
        <w:t>Proposition E.2 (the final bin is empty). The rate of partial activations in the 0.1-s bin immediately preceding the button press is exactly zero, in every condition and for every participant. Proof. A partial muscle activation is defined as a detected activation other than the one that produces the response, and the response-producing activation begins on average about 160 ms before the press. Any activation with an onset inside the final 0.1 s would therefore be the response-producing activation itself, and is excluded by definition. This is a consequence of the definition rather than of the model, and it holds of the data exactly as it holds of any simulation of them; it is why the response period is analyzed on its single informative bin. ∎</w:t>
      </w:r>
    </w:p>
    <w:p w14:paraId="1F16583A" w14:textId="77777777" w:rsidR="009C1EF3" w:rsidRPr="00763AC8" w:rsidRDefault="003009E9" w:rsidP="000E5F17">
      <w:pPr>
        <w:pStyle w:val="Titre1"/>
      </w:pPr>
      <w:r>
        <w:lastRenderedPageBreak/>
        <w:t>R</w:t>
      </w:r>
      <w:r w:rsidR="00763AC8">
        <w:t>eferences</w:t>
      </w:r>
    </w:p>
    <w:p w14:paraId="37435C9F" w14:textId="77777777" w:rsidR="0031657A" w:rsidRPr="0031657A" w:rsidRDefault="00763AC8" w:rsidP="0031657A">
      <w:pPr>
        <w:pStyle w:val="Bibliographie"/>
      </w:pPr>
      <w:r w:rsidRPr="00C93C6E">
        <w:rPr>
          <w:b/>
          <w:szCs w:val="22"/>
        </w:rPr>
        <w:t xml:space="preserve"> ADDIN ZOTERO_BIBL {"uncited":[],"omitted":[],"custom":[]} CSL_BIBLIOGRAPHY </w:t>
      </w:r>
      <w:r w:rsidR="0031657A" w:rsidRPr="00C93C6E">
        <w:rPr>
          <w:color w:val="1F4E9E"/>
        </w:rPr>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2E451867" w14:textId="77777777" w:rsidR="0031657A" w:rsidRPr="0031657A" w:rsidRDefault="0031657A" w:rsidP="0031657A">
      <w:pPr>
        <w:pStyle w:val="Bibliographie"/>
      </w:pPr>
      <w:r w:rsidRPr="0031657A">
        <w:rPr>
          <w:strike/>
          <w:color w:val="B00000"/>
        </w:rPr>
        <w:t xml:space="preserve">Afacan-Seref, K., Steinemann, N. A., Blangero, A., &amp; Kelly, S. P. (2018). Dynamic Interplay of Value and Sensory Information in High-Speed Decision Making. </w:t>
      </w:r>
      <w:r w:rsidRPr="0031657A">
        <w:rPr>
          <w:i/>
          <w:iCs/>
          <w:strike/>
          <w:color w:val="B00000"/>
        </w:rPr>
        <w:t>Current Biology: CB</w:t>
      </w:r>
      <w:r w:rsidRPr="0031657A">
        <w:rPr>
          <w:strike/>
          <w:color w:val="B00000"/>
        </w:rPr>
        <w:t xml:space="preserve">, </w:t>
      </w:r>
      <w:r w:rsidRPr="0031657A">
        <w:rPr>
          <w:i/>
          <w:iCs/>
          <w:strike/>
          <w:color w:val="B00000"/>
        </w:rPr>
        <w:t>28</w:t>
      </w:r>
      <w:r w:rsidRPr="0031657A">
        <w:rPr>
          <w:strike/>
          <w:color w:val="B00000"/>
        </w:rPr>
        <w:t>(5), 795-802.e6. https://doi.org/10.1016/j.cub.2018.01.071</w:t>
      </w:r>
    </w:p>
    <w:p w14:paraId="2BC5FCB0" w14:textId="77777777" w:rsidR="0031657A" w:rsidRPr="0031657A" w:rsidRDefault="0031657A" w:rsidP="0031657A">
      <w:pPr>
        <w:pStyle w:val="Bibliographie"/>
      </w:pPr>
      <w:r w:rsidRPr="0031657A">
        <w:rPr>
          <w:color w:val="1F4E9E"/>
        </w:rPr>
        <w:t>Azaïs, J.-M., &amp; Wschebor, M. (2009). Level sets and extrema of random processes and fields. John Wiley &amp; Sons. https://doi.org/10.1002/9780470434642</w:t>
      </w:r>
    </w:p>
    <w:p w14:paraId="657BBA89"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56B0085D"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3A3DB585"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14:paraId="6C699212" w14:textId="77777777" w:rsidR="00205CBC" w:rsidRDefault="00000000">
      <w:pPr>
        <w:pStyle w:val="Bibliographie"/>
      </w:pPr>
      <w:r>
        <w:rPr>
          <w:color w:val="1F4E9E"/>
        </w:rPr>
        <w:t xml:space="preserve">Cisek, P., &amp; Kalaska, J. F. (2005). Neural correlates of reaching decisions in dorsal premotor cortex: Specification of multiple direction choices and final selection of action. </w:t>
      </w:r>
      <w:r>
        <w:rPr>
          <w:i/>
          <w:color w:val="1F4E9E"/>
        </w:rPr>
        <w:t>Neuron</w:t>
      </w:r>
      <w:r>
        <w:rPr>
          <w:color w:val="1F4E9E"/>
        </w:rPr>
        <w:t xml:space="preserve">, </w:t>
      </w:r>
      <w:r>
        <w:rPr>
          <w:i/>
          <w:color w:val="1F4E9E"/>
        </w:rPr>
        <w:t>45</w:t>
      </w:r>
      <w:r>
        <w:rPr>
          <w:color w:val="1F4E9E"/>
        </w:rPr>
        <w:t>(5), 801–814. https://doi.org/10.1016/j.neuron.2005.01.027</w:t>
      </w:r>
    </w:p>
    <w:p w14:paraId="2915A5D1" w14:textId="77777777" w:rsidR="0031657A" w:rsidRPr="0031657A" w:rsidRDefault="0031657A" w:rsidP="0031657A">
      <w:pPr>
        <w:pStyle w:val="Bibliographie"/>
      </w:pPr>
      <w:r w:rsidRPr="0031657A">
        <w:lastRenderedPageBreak/>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3E86FE58" w14:textId="77777777" w:rsidR="0031657A" w:rsidRPr="0031657A" w:rsidRDefault="0031657A" w:rsidP="0031657A">
      <w:pPr>
        <w:pStyle w:val="Bibliographie"/>
      </w:pPr>
      <w:r w:rsidRPr="0031657A">
        <w:rPr>
          <w:strike/>
          <w:color w:val="B00000"/>
        </w:rPr>
        <w:t xml:space="preserve">Corbett, E. A., Martinez-Rodriguez, L. A., Judd, C., O’Connell, R. G., &amp; Kelly, S. P. (2023). Multiphasic value biases in fast-paced decisions. </w:t>
      </w:r>
      <w:r w:rsidRPr="0031657A">
        <w:rPr>
          <w:i/>
          <w:iCs/>
          <w:strike/>
          <w:color w:val="B00000"/>
        </w:rPr>
        <w:t>eLife</w:t>
      </w:r>
      <w:r w:rsidRPr="0031657A">
        <w:rPr>
          <w:strike/>
          <w:color w:val="B00000"/>
        </w:rPr>
        <w:t xml:space="preserve">, </w:t>
      </w:r>
      <w:r w:rsidRPr="0031657A">
        <w:rPr>
          <w:i/>
          <w:iCs/>
          <w:strike/>
          <w:color w:val="B00000"/>
        </w:rPr>
        <w:t>12</w:t>
      </w:r>
      <w:r w:rsidRPr="0031657A">
        <w:rPr>
          <w:strike/>
          <w:color w:val="B00000"/>
        </w:rPr>
        <w:t>, e67711. https://doi.org/10.7554/eLife.67711</w:t>
      </w:r>
    </w:p>
    <w:p w14:paraId="5BD85161" w14:textId="77777777" w:rsidR="0031657A" w:rsidRPr="0031657A" w:rsidRDefault="0031657A" w:rsidP="0031657A">
      <w:pPr>
        <w:pStyle w:val="Bibliographie"/>
      </w:pPr>
      <w:r w:rsidRPr="0031657A">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14B6E728"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47CEB91B"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60A016E6"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789B6A71"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7D4F58AC" w14:textId="77777777" w:rsidR="0031657A" w:rsidRPr="0031657A" w:rsidRDefault="0031657A" w:rsidP="0031657A">
      <w:pPr>
        <w:pStyle w:val="Bibliographie"/>
      </w:pPr>
      <w:r w:rsidRPr="0031657A">
        <w:lastRenderedPageBreak/>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6809C6C7"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Journal of Experimental Psychology. Human Perception and Performance</w:t>
      </w:r>
      <w:r w:rsidRPr="0031657A">
        <w:t xml:space="preserve">, </w:t>
      </w:r>
      <w:r w:rsidRPr="0031657A">
        <w:rPr>
          <w:i/>
          <w:iCs/>
        </w:rPr>
        <w:t>14</w:t>
      </w:r>
      <w:r w:rsidRPr="0031657A">
        <w:t>(3), 331–344. https://doi.org/10.1037//0096-1523.14.3.331</w:t>
      </w:r>
    </w:p>
    <w:p w14:paraId="5A1BA9B7" w14:textId="77777777" w:rsidR="0031657A" w:rsidRPr="0031657A" w:rsidRDefault="0031657A" w:rsidP="0031657A">
      <w:pPr>
        <w:pStyle w:val="Bibliographie"/>
      </w:pPr>
      <w:r w:rsidRPr="0031657A">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724AC11F"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38DFB4D4"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7928F883"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33D2AF14"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349364EA"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159325E6" w14:textId="77777777" w:rsidR="0031657A" w:rsidRPr="0031657A" w:rsidRDefault="0031657A" w:rsidP="0031657A">
      <w:pPr>
        <w:pStyle w:val="Bibliographie"/>
      </w:pPr>
      <w:r w:rsidRPr="0031657A">
        <w:rPr>
          <w:lang w:val="fr-FR"/>
        </w:rPr>
        <w:lastRenderedPageBreak/>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4921A792" w14:textId="77777777" w:rsidR="0031657A" w:rsidRPr="0031657A" w:rsidRDefault="0031657A" w:rsidP="0031657A">
      <w:pPr>
        <w:pStyle w:val="Bibliographie"/>
      </w:pPr>
      <w:r w:rsidRPr="0031657A">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2B265CAA"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79BDAA50" w14:textId="77777777" w:rsidR="0031657A" w:rsidRPr="0031657A" w:rsidRDefault="0031657A" w:rsidP="0031657A">
      <w:pPr>
        <w:pStyle w:val="Bibliographie"/>
      </w:pPr>
      <w:r w:rsidRPr="0031657A">
        <w:rPr>
          <w:strike/>
          <w:color w:val="B00000"/>
        </w:rPr>
        <w:t xml:space="preserve">Murphy, P. R., Boonstra, E., &amp; Nieuwenhuis, S. (2016). Global gain modulation generates time-dependent urgency during perceptual choice in humans. </w:t>
      </w:r>
      <w:r w:rsidRPr="0031657A">
        <w:rPr>
          <w:i/>
          <w:iCs/>
          <w:strike/>
          <w:color w:val="B00000"/>
        </w:rPr>
        <w:t>Nature Communications</w:t>
      </w:r>
      <w:r w:rsidRPr="0031657A">
        <w:rPr>
          <w:strike/>
          <w:color w:val="B00000"/>
        </w:rPr>
        <w:t xml:space="preserve">, </w:t>
      </w:r>
      <w:r w:rsidRPr="0031657A">
        <w:rPr>
          <w:i/>
          <w:iCs/>
          <w:strike/>
          <w:color w:val="B00000"/>
        </w:rPr>
        <w:t>7</w:t>
      </w:r>
      <w:r w:rsidRPr="0031657A">
        <w:rPr>
          <w:strike/>
          <w:color w:val="B00000"/>
        </w:rPr>
        <w:t>, 13526. https://doi.org/10.1038/ncomms13526</w:t>
      </w:r>
    </w:p>
    <w:p w14:paraId="7C3BC6FB"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1C4D780F"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63038813"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19883CB0"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1A8CE21D" w14:textId="77777777" w:rsidR="0031657A" w:rsidRPr="0031657A" w:rsidRDefault="0031657A" w:rsidP="0031657A">
      <w:pPr>
        <w:pStyle w:val="Bibliographie"/>
      </w:pPr>
      <w:r>
        <w:rPr>
          <w:color w:val="1F4E9E"/>
        </w:rPr>
        <w:lastRenderedPageBreak/>
        <w:t>Ratcliff, R., &amp; Tuerlinckx, F. (2002). Estimating parameters of the diffusion model: Approaches to dealing with contaminant reaction times and parameter variability. Psychonomic Bulletin &amp; Review, 9(3), 438–481. https://doi.org/10.3758/BF03196302</w:t>
      </w:r>
    </w:p>
    <w:p w14:paraId="29CB3287"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735E1D29" w14:textId="77777777" w:rsidR="0031657A" w:rsidRPr="0031657A" w:rsidRDefault="0031657A" w:rsidP="0031657A">
      <w:pPr>
        <w:pStyle w:val="Bibliographie"/>
      </w:pPr>
      <w:r w:rsidRPr="0031657A">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14:paraId="7C91AFF7" w14:textId="77777777" w:rsidR="00205CBC" w:rsidRDefault="00000000">
      <w:pPr>
        <w:pStyle w:val="Bibliographie"/>
      </w:pPr>
      <w:r>
        <w:rPr>
          <w:color w:val="1F4E9E"/>
        </w:rP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rPr>
          <w:color w:val="1F4E9E"/>
        </w:rPr>
        <w:t>(21), 9475–9489. https://doi.org/10.1523/JNEUROSCI.22-21-09475.2002</w:t>
      </w:r>
    </w:p>
    <w:p w14:paraId="7C18A384"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58460AD8"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121ADF1B"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2BEDD219" w14:textId="77777777" w:rsidR="0031657A" w:rsidRPr="0031657A" w:rsidRDefault="0031657A" w:rsidP="0031657A">
      <w:pPr>
        <w:pStyle w:val="Bibliographie"/>
      </w:pPr>
      <w:r w:rsidRPr="0031657A">
        <w:lastRenderedPageBreak/>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5DA1C0E7"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2172441F"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37AC29CF" w14:textId="77777777" w:rsidR="0031657A" w:rsidRPr="0031657A" w:rsidRDefault="0031657A" w:rsidP="0031657A">
      <w:pPr>
        <w:pStyle w:val="Bibliographie"/>
      </w:pPr>
      <w:r w:rsidRPr="0031657A">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62CCCE27" w14:textId="77777777" w:rsidR="0031657A" w:rsidRPr="0031657A" w:rsidRDefault="0031657A" w:rsidP="0031657A">
      <w:pPr>
        <w:pStyle w:val="Bibliographie"/>
      </w:pPr>
      <w:r w:rsidRPr="0031657A">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14:paraId="660D93D8" w14:textId="77777777" w:rsidR="00205CBC" w:rsidRDefault="00000000">
      <w:pPr>
        <w:pStyle w:val="Bibliographie"/>
      </w:pPr>
      <w:r>
        <w:rPr>
          <w:color w:val="1F4E9E"/>
        </w:rPr>
        <w:t xml:space="preserve">van Ede, F., &amp; Nobre, A. C. (2023). Turning attention inside out: How working memory serves behavior. </w:t>
      </w:r>
      <w:r>
        <w:rPr>
          <w:i/>
        </w:rPr>
        <w:t>Annual Review of Psychology</w:t>
      </w:r>
      <w:r>
        <w:t xml:space="preserve">, </w:t>
      </w:r>
      <w:r>
        <w:rPr>
          <w:i/>
        </w:rPr>
        <w:t>74</w:t>
      </w:r>
      <w:r>
        <w:rPr>
          <w:color w:val="1F4E9E"/>
        </w:rPr>
        <w:t>, 137–165. https://doi.org/10.1146/annurev-psych-021422-041757</w:t>
      </w:r>
    </w:p>
    <w:p w14:paraId="31EDB1F7" w14:textId="77777777" w:rsidR="0031657A" w:rsidRPr="0031657A" w:rsidRDefault="0031657A" w:rsidP="0031657A">
      <w:pPr>
        <w:pStyle w:val="Bibliographie"/>
      </w:pPr>
      <w:r w:rsidRPr="0031657A">
        <w:rPr>
          <w:strike/>
          <w:color w:val="B00000"/>
        </w:rPr>
        <w:t xml:space="preserve">van Vugt, M. K., Simen, P., Nystrom, L., Holmes, P., &amp; Cohen, J. D. (2014). Lateralized Readiness Potentials Reveal Properties of a Neural Mechanism for Implementing a Decision Threshold. </w:t>
      </w:r>
      <w:r w:rsidRPr="0031657A">
        <w:rPr>
          <w:i/>
          <w:iCs/>
          <w:strike/>
          <w:color w:val="B00000"/>
        </w:rPr>
        <w:t>PLoS ONE</w:t>
      </w:r>
      <w:r w:rsidRPr="0031657A">
        <w:rPr>
          <w:strike/>
          <w:color w:val="B00000"/>
        </w:rPr>
        <w:t xml:space="preserve">, </w:t>
      </w:r>
      <w:r w:rsidRPr="0031657A">
        <w:rPr>
          <w:i/>
          <w:iCs/>
          <w:strike/>
          <w:color w:val="B00000"/>
        </w:rPr>
        <w:t>9</w:t>
      </w:r>
      <w:r w:rsidRPr="0031657A">
        <w:rPr>
          <w:strike/>
          <w:color w:val="B00000"/>
        </w:rPr>
        <w:t>(3), e90943. https://doi.org/10.1371/journal.pone.0090943</w:t>
      </w:r>
    </w:p>
    <w:p w14:paraId="06D12B2C" w14:textId="77777777" w:rsidR="0031657A" w:rsidRPr="0031657A" w:rsidRDefault="0031657A" w:rsidP="0031657A">
      <w:pPr>
        <w:pStyle w:val="Bibliographie"/>
      </w:pPr>
      <w:r w:rsidRPr="0031657A">
        <w:lastRenderedPageBreak/>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2171F3AE"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2B9E12A2"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6A3DA212" w14:textId="77777777" w:rsidR="0028568C" w:rsidRDefault="00726032" w:rsidP="0028568C">
      <w:pPr>
        <w:pStyle w:val="Titre1"/>
        <w:jc w:val="center"/>
      </w:pPr>
      <w:r>
        <w:lastRenderedPageBreak/>
        <w:t>Supplemental</w:t>
      </w:r>
      <w:r w:rsidR="002A70D9">
        <w:t xml:space="preserve"> Material</w:t>
      </w:r>
    </w:p>
    <w:p w14:paraId="597F88D8" w14:textId="77777777"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lang w:eastAsia="ja-JP"/>
        </w:rPr>
        <w:t xml:space="preserve">Johan </w:t>
      </w:r>
      <w:r w:rsidR="000A420D">
        <w:rPr>
          <w:rFonts w:eastAsia="SimSun"/>
          <w:color w:val="000000"/>
          <w:lang w:eastAsia="ja-JP"/>
        </w:rPr>
        <w:t xml:space="preserve">A. </w:t>
      </w:r>
      <w:r w:rsidR="00CC31C6" w:rsidRPr="00CB645F">
        <w:rPr>
          <w:rFonts w:eastAsia="SimSun"/>
          <w:lang w:eastAsia="ja-JP"/>
        </w:rPr>
        <w:t>Achard</w:t>
      </w:r>
      <w:r w:rsidR="00CC31C6" w:rsidRPr="00CB645F">
        <w:rPr>
          <w:rFonts w:eastAsia="SimSun"/>
          <w:color w:val="000000"/>
          <w:lang w:eastAsia="ja-JP"/>
        </w:rPr>
        <w:t xml:space="preserve">, </w:t>
      </w:r>
      <w:r w:rsidR="00CC31C6" w:rsidRPr="00CB645F">
        <w:rPr>
          <w:rFonts w:eastAsia="SimSun"/>
          <w:lang w:eastAsia="ja-JP"/>
        </w:rPr>
        <w:t>Thibault Gajdos Preuss, Mathieu Servant</w:t>
      </w:r>
    </w:p>
    <w:p w14:paraId="0CB1AD6C" w14:textId="77777777" w:rsidR="00CC31C6" w:rsidRPr="00CC31C6" w:rsidRDefault="00CC31C6" w:rsidP="00CC31C6"/>
    <w:p w14:paraId="1756D1BE" w14:textId="77777777" w:rsidR="00F47997" w:rsidRDefault="00F47997" w:rsidP="00757933">
      <w:pPr>
        <w:spacing w:before="240" w:after="0" w:line="360" w:lineRule="auto"/>
        <w:rPr>
          <w:b/>
          <w:szCs w:val="22"/>
        </w:rPr>
      </w:pPr>
    </w:p>
    <w:p w14:paraId="78B920C4" w14:textId="77777777" w:rsidR="00F47997" w:rsidRDefault="00F47997" w:rsidP="00757933">
      <w:pPr>
        <w:spacing w:before="240" w:after="0" w:line="360" w:lineRule="auto"/>
        <w:rPr>
          <w:b/>
          <w:szCs w:val="22"/>
        </w:rPr>
      </w:pPr>
    </w:p>
    <w:p w14:paraId="712AE8A0" w14:textId="77777777" w:rsidR="00A109EC" w:rsidRDefault="00A109EC" w:rsidP="00757933">
      <w:pPr>
        <w:spacing w:before="240" w:after="0" w:line="360" w:lineRule="auto"/>
        <w:rPr>
          <w:b/>
          <w:szCs w:val="22"/>
        </w:rPr>
      </w:pPr>
    </w:p>
    <w:p w14:paraId="162B31D9" w14:textId="77777777"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1223FEB8" w14:textId="77777777" w:rsidR="007B4953" w:rsidRDefault="007B4953" w:rsidP="00ED700A">
      <w:pPr>
        <w:spacing w:before="240" w:after="0" w:line="276" w:lineRule="auto"/>
        <w:rPr>
          <w:i/>
          <w:sz w:val="22"/>
          <w:szCs w:val="22"/>
        </w:rPr>
      </w:pPr>
    </w:p>
    <w:p w14:paraId="09EF84C1" w14:textId="77777777"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393B7F88" wp14:editId="3A98643D">
            <wp:extent cx="3784600" cy="2386759"/>
            <wp:effectExtent l="0" t="0" r="6350" b="0"/>
            <wp:docPr id="14" name="Imag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44C4A486"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46E87C4D" w14:textId="77777777" w:rsidR="00205CBC" w:rsidRDefault="00000000">
      <w:r>
        <w:rPr>
          <w:noProof/>
        </w:rPr>
        <w:lastRenderedPageBreak/>
        <w:drawing>
          <wp:inline distT="0" distB="0" distL="0" distR="0" wp14:anchorId="034A5E37" wp14:editId="570D2697">
            <wp:extent cx="5486400" cy="19020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e-1.png"/>
                    <pic:cNvPicPr/>
                  </pic:nvPicPr>
                  <pic:blipFill>
                    <a:blip r:embed="rId21"/>
                    <a:stretch>
                      <a:fillRect/>
                    </a:stretch>
                  </pic:blipFill>
                  <pic:spPr>
                    <a:xfrm>
                      <a:off x="0" y="0"/>
                      <a:ext cx="5486400" cy="1902092"/>
                    </a:xfrm>
                    <a:prstGeom prst="rect">
                      <a:avLst/>
                    </a:prstGeom>
                  </pic:spPr>
                </pic:pic>
              </a:graphicData>
            </a:graphic>
          </wp:inline>
        </w:drawing>
      </w:r>
    </w:p>
    <w:p w14:paraId="5FF564B8" w14:textId="77777777" w:rsidR="00205CBC" w:rsidRDefault="00000000">
      <w:r>
        <w:rPr>
          <w:i/>
          <w:color w:val="1F4E9E"/>
        </w:rPr>
        <w:t>Fig S2. The shape prediction of Appendix C, on data alone. Left, the six delay-period log-rate profiles. Right, the log-rate slope falls as a cell's rate rises, as the theory requires, since a higher rate means a smaller distance to the gate. Open symbols: 0.3-s stimulus; filled: 2-s stimulus.</w:t>
      </w:r>
    </w:p>
    <w:p w14:paraId="6425E35F" w14:textId="77777777" w:rsidR="00205CBC" w:rsidRDefault="00000000">
      <w:r>
        <w:rPr>
          <w:noProof/>
          <w:color w:val="1F4E9E"/>
        </w:rPr>
        <w:drawing>
          <wp:inline distT="0" distB="0" distL="0" distR="0" wp14:anchorId="2E8E5B0E" wp14:editId="2647FDA8">
            <wp:extent cx="5852160" cy="42462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_frontier-1.png"/>
                    <pic:cNvPicPr/>
                  </pic:nvPicPr>
                  <pic:blipFill>
                    <a:blip r:embed="rId22"/>
                    <a:stretch>
                      <a:fillRect/>
                    </a:stretch>
                  </pic:blipFill>
                  <pic:spPr>
                    <a:xfrm>
                      <a:off x="0" y="0"/>
                      <a:ext cx="5852160" cy="4246245"/>
                    </a:xfrm>
                    <a:prstGeom prst="rect">
                      <a:avLst/>
                    </a:prstGeom>
                  </pic:spPr>
                </pic:pic>
              </a:graphicData>
            </a:graphic>
          </wp:inline>
        </w:drawing>
      </w:r>
    </w:p>
    <w:p w14:paraId="1C90AF5F" w14:textId="77777777" w:rsidR="00205CBC" w:rsidRDefault="00000000">
      <w:r>
        <w:rPr>
          <w:color w:val="1F4E9E"/>
        </w:rPr>
        <w:t xml:space="preserve">Fig S3. The ramp–rate frontier, with the sampled parameter space on it. Horizontal axis, the delay-period partial-activation rate (logarithmic); vertical axis, the slope of its logarithm. The </w:t>
      </w:r>
      <w:r>
        <w:rPr>
          <w:color w:val="1F4E9E"/>
        </w:rPr>
        <w:lastRenderedPageBreak/>
        <w:t>red curve is the largest slope Model 1 can attain at each rate, computed in closed form from the kernel over the ranges of Table A1 (Appendix C, C.5–C.6); the shaded region above it is unreachable by that architecture. Model 2’s frontier, computed the same way with the barrier moving and the ramp bounded at the upper quartile of the admissible values, lies far above the panel and is annotated rather than drawn: at the observed rate it reaches +4.05 s⁻¹, against Model 1’s 0.000 and an observed +0.89. Open circles are the admissible draws of each model, and the star the observation, with the horizontal bar spanning the observed participant × condition rates and the grey band the observed slope range.</w:t>
      </w:r>
    </w:p>
    <w:p w14:paraId="75A48CA6" w14:textId="77777777" w:rsidR="00205CBC" w:rsidRDefault="00000000">
      <w:r>
        <w:rPr>
          <w:noProof/>
          <w:color w:val="1F4E9E"/>
        </w:rPr>
        <w:drawing>
          <wp:inline distT="0" distB="0" distL="0" distR="0" wp14:anchorId="32DADA24" wp14:editId="10EF7531">
            <wp:extent cx="5852160" cy="27901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_delay_profile-1.png"/>
                    <pic:cNvPicPr/>
                  </pic:nvPicPr>
                  <pic:blipFill>
                    <a:blip r:embed="rId23"/>
                    <a:stretch>
                      <a:fillRect/>
                    </a:stretch>
                  </pic:blipFill>
                  <pic:spPr>
                    <a:xfrm>
                      <a:off x="0" y="0"/>
                      <a:ext cx="5852160" cy="2790139"/>
                    </a:xfrm>
                    <a:prstGeom prst="rect">
                      <a:avLst/>
                    </a:prstGeom>
                  </pic:spPr>
                </pic:pic>
              </a:graphicData>
            </a:graphic>
          </wp:inline>
        </w:drawing>
      </w:r>
    </w:p>
    <w:p w14:paraId="44B4C4E6" w14:textId="77777777" w:rsidR="00205CBC" w:rsidRDefault="00000000">
      <w:r>
        <w:rPr>
          <w:color w:val="1F4E9E"/>
        </w:rPr>
        <w:t>Fig S4. The shape of the delay-period rate curve, one line per admissible parameter set. Each thin line is the delay-period profile of one admissible set divided by its own mean over the window, so that sets whose rates differ by two orders of magnitude are comparable on shape; the thick line is the median over sets and the black points the observed profile, normalised the same way. The family rather than a summary is the point: the question is whether the architecture can produce the observed rise at all, and the median of a family this wide answers a different one. Every admissible set of Model 1 is flat or declining; Model 2’s fan out, many of them tracking the observed rise and beyond.</w:t>
      </w:r>
    </w:p>
    <w:p w14:paraId="65F28A7D" w14:textId="77777777" w:rsidR="00205CBC" w:rsidRDefault="00000000">
      <w:r>
        <w:rPr>
          <w:noProof/>
          <w:color w:val="1F4E9E"/>
        </w:rPr>
        <w:lastRenderedPageBreak/>
        <w:drawing>
          <wp:inline distT="0" distB="0" distL="0" distR="0" wp14:anchorId="4D6F91AC" wp14:editId="4C344827">
            <wp:extent cx="5852160" cy="2452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_effect_sizes-1.png"/>
                    <pic:cNvPicPr/>
                  </pic:nvPicPr>
                  <pic:blipFill>
                    <a:blip r:embed="rId24"/>
                    <a:stretch>
                      <a:fillRect/>
                    </a:stretch>
                  </pic:blipFill>
                  <pic:spPr>
                    <a:xfrm>
                      <a:off x="0" y="0"/>
                      <a:ext cx="5852160" cy="2452305"/>
                    </a:xfrm>
                    <a:prstGeom prst="rect">
                      <a:avLst/>
                    </a:prstGeom>
                  </pic:spPr>
                </pic:pic>
              </a:graphicData>
            </a:graphic>
          </wp:inline>
        </w:drawing>
      </w:r>
    </w:p>
    <w:p w14:paraId="24B7BC92" w14:textId="77777777" w:rsidR="00205CBC" w:rsidRDefault="00000000">
      <w:r>
        <w:rPr>
          <w:color w:val="1F4E9E"/>
        </w:rPr>
        <w:t>Fig S5. Effect sizes each architecture can produce, against the observed value, for the ten directional predictions the Results test. Each is written so that the sign the corresponding proposition predicts is positive, and the panel title says which difference is taken. The bar spans the 5th to 95th percentile of that effect over the admissible parameter sets of each model; the vertical line is the observed value and the grey band its 95% confidence interval across participants; a cross marks a percentile band that does not contain the observed value — which is not the same as an effect the architecture cannot reach, and on B.2 and on motor execution time it is not.</w:t>
      </w:r>
    </w:p>
    <w:p w14:paraId="37C9FABE" w14:textId="77777777" w:rsidR="00205CBC" w:rsidRDefault="00000000">
      <w:r>
        <w:rPr>
          <w:color w:val="1F4E9E"/>
        </w:rPr>
        <w:t xml:space="preserve">The two figures at the right of each bar are the percentages of admissible sets whose effect is, at two Monte-Carlo standard errors, significantly of the observed sign and significantly against it; the remainder is not distinguishable from zero. They measure agreement with the DATA and not with the model’s own prediction, and on C.3 the two are opposite: there the 85% and 87% counted as against the observed sign are settings at which each architecture does exactly what Proposition C.3 says it should. Two effects separate the architectures — B.2, where Model 1 has the observed sign at no setting and the opposite sign at 95% against Model 2’s 39% and 45%, and C.2, at 3% against 81%. One is missed by both, the C.3 interaction. Of the remaining seven, six are reproduced by both at 86% or above with almost </w:t>
      </w:r>
      <w:r>
        <w:rPr>
          <w:color w:val="1F4E9E"/>
        </w:rPr>
        <w:lastRenderedPageBreak/>
        <w:t>no setting of either model in the opposite direction; the seventh, A.5, is reproduced at 42% and 41% and contradicted at none, the balance being settings that generate too few premature responses to carry a direction. The duration effect on motor execution time is a predicted null and is where both architectures are mildly but systematically off: the observed −0.5 ± 0.8 ms is indistinguishable from zero, whereas the models place it significantly below zero at 87% and 86% of their settings, with medians of −5 and −8 ms. The residual motor time is not quite as inert in the simulation as it is in the data.</w:t>
      </w:r>
    </w:p>
    <w:p w14:paraId="5AA50C5C" w14:textId="77777777" w:rsidR="00554B3C" w:rsidRPr="00292826" w:rsidRDefault="002A70D9" w:rsidP="00554B3C">
      <w:pPr>
        <w:spacing w:line="276" w:lineRule="auto"/>
        <w:rPr>
          <w:b/>
          <w:sz w:val="22"/>
          <w:szCs w:val="22"/>
        </w:rPr>
      </w:pPr>
      <w:r w:rsidRPr="00292826">
        <w:rPr>
          <w:b/>
          <w:color w:val="1F4E9E"/>
          <w:sz w:val="22"/>
          <w:szCs w:val="22"/>
        </w:rPr>
        <w:t>Table S1. Full ANOVA results for response accuracy, mean response time (RT), mean pre-motor execution time (PMET), and mean motor execution time (MET). Two-way within-subject analyses of variance (duration × coherence, n = 22), Greenhouse–Geisser corrected wherever a factor has more than two levels, which is why those degrees of freedom are fractional; ηp² is the partial eta squared. Computed by run_stats.R from the archive’s own per-participant × cell exports.</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21215D21"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08D80E40"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63A76525"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27E0299D" w14:textId="77777777"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5DA93876"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3FE7EB32"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3F36BF52"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325684AE"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3C2CE386" w14:textId="77777777"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1D016960"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17FE7F7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Accuracy</w:t>
            </w:r>
          </w:p>
        </w:tc>
        <w:tc>
          <w:tcPr>
            <w:tcW w:w="2065" w:type="dxa"/>
            <w:tcBorders>
              <w:top w:val="single" w:sz="12" w:space="0" w:color="000000" w:themeColor="text1"/>
              <w:left w:val="nil"/>
              <w:bottom w:val="nil"/>
              <w:right w:val="nil"/>
            </w:tcBorders>
            <w:noWrap/>
            <w:vAlign w:val="center"/>
            <w:hideMark/>
          </w:tcPr>
          <w:p w14:paraId="196D1F8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12" w:space="0" w:color="000000" w:themeColor="text1"/>
              <w:left w:val="nil"/>
              <w:bottom w:val="nil"/>
              <w:right w:val="nil"/>
            </w:tcBorders>
            <w:noWrap/>
            <w:vAlign w:val="bottom"/>
            <w:hideMark/>
          </w:tcPr>
          <w:p w14:paraId="0A60087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213279F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w:t>
            </w:r>
          </w:p>
        </w:tc>
        <w:tc>
          <w:tcPr>
            <w:tcW w:w="755" w:type="dxa"/>
            <w:tcBorders>
              <w:top w:val="single" w:sz="12" w:space="0" w:color="000000" w:themeColor="text1"/>
              <w:left w:val="nil"/>
              <w:bottom w:val="nil"/>
              <w:right w:val="nil"/>
            </w:tcBorders>
            <w:noWrap/>
            <w:vAlign w:val="bottom"/>
            <w:hideMark/>
          </w:tcPr>
          <w:p w14:paraId="287D579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21</w:t>
            </w:r>
          </w:p>
        </w:tc>
        <w:tc>
          <w:tcPr>
            <w:tcW w:w="1089" w:type="dxa"/>
            <w:tcBorders>
              <w:top w:val="single" w:sz="12" w:space="0" w:color="000000" w:themeColor="text1"/>
              <w:left w:val="nil"/>
              <w:bottom w:val="nil"/>
              <w:right w:val="nil"/>
            </w:tcBorders>
            <w:noWrap/>
            <w:vAlign w:val="bottom"/>
            <w:hideMark/>
          </w:tcPr>
          <w:p w14:paraId="6B96F0E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22.676</w:t>
            </w:r>
          </w:p>
        </w:tc>
        <w:tc>
          <w:tcPr>
            <w:tcW w:w="1043" w:type="dxa"/>
            <w:tcBorders>
              <w:top w:val="single" w:sz="12" w:space="0" w:color="000000" w:themeColor="text1"/>
              <w:left w:val="nil"/>
              <w:bottom w:val="nil"/>
              <w:right w:val="nil"/>
            </w:tcBorders>
            <w:noWrap/>
            <w:vAlign w:val="bottom"/>
            <w:hideMark/>
          </w:tcPr>
          <w:p w14:paraId="18A5E4EE"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single" w:sz="12" w:space="0" w:color="000000" w:themeColor="text1"/>
              <w:left w:val="nil"/>
              <w:bottom w:val="nil"/>
              <w:right w:val="nil"/>
            </w:tcBorders>
            <w:noWrap/>
            <w:vAlign w:val="bottom"/>
            <w:hideMark/>
          </w:tcPr>
          <w:p w14:paraId="2F4C4BB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0.519</w:t>
            </w:r>
          </w:p>
        </w:tc>
      </w:tr>
      <w:tr w:rsidR="004C7964" w:rsidRPr="0078243D" w14:paraId="79CA3062" w14:textId="77777777" w:rsidTr="004C7964">
        <w:trPr>
          <w:trHeight w:val="304"/>
        </w:trPr>
        <w:tc>
          <w:tcPr>
            <w:tcW w:w="1361" w:type="dxa"/>
            <w:vMerge/>
            <w:tcBorders>
              <w:top w:val="nil"/>
              <w:left w:val="nil"/>
              <w:bottom w:val="nil"/>
              <w:right w:val="nil"/>
            </w:tcBorders>
            <w:vAlign w:val="center"/>
            <w:hideMark/>
          </w:tcPr>
          <w:p w14:paraId="5A343CB3"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21097B0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03C20A93"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61C580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1.30</w:t>
            </w:r>
          </w:p>
        </w:tc>
        <w:tc>
          <w:tcPr>
            <w:tcW w:w="755" w:type="dxa"/>
            <w:tcBorders>
              <w:top w:val="nil"/>
              <w:left w:val="nil"/>
              <w:bottom w:val="nil"/>
              <w:right w:val="nil"/>
            </w:tcBorders>
            <w:noWrap/>
            <w:vAlign w:val="bottom"/>
            <w:hideMark/>
          </w:tcPr>
          <w:p w14:paraId="48691DD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27.40</w:t>
            </w:r>
          </w:p>
        </w:tc>
        <w:tc>
          <w:tcPr>
            <w:tcW w:w="1089" w:type="dxa"/>
            <w:tcBorders>
              <w:top w:val="nil"/>
              <w:left w:val="nil"/>
              <w:bottom w:val="nil"/>
              <w:right w:val="nil"/>
            </w:tcBorders>
            <w:noWrap/>
            <w:vAlign w:val="bottom"/>
            <w:hideMark/>
          </w:tcPr>
          <w:p w14:paraId="03A9B3A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222.223</w:t>
            </w:r>
          </w:p>
        </w:tc>
        <w:tc>
          <w:tcPr>
            <w:tcW w:w="1043" w:type="dxa"/>
            <w:tcBorders>
              <w:top w:val="nil"/>
              <w:left w:val="nil"/>
              <w:bottom w:val="nil"/>
              <w:right w:val="nil"/>
            </w:tcBorders>
            <w:noWrap/>
            <w:vAlign w:val="bottom"/>
            <w:hideMark/>
          </w:tcPr>
          <w:p w14:paraId="205D76D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3CA3FA6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0.914</w:t>
            </w:r>
          </w:p>
        </w:tc>
      </w:tr>
      <w:tr w:rsidR="004C7964" w:rsidRPr="0078243D" w14:paraId="757211F7" w14:textId="77777777" w:rsidTr="004C7964">
        <w:trPr>
          <w:trHeight w:val="304"/>
        </w:trPr>
        <w:tc>
          <w:tcPr>
            <w:tcW w:w="1361" w:type="dxa"/>
            <w:vMerge/>
            <w:tcBorders>
              <w:top w:val="nil"/>
              <w:left w:val="nil"/>
              <w:bottom w:val="nil"/>
              <w:right w:val="nil"/>
            </w:tcBorders>
            <w:vAlign w:val="center"/>
            <w:hideMark/>
          </w:tcPr>
          <w:p w14:paraId="5CAF202D"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457252D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4DE1AD12"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5B95BA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1.96</w:t>
            </w:r>
          </w:p>
        </w:tc>
        <w:tc>
          <w:tcPr>
            <w:tcW w:w="755" w:type="dxa"/>
            <w:tcBorders>
              <w:top w:val="nil"/>
              <w:left w:val="nil"/>
              <w:bottom w:val="nil"/>
              <w:right w:val="nil"/>
            </w:tcBorders>
            <w:noWrap/>
            <w:vAlign w:val="bottom"/>
            <w:hideMark/>
          </w:tcPr>
          <w:p w14:paraId="12FD5CB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41.24</w:t>
            </w:r>
          </w:p>
        </w:tc>
        <w:tc>
          <w:tcPr>
            <w:tcW w:w="1089" w:type="dxa"/>
            <w:tcBorders>
              <w:top w:val="nil"/>
              <w:left w:val="nil"/>
              <w:bottom w:val="nil"/>
              <w:right w:val="nil"/>
            </w:tcBorders>
            <w:noWrap/>
            <w:vAlign w:val="bottom"/>
            <w:hideMark/>
          </w:tcPr>
          <w:p w14:paraId="1CDAFD4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12.171</w:t>
            </w:r>
          </w:p>
        </w:tc>
        <w:tc>
          <w:tcPr>
            <w:tcW w:w="1043" w:type="dxa"/>
            <w:tcBorders>
              <w:top w:val="nil"/>
              <w:left w:val="nil"/>
              <w:bottom w:val="nil"/>
              <w:right w:val="nil"/>
            </w:tcBorders>
            <w:noWrap/>
            <w:vAlign w:val="bottom"/>
            <w:hideMark/>
          </w:tcPr>
          <w:p w14:paraId="1832442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5B6CBB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0.367</w:t>
            </w:r>
          </w:p>
        </w:tc>
      </w:tr>
      <w:tr w:rsidR="004C7964" w:rsidRPr="0078243D" w14:paraId="6BE75001" w14:textId="77777777" w:rsidTr="004C7964">
        <w:trPr>
          <w:trHeight w:val="304"/>
        </w:trPr>
        <w:tc>
          <w:tcPr>
            <w:tcW w:w="1361" w:type="dxa"/>
            <w:tcBorders>
              <w:top w:val="nil"/>
              <w:left w:val="nil"/>
              <w:bottom w:val="nil"/>
              <w:right w:val="nil"/>
            </w:tcBorders>
            <w:noWrap/>
            <w:vAlign w:val="center"/>
            <w:hideMark/>
          </w:tcPr>
          <w:p w14:paraId="34282AA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03F89D70"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73BC8C94"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236A0121"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34BA101A"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6108895D"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1F8A9F69"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41244D4"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5B4C779E" w14:textId="77777777" w:rsidTr="004C7964">
        <w:trPr>
          <w:trHeight w:val="304"/>
        </w:trPr>
        <w:tc>
          <w:tcPr>
            <w:tcW w:w="1361" w:type="dxa"/>
            <w:vMerge w:val="restart"/>
            <w:tcBorders>
              <w:top w:val="single" w:sz="4" w:space="0" w:color="auto"/>
              <w:left w:val="nil"/>
              <w:bottom w:val="nil"/>
              <w:right w:val="nil"/>
            </w:tcBorders>
            <w:noWrap/>
            <w:vAlign w:val="center"/>
            <w:hideMark/>
          </w:tcPr>
          <w:p w14:paraId="23F53226"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RT</w:t>
            </w:r>
          </w:p>
        </w:tc>
        <w:tc>
          <w:tcPr>
            <w:tcW w:w="2065" w:type="dxa"/>
            <w:tcBorders>
              <w:top w:val="single" w:sz="4" w:space="0" w:color="auto"/>
              <w:left w:val="nil"/>
              <w:bottom w:val="nil"/>
              <w:right w:val="nil"/>
            </w:tcBorders>
            <w:noWrap/>
            <w:vAlign w:val="center"/>
            <w:hideMark/>
          </w:tcPr>
          <w:p w14:paraId="109191F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3B9A0A2C"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F85187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50088F4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736E89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65.790</w:t>
            </w:r>
          </w:p>
        </w:tc>
        <w:tc>
          <w:tcPr>
            <w:tcW w:w="1043" w:type="dxa"/>
            <w:tcBorders>
              <w:top w:val="single" w:sz="4" w:space="0" w:color="auto"/>
              <w:left w:val="nil"/>
              <w:bottom w:val="nil"/>
              <w:right w:val="nil"/>
            </w:tcBorders>
            <w:noWrap/>
            <w:vAlign w:val="bottom"/>
            <w:hideMark/>
          </w:tcPr>
          <w:p w14:paraId="72A7E34A"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2DC78BD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0.758</w:t>
            </w:r>
          </w:p>
        </w:tc>
      </w:tr>
      <w:tr w:rsidR="004C7964" w:rsidRPr="0078243D" w14:paraId="208C1BEA" w14:textId="77777777" w:rsidTr="004C7964">
        <w:trPr>
          <w:trHeight w:val="304"/>
        </w:trPr>
        <w:tc>
          <w:tcPr>
            <w:tcW w:w="1361" w:type="dxa"/>
            <w:vMerge/>
            <w:tcBorders>
              <w:top w:val="single" w:sz="4" w:space="0" w:color="auto"/>
              <w:left w:val="nil"/>
              <w:bottom w:val="nil"/>
              <w:right w:val="nil"/>
            </w:tcBorders>
            <w:vAlign w:val="center"/>
            <w:hideMark/>
          </w:tcPr>
          <w:p w14:paraId="1F95D14D"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518B35D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649D3BCA"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F0BA78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1.49</w:t>
            </w:r>
          </w:p>
        </w:tc>
        <w:tc>
          <w:tcPr>
            <w:tcW w:w="755" w:type="dxa"/>
            <w:tcBorders>
              <w:top w:val="nil"/>
              <w:left w:val="nil"/>
              <w:bottom w:val="nil"/>
              <w:right w:val="nil"/>
            </w:tcBorders>
            <w:noWrap/>
            <w:vAlign w:val="bottom"/>
            <w:hideMark/>
          </w:tcPr>
          <w:p w14:paraId="7D2786A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31.39</w:t>
            </w:r>
          </w:p>
        </w:tc>
        <w:tc>
          <w:tcPr>
            <w:tcW w:w="1089" w:type="dxa"/>
            <w:tcBorders>
              <w:top w:val="nil"/>
              <w:left w:val="nil"/>
              <w:bottom w:val="nil"/>
              <w:right w:val="nil"/>
            </w:tcBorders>
            <w:noWrap/>
            <w:vAlign w:val="bottom"/>
            <w:hideMark/>
          </w:tcPr>
          <w:p w14:paraId="70661BA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14.190</w:t>
            </w:r>
          </w:p>
        </w:tc>
        <w:tc>
          <w:tcPr>
            <w:tcW w:w="1043" w:type="dxa"/>
            <w:tcBorders>
              <w:top w:val="nil"/>
              <w:left w:val="nil"/>
              <w:bottom w:val="nil"/>
              <w:right w:val="nil"/>
            </w:tcBorders>
            <w:noWrap/>
            <w:vAlign w:val="bottom"/>
            <w:hideMark/>
          </w:tcPr>
          <w:p w14:paraId="18406F5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7AFB94E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0.403</w:t>
            </w:r>
          </w:p>
        </w:tc>
      </w:tr>
      <w:tr w:rsidR="004C7964" w:rsidRPr="0078243D" w14:paraId="63023C5A" w14:textId="77777777" w:rsidTr="004C7964">
        <w:trPr>
          <w:trHeight w:val="304"/>
        </w:trPr>
        <w:tc>
          <w:tcPr>
            <w:tcW w:w="1361" w:type="dxa"/>
            <w:vMerge/>
            <w:tcBorders>
              <w:top w:val="single" w:sz="4" w:space="0" w:color="auto"/>
              <w:left w:val="nil"/>
              <w:bottom w:val="nil"/>
              <w:right w:val="nil"/>
            </w:tcBorders>
            <w:vAlign w:val="center"/>
            <w:hideMark/>
          </w:tcPr>
          <w:p w14:paraId="3A17AA1D"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38E5E6A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66CED036"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27169A4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1.68</w:t>
            </w:r>
          </w:p>
        </w:tc>
        <w:tc>
          <w:tcPr>
            <w:tcW w:w="755" w:type="dxa"/>
            <w:tcBorders>
              <w:top w:val="nil"/>
              <w:left w:val="nil"/>
              <w:bottom w:val="nil"/>
              <w:right w:val="nil"/>
            </w:tcBorders>
            <w:noWrap/>
            <w:vAlign w:val="bottom"/>
            <w:hideMark/>
          </w:tcPr>
          <w:p w14:paraId="2928AC5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35.25</w:t>
            </w:r>
          </w:p>
        </w:tc>
        <w:tc>
          <w:tcPr>
            <w:tcW w:w="1089" w:type="dxa"/>
            <w:tcBorders>
              <w:top w:val="nil"/>
              <w:left w:val="nil"/>
              <w:bottom w:val="nil"/>
              <w:right w:val="nil"/>
            </w:tcBorders>
            <w:noWrap/>
            <w:vAlign w:val="bottom"/>
            <w:hideMark/>
          </w:tcPr>
          <w:p w14:paraId="18697C8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4.607</w:t>
            </w:r>
          </w:p>
        </w:tc>
        <w:tc>
          <w:tcPr>
            <w:tcW w:w="1043" w:type="dxa"/>
            <w:tcBorders>
              <w:top w:val="nil"/>
              <w:left w:val="nil"/>
              <w:bottom w:val="nil"/>
              <w:right w:val="nil"/>
            </w:tcBorders>
            <w:noWrap/>
            <w:vAlign w:val="bottom"/>
            <w:hideMark/>
          </w:tcPr>
          <w:p w14:paraId="21DBDE0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.022</w:t>
            </w:r>
          </w:p>
        </w:tc>
        <w:tc>
          <w:tcPr>
            <w:tcW w:w="1429" w:type="dxa"/>
            <w:tcBorders>
              <w:top w:val="nil"/>
              <w:left w:val="nil"/>
              <w:bottom w:val="nil"/>
              <w:right w:val="nil"/>
            </w:tcBorders>
            <w:noWrap/>
            <w:vAlign w:val="bottom"/>
            <w:hideMark/>
          </w:tcPr>
          <w:p w14:paraId="0AE0895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0.180</w:t>
            </w:r>
          </w:p>
        </w:tc>
      </w:tr>
      <w:tr w:rsidR="004C7964" w:rsidRPr="0078243D" w14:paraId="657860B0" w14:textId="77777777" w:rsidTr="004C7964">
        <w:trPr>
          <w:trHeight w:val="304"/>
        </w:trPr>
        <w:tc>
          <w:tcPr>
            <w:tcW w:w="1361" w:type="dxa"/>
            <w:tcBorders>
              <w:top w:val="nil"/>
              <w:left w:val="nil"/>
              <w:bottom w:val="nil"/>
              <w:right w:val="nil"/>
            </w:tcBorders>
            <w:noWrap/>
            <w:vAlign w:val="center"/>
            <w:hideMark/>
          </w:tcPr>
          <w:p w14:paraId="67D22FCB"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05807C8E"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D370617"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2F1642B"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719C87DB"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1D14CC47"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41ED930A"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522EB8E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4218F9D8" w14:textId="77777777" w:rsidTr="004C7964">
        <w:trPr>
          <w:trHeight w:val="304"/>
        </w:trPr>
        <w:tc>
          <w:tcPr>
            <w:tcW w:w="1361" w:type="dxa"/>
            <w:vMerge w:val="restart"/>
            <w:tcBorders>
              <w:top w:val="single" w:sz="4" w:space="0" w:color="auto"/>
              <w:left w:val="nil"/>
              <w:bottom w:val="nil"/>
              <w:right w:val="nil"/>
            </w:tcBorders>
            <w:noWrap/>
            <w:vAlign w:val="center"/>
            <w:hideMark/>
          </w:tcPr>
          <w:p w14:paraId="562239EB"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PMET</w:t>
            </w:r>
          </w:p>
        </w:tc>
        <w:tc>
          <w:tcPr>
            <w:tcW w:w="2065" w:type="dxa"/>
            <w:tcBorders>
              <w:top w:val="single" w:sz="4" w:space="0" w:color="auto"/>
              <w:left w:val="nil"/>
              <w:bottom w:val="nil"/>
              <w:right w:val="nil"/>
            </w:tcBorders>
            <w:noWrap/>
            <w:vAlign w:val="center"/>
            <w:hideMark/>
          </w:tcPr>
          <w:p w14:paraId="7A14E17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0E1B283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42E29B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0A73547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057C151A"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69.600</w:t>
            </w:r>
          </w:p>
        </w:tc>
        <w:tc>
          <w:tcPr>
            <w:tcW w:w="1043" w:type="dxa"/>
            <w:tcBorders>
              <w:top w:val="single" w:sz="4" w:space="0" w:color="auto"/>
              <w:left w:val="nil"/>
              <w:bottom w:val="nil"/>
              <w:right w:val="nil"/>
            </w:tcBorders>
            <w:noWrap/>
            <w:vAlign w:val="bottom"/>
            <w:hideMark/>
          </w:tcPr>
          <w:p w14:paraId="04423EF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7C757BB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0.768</w:t>
            </w:r>
          </w:p>
        </w:tc>
      </w:tr>
      <w:tr w:rsidR="004C7964" w:rsidRPr="0078243D" w14:paraId="7FCFFEB7" w14:textId="77777777" w:rsidTr="004C7964">
        <w:trPr>
          <w:trHeight w:val="304"/>
        </w:trPr>
        <w:tc>
          <w:tcPr>
            <w:tcW w:w="1361" w:type="dxa"/>
            <w:vMerge/>
            <w:tcBorders>
              <w:top w:val="single" w:sz="4" w:space="0" w:color="auto"/>
              <w:left w:val="nil"/>
              <w:bottom w:val="nil"/>
              <w:right w:val="nil"/>
            </w:tcBorders>
            <w:vAlign w:val="center"/>
            <w:hideMark/>
          </w:tcPr>
          <w:p w14:paraId="5335BACB"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4F4BEA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2E606739"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364BAA4" w14:textId="77777777" w:rsidR="004C7964" w:rsidRPr="000A420D" w:rsidRDefault="003D11F7" w:rsidP="004C7964">
            <w:pPr>
              <w:spacing w:after="0" w:line="240" w:lineRule="auto"/>
              <w:jc w:val="center"/>
              <w:rPr>
                <w:rFonts w:eastAsia="Times New Roman"/>
                <w:sz w:val="20"/>
                <w:szCs w:val="20"/>
              </w:rPr>
            </w:pPr>
            <w:r w:rsidRPr="000A420D">
              <w:rPr>
                <w:rFonts w:eastAsia="Times New Roman"/>
                <w:color w:val="1F4E9E"/>
                <w:sz w:val="20"/>
                <w:szCs w:val="20"/>
              </w:rPr>
              <w:t>1.60</w:t>
            </w:r>
          </w:p>
        </w:tc>
        <w:tc>
          <w:tcPr>
            <w:tcW w:w="755" w:type="dxa"/>
            <w:tcBorders>
              <w:top w:val="nil"/>
              <w:left w:val="nil"/>
              <w:bottom w:val="nil"/>
              <w:right w:val="nil"/>
            </w:tcBorders>
            <w:noWrap/>
            <w:vAlign w:val="bottom"/>
            <w:hideMark/>
          </w:tcPr>
          <w:p w14:paraId="0A59039E" w14:textId="77777777" w:rsidR="004C7964" w:rsidRPr="000A420D" w:rsidRDefault="003D11F7" w:rsidP="004C7964">
            <w:pPr>
              <w:spacing w:after="0" w:line="240" w:lineRule="auto"/>
              <w:jc w:val="center"/>
              <w:rPr>
                <w:rFonts w:eastAsia="Times New Roman"/>
                <w:sz w:val="20"/>
                <w:szCs w:val="20"/>
              </w:rPr>
            </w:pPr>
            <w:r w:rsidRPr="000A420D">
              <w:rPr>
                <w:rFonts w:eastAsia="Times New Roman"/>
                <w:color w:val="1F4E9E"/>
                <w:sz w:val="20"/>
                <w:szCs w:val="20"/>
              </w:rPr>
              <w:t>33.50</w:t>
            </w:r>
          </w:p>
        </w:tc>
        <w:tc>
          <w:tcPr>
            <w:tcW w:w="1089" w:type="dxa"/>
            <w:tcBorders>
              <w:top w:val="nil"/>
              <w:left w:val="nil"/>
              <w:bottom w:val="nil"/>
              <w:right w:val="nil"/>
            </w:tcBorders>
            <w:noWrap/>
            <w:vAlign w:val="bottom"/>
            <w:hideMark/>
          </w:tcPr>
          <w:p w14:paraId="13EC764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14.000</w:t>
            </w:r>
          </w:p>
        </w:tc>
        <w:tc>
          <w:tcPr>
            <w:tcW w:w="1043" w:type="dxa"/>
            <w:tcBorders>
              <w:top w:val="nil"/>
              <w:left w:val="nil"/>
              <w:bottom w:val="nil"/>
              <w:right w:val="nil"/>
            </w:tcBorders>
            <w:noWrap/>
            <w:vAlign w:val="bottom"/>
            <w:hideMark/>
          </w:tcPr>
          <w:p w14:paraId="718340C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&lt; .001</w:t>
            </w:r>
          </w:p>
        </w:tc>
        <w:tc>
          <w:tcPr>
            <w:tcW w:w="1429" w:type="dxa"/>
            <w:tcBorders>
              <w:top w:val="nil"/>
              <w:left w:val="nil"/>
              <w:bottom w:val="nil"/>
              <w:right w:val="nil"/>
            </w:tcBorders>
            <w:noWrap/>
            <w:vAlign w:val="bottom"/>
            <w:hideMark/>
          </w:tcPr>
          <w:p w14:paraId="53585C0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0.400</w:t>
            </w:r>
          </w:p>
        </w:tc>
      </w:tr>
      <w:tr w:rsidR="004C7964" w:rsidRPr="0078243D" w14:paraId="065BAB59" w14:textId="77777777" w:rsidTr="004C7964">
        <w:trPr>
          <w:trHeight w:val="304"/>
        </w:trPr>
        <w:tc>
          <w:tcPr>
            <w:tcW w:w="1361" w:type="dxa"/>
            <w:vMerge/>
            <w:tcBorders>
              <w:top w:val="single" w:sz="4" w:space="0" w:color="auto"/>
              <w:left w:val="nil"/>
              <w:bottom w:val="nil"/>
              <w:right w:val="nil"/>
            </w:tcBorders>
            <w:vAlign w:val="center"/>
            <w:hideMark/>
          </w:tcPr>
          <w:p w14:paraId="696BA1D2"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12BF25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6DFCF9E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1D0AF366"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1.72</w:t>
            </w:r>
          </w:p>
        </w:tc>
        <w:tc>
          <w:tcPr>
            <w:tcW w:w="755" w:type="dxa"/>
            <w:tcBorders>
              <w:top w:val="nil"/>
              <w:left w:val="nil"/>
              <w:bottom w:val="nil"/>
              <w:right w:val="nil"/>
            </w:tcBorders>
            <w:noWrap/>
            <w:vAlign w:val="bottom"/>
            <w:hideMark/>
          </w:tcPr>
          <w:p w14:paraId="48284E9F"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36.14</w:t>
            </w:r>
          </w:p>
        </w:tc>
        <w:tc>
          <w:tcPr>
            <w:tcW w:w="1089" w:type="dxa"/>
            <w:tcBorders>
              <w:top w:val="nil"/>
              <w:left w:val="nil"/>
              <w:bottom w:val="nil"/>
              <w:right w:val="nil"/>
            </w:tcBorders>
            <w:noWrap/>
            <w:vAlign w:val="bottom"/>
            <w:hideMark/>
          </w:tcPr>
          <w:p w14:paraId="4D5CF6F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3.575</w:t>
            </w:r>
          </w:p>
        </w:tc>
        <w:tc>
          <w:tcPr>
            <w:tcW w:w="1043" w:type="dxa"/>
            <w:tcBorders>
              <w:top w:val="nil"/>
              <w:left w:val="nil"/>
              <w:bottom w:val="nil"/>
              <w:right w:val="nil"/>
            </w:tcBorders>
            <w:noWrap/>
            <w:vAlign w:val="bottom"/>
            <w:hideMark/>
          </w:tcPr>
          <w:p w14:paraId="027A327A"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.045</w:t>
            </w:r>
          </w:p>
        </w:tc>
        <w:tc>
          <w:tcPr>
            <w:tcW w:w="1429" w:type="dxa"/>
            <w:tcBorders>
              <w:top w:val="nil"/>
              <w:left w:val="nil"/>
              <w:bottom w:val="nil"/>
              <w:right w:val="nil"/>
            </w:tcBorders>
            <w:noWrap/>
            <w:vAlign w:val="bottom"/>
            <w:hideMark/>
          </w:tcPr>
          <w:p w14:paraId="24EF2B45"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0.145</w:t>
            </w:r>
          </w:p>
        </w:tc>
      </w:tr>
      <w:tr w:rsidR="004C7964" w:rsidRPr="0078243D" w14:paraId="2DC944C3" w14:textId="77777777" w:rsidTr="004C7964">
        <w:trPr>
          <w:trHeight w:val="304"/>
        </w:trPr>
        <w:tc>
          <w:tcPr>
            <w:tcW w:w="1361" w:type="dxa"/>
            <w:tcBorders>
              <w:top w:val="nil"/>
              <w:left w:val="nil"/>
              <w:bottom w:val="nil"/>
              <w:right w:val="nil"/>
            </w:tcBorders>
            <w:noWrap/>
            <w:vAlign w:val="bottom"/>
            <w:hideMark/>
          </w:tcPr>
          <w:p w14:paraId="05C91F12"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0FB9AFB0"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6195A49D"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44D90549"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54AC8AB9"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7A52C6CD"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54A1A061"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57929775"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68FBDE9D"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1D5FBDD7"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MET</w:t>
            </w:r>
          </w:p>
        </w:tc>
        <w:tc>
          <w:tcPr>
            <w:tcW w:w="2065" w:type="dxa"/>
            <w:tcBorders>
              <w:top w:val="single" w:sz="4" w:space="0" w:color="auto"/>
              <w:left w:val="nil"/>
              <w:bottom w:val="nil"/>
              <w:right w:val="nil"/>
            </w:tcBorders>
            <w:noWrap/>
            <w:vAlign w:val="center"/>
            <w:hideMark/>
          </w:tcPr>
          <w:p w14:paraId="7D02A22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6913326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20811526"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w:t>
            </w:r>
          </w:p>
        </w:tc>
        <w:tc>
          <w:tcPr>
            <w:tcW w:w="755" w:type="dxa"/>
            <w:tcBorders>
              <w:top w:val="single" w:sz="4" w:space="0" w:color="auto"/>
              <w:left w:val="nil"/>
              <w:bottom w:val="nil"/>
              <w:right w:val="nil"/>
            </w:tcBorders>
            <w:noWrap/>
            <w:vAlign w:val="bottom"/>
            <w:hideMark/>
          </w:tcPr>
          <w:p w14:paraId="13151F16"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21</w:t>
            </w:r>
          </w:p>
        </w:tc>
        <w:tc>
          <w:tcPr>
            <w:tcW w:w="1089" w:type="dxa"/>
            <w:tcBorders>
              <w:top w:val="single" w:sz="4" w:space="0" w:color="auto"/>
              <w:left w:val="nil"/>
              <w:bottom w:val="nil"/>
              <w:right w:val="nil"/>
            </w:tcBorders>
            <w:noWrap/>
            <w:vAlign w:val="bottom"/>
            <w:hideMark/>
          </w:tcPr>
          <w:p w14:paraId="2C563F06"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1.095</w:t>
            </w:r>
          </w:p>
        </w:tc>
        <w:tc>
          <w:tcPr>
            <w:tcW w:w="1043" w:type="dxa"/>
            <w:tcBorders>
              <w:top w:val="single" w:sz="4" w:space="0" w:color="auto"/>
              <w:left w:val="nil"/>
              <w:bottom w:val="nil"/>
              <w:right w:val="nil"/>
            </w:tcBorders>
            <w:noWrap/>
            <w:vAlign w:val="bottom"/>
            <w:hideMark/>
          </w:tcPr>
          <w:p w14:paraId="03BC8D38"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.307</w:t>
            </w:r>
          </w:p>
        </w:tc>
        <w:tc>
          <w:tcPr>
            <w:tcW w:w="1429" w:type="dxa"/>
            <w:tcBorders>
              <w:top w:val="nil"/>
              <w:left w:val="nil"/>
              <w:bottom w:val="nil"/>
              <w:right w:val="nil"/>
            </w:tcBorders>
            <w:noWrap/>
            <w:vAlign w:val="bottom"/>
            <w:hideMark/>
          </w:tcPr>
          <w:p w14:paraId="73824E1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0.050</w:t>
            </w:r>
          </w:p>
        </w:tc>
      </w:tr>
      <w:tr w:rsidR="004C7964" w:rsidRPr="0078243D" w14:paraId="074542C1"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219827B2"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6537986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20DE7EDD"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12B596CA"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1.51</w:t>
            </w:r>
          </w:p>
        </w:tc>
        <w:tc>
          <w:tcPr>
            <w:tcW w:w="755" w:type="dxa"/>
            <w:tcBorders>
              <w:top w:val="nil"/>
              <w:left w:val="nil"/>
              <w:bottom w:val="nil"/>
              <w:right w:val="nil"/>
            </w:tcBorders>
            <w:noWrap/>
            <w:vAlign w:val="bottom"/>
            <w:hideMark/>
          </w:tcPr>
          <w:p w14:paraId="5B668731"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31.73</w:t>
            </w:r>
          </w:p>
        </w:tc>
        <w:tc>
          <w:tcPr>
            <w:tcW w:w="1089" w:type="dxa"/>
            <w:tcBorders>
              <w:top w:val="nil"/>
              <w:left w:val="nil"/>
              <w:bottom w:val="nil"/>
              <w:right w:val="nil"/>
            </w:tcBorders>
            <w:noWrap/>
            <w:vAlign w:val="bottom"/>
            <w:hideMark/>
          </w:tcPr>
          <w:p w14:paraId="075D4B68"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0.624</w:t>
            </w:r>
          </w:p>
        </w:tc>
        <w:tc>
          <w:tcPr>
            <w:tcW w:w="1043" w:type="dxa"/>
            <w:tcBorders>
              <w:top w:val="nil"/>
              <w:left w:val="nil"/>
              <w:bottom w:val="nil"/>
              <w:right w:val="nil"/>
            </w:tcBorders>
            <w:noWrap/>
            <w:vAlign w:val="bottom"/>
            <w:hideMark/>
          </w:tcPr>
          <w:p w14:paraId="212277C6"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.499</w:t>
            </w:r>
          </w:p>
        </w:tc>
        <w:tc>
          <w:tcPr>
            <w:tcW w:w="1429" w:type="dxa"/>
            <w:tcBorders>
              <w:top w:val="nil"/>
              <w:left w:val="nil"/>
              <w:bottom w:val="nil"/>
              <w:right w:val="nil"/>
            </w:tcBorders>
            <w:noWrap/>
            <w:vAlign w:val="bottom"/>
            <w:hideMark/>
          </w:tcPr>
          <w:p w14:paraId="4259BA1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0.029</w:t>
            </w:r>
          </w:p>
        </w:tc>
      </w:tr>
      <w:tr w:rsidR="004C7964" w:rsidRPr="0078243D" w14:paraId="5AD2D2FB"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071E8849"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395F056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single" w:sz="12" w:space="0" w:color="000000" w:themeColor="text1"/>
              <w:right w:val="nil"/>
            </w:tcBorders>
            <w:noWrap/>
            <w:vAlign w:val="bottom"/>
            <w:hideMark/>
          </w:tcPr>
          <w:p w14:paraId="0D5F12B1"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135CD4B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1.86</w:t>
            </w:r>
          </w:p>
        </w:tc>
        <w:tc>
          <w:tcPr>
            <w:tcW w:w="755" w:type="dxa"/>
            <w:tcBorders>
              <w:top w:val="nil"/>
              <w:left w:val="nil"/>
              <w:bottom w:val="single" w:sz="12" w:space="0" w:color="000000" w:themeColor="text1"/>
              <w:right w:val="nil"/>
            </w:tcBorders>
            <w:noWrap/>
            <w:vAlign w:val="bottom"/>
            <w:hideMark/>
          </w:tcPr>
          <w:p w14:paraId="6B591DBC"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39.12</w:t>
            </w:r>
          </w:p>
        </w:tc>
        <w:tc>
          <w:tcPr>
            <w:tcW w:w="1089" w:type="dxa"/>
            <w:tcBorders>
              <w:top w:val="nil"/>
              <w:left w:val="nil"/>
              <w:bottom w:val="single" w:sz="12" w:space="0" w:color="000000" w:themeColor="text1"/>
              <w:right w:val="nil"/>
            </w:tcBorders>
            <w:noWrap/>
            <w:vAlign w:val="bottom"/>
            <w:hideMark/>
          </w:tcPr>
          <w:p w14:paraId="54D6AA6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color w:val="1F4E9E"/>
                <w:sz w:val="20"/>
                <w:szCs w:val="20"/>
              </w:rPr>
              <w:t>2.436</w:t>
            </w:r>
          </w:p>
        </w:tc>
        <w:tc>
          <w:tcPr>
            <w:tcW w:w="1043" w:type="dxa"/>
            <w:tcBorders>
              <w:top w:val="nil"/>
              <w:left w:val="nil"/>
              <w:bottom w:val="single" w:sz="12" w:space="0" w:color="000000" w:themeColor="text1"/>
              <w:right w:val="nil"/>
            </w:tcBorders>
            <w:noWrap/>
            <w:vAlign w:val="bottom"/>
            <w:hideMark/>
          </w:tcPr>
          <w:p w14:paraId="4A54546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1F4E9E"/>
                <w:sz w:val="20"/>
                <w:szCs w:val="20"/>
              </w:rPr>
              <w:t>p = .104</w:t>
            </w:r>
          </w:p>
        </w:tc>
        <w:tc>
          <w:tcPr>
            <w:tcW w:w="1429" w:type="dxa"/>
            <w:tcBorders>
              <w:top w:val="nil"/>
              <w:left w:val="nil"/>
              <w:bottom w:val="single" w:sz="12" w:space="0" w:color="000000" w:themeColor="text1"/>
              <w:right w:val="nil"/>
            </w:tcBorders>
            <w:noWrap/>
            <w:vAlign w:val="bottom"/>
            <w:hideMark/>
          </w:tcPr>
          <w:p w14:paraId="2036366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1F4E9E"/>
                <w:sz w:val="20"/>
                <w:szCs w:val="20"/>
              </w:rPr>
              <w:t>0.104</w:t>
            </w:r>
          </w:p>
        </w:tc>
      </w:tr>
    </w:tbl>
    <w:p w14:paraId="64F4C9CA" w14:textId="77777777"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r w:rsidR="00DD2CFA">
        <w:rPr>
          <w:iCs/>
          <w:sz w:val="20"/>
          <w:szCs w:val="20"/>
        </w:rPr>
        <w:t>df</w:t>
      </w:r>
      <w:proofErr w:type="spellEnd"/>
      <w:r w:rsidR="00DD2CFA">
        <w:rPr>
          <w:iCs/>
          <w:sz w:val="20"/>
          <w:szCs w:val="20"/>
        </w:rPr>
        <w:t>) with decimals indicate that a Greenhouse-Geisser correction was applied.</w:t>
      </w:r>
    </w:p>
    <w:p w14:paraId="1DEE25B9"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429EDCB" w14:textId="77777777"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partial muscle activation rate in the electromyographic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12"/>
        <w:gridCol w:w="681"/>
        <w:gridCol w:w="1272"/>
        <w:gridCol w:w="876"/>
        <w:gridCol w:w="1276"/>
        <w:gridCol w:w="851"/>
      </w:tblGrid>
      <w:tr w:rsidR="002A378E" w:rsidRPr="008B5651" w14:paraId="6846D604"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67945870"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4111BCC5" w14:textId="77777777"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6083A39C"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352893E7"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70BEE4E6"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66603F8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1572983B" w14:textId="77777777"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3BD52168"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008D3558" w14:textId="77777777" w:rsidR="002A378E" w:rsidRPr="00A30E3E" w:rsidRDefault="002A378E" w:rsidP="00DD431E">
            <w:pPr>
              <w:spacing w:after="0" w:line="240" w:lineRule="auto"/>
              <w:jc w:val="center"/>
              <w:rPr>
                <w:rFonts w:eastAsia="Times New Roman"/>
                <w:bCs/>
                <w:color w:val="000000"/>
                <w:sz w:val="22"/>
                <w:szCs w:val="20"/>
              </w:rPr>
            </w:pPr>
            <w:r>
              <w:t>Stimulus</w:t>
            </w:r>
          </w:p>
        </w:tc>
        <w:tc>
          <w:tcPr>
            <w:tcW w:w="2538" w:type="dxa"/>
            <w:tcBorders>
              <w:top w:val="single" w:sz="12" w:space="0" w:color="000000" w:themeColor="text1"/>
              <w:left w:val="nil"/>
              <w:bottom w:val="nil"/>
              <w:right w:val="nil"/>
            </w:tcBorders>
            <w:vAlign w:val="center"/>
            <w:hideMark/>
          </w:tcPr>
          <w:p w14:paraId="444414E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12" w:space="0" w:color="000000" w:themeColor="text1"/>
              <w:left w:val="nil"/>
              <w:bottom w:val="nil"/>
              <w:right w:val="nil"/>
            </w:tcBorders>
            <w:noWrap/>
            <w:vAlign w:val="bottom"/>
            <w:hideMark/>
          </w:tcPr>
          <w:p w14:paraId="02E3F5DD"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7E5BC07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12" w:space="0" w:color="000000" w:themeColor="text1"/>
              <w:left w:val="nil"/>
              <w:bottom w:val="nil"/>
              <w:right w:val="nil"/>
            </w:tcBorders>
            <w:noWrap/>
            <w:vAlign w:val="bottom"/>
            <w:hideMark/>
          </w:tcPr>
          <w:p w14:paraId="20F3F412"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13.381</w:t>
            </w:r>
          </w:p>
        </w:tc>
        <w:tc>
          <w:tcPr>
            <w:tcW w:w="1276" w:type="dxa"/>
            <w:tcBorders>
              <w:top w:val="single" w:sz="12" w:space="0" w:color="000000" w:themeColor="text1"/>
              <w:left w:val="nil"/>
              <w:bottom w:val="nil"/>
              <w:right w:val="nil"/>
            </w:tcBorders>
            <w:noWrap/>
            <w:vAlign w:val="center"/>
            <w:hideMark/>
          </w:tcPr>
          <w:p w14:paraId="49E72896" w14:textId="77777777"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sz w:val="18"/>
                <w:szCs w:val="20"/>
              </w:rPr>
              <w:t xml:space="preserve"> </w:t>
            </w:r>
            <w:r w:rsidR="002A378E" w:rsidRPr="008C2F99">
              <w:rPr>
                <w:rFonts w:eastAsia="Times New Roman"/>
                <w:bCs/>
                <w:sz w:val="18"/>
                <w:szCs w:val="18"/>
              </w:rPr>
              <w:t>.001</w:t>
            </w:r>
          </w:p>
        </w:tc>
        <w:tc>
          <w:tcPr>
            <w:tcW w:w="851" w:type="dxa"/>
            <w:tcBorders>
              <w:top w:val="single" w:sz="12" w:space="0" w:color="000000" w:themeColor="text1"/>
              <w:left w:val="nil"/>
              <w:bottom w:val="nil"/>
              <w:right w:val="nil"/>
            </w:tcBorders>
            <w:noWrap/>
            <w:vAlign w:val="bottom"/>
            <w:hideMark/>
          </w:tcPr>
          <w:p w14:paraId="440CD85C" w14:textId="77777777" w:rsidR="002A378E" w:rsidRPr="008C2F99" w:rsidRDefault="00710772" w:rsidP="00DD431E">
            <w:pPr>
              <w:spacing w:after="0" w:line="240" w:lineRule="auto"/>
              <w:jc w:val="center"/>
              <w:rPr>
                <w:rFonts w:eastAsia="Times New Roman"/>
                <w:color w:val="000000"/>
                <w:sz w:val="18"/>
                <w:szCs w:val="18"/>
              </w:rPr>
            </w:pPr>
            <w:r w:rsidRPr="008C2F99">
              <w:rPr>
                <w:rFonts w:eastAsia="Times New Roman"/>
                <w:sz w:val="18"/>
                <w:szCs w:val="18"/>
              </w:rPr>
              <w:t>0.389</w:t>
            </w:r>
          </w:p>
        </w:tc>
      </w:tr>
      <w:tr w:rsidR="002A378E" w:rsidRPr="008B5651" w14:paraId="0B844FE5" w14:textId="77777777" w:rsidTr="00F15443">
        <w:trPr>
          <w:trHeight w:val="143"/>
        </w:trPr>
        <w:tc>
          <w:tcPr>
            <w:tcW w:w="1463" w:type="dxa"/>
            <w:vMerge/>
            <w:tcBorders>
              <w:top w:val="nil"/>
              <w:left w:val="nil"/>
              <w:bottom w:val="nil"/>
              <w:right w:val="nil"/>
            </w:tcBorders>
            <w:vAlign w:val="center"/>
            <w:hideMark/>
          </w:tcPr>
          <w:p w14:paraId="7A6F606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DD25684"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294DCC9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28AF618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B3D3E40"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5.251</w:t>
            </w:r>
          </w:p>
        </w:tc>
        <w:tc>
          <w:tcPr>
            <w:tcW w:w="1276" w:type="dxa"/>
            <w:tcBorders>
              <w:top w:val="nil"/>
              <w:left w:val="nil"/>
              <w:bottom w:val="nil"/>
              <w:right w:val="nil"/>
            </w:tcBorders>
            <w:noWrap/>
            <w:vAlign w:val="center"/>
            <w:hideMark/>
          </w:tcPr>
          <w:p w14:paraId="2789FEA9"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73FB51F6" w14:textId="77777777"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27AEACE4" w14:textId="77777777" w:rsidTr="00F15443">
        <w:trPr>
          <w:trHeight w:val="143"/>
        </w:trPr>
        <w:tc>
          <w:tcPr>
            <w:tcW w:w="1463" w:type="dxa"/>
            <w:vMerge/>
            <w:tcBorders>
              <w:top w:val="nil"/>
              <w:left w:val="nil"/>
              <w:bottom w:val="nil"/>
              <w:right w:val="nil"/>
            </w:tcBorders>
            <w:vAlign w:val="center"/>
            <w:hideMark/>
          </w:tcPr>
          <w:p w14:paraId="6DF9AB8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E3641BF"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2284FEDA" w14:textId="77777777" w:rsidR="00205CBC" w:rsidRDefault="00000000">
            <w:r>
              <w:rPr>
                <w:color w:val="1F4E9E"/>
              </w:rPr>
              <w:t>1</w:t>
            </w:r>
          </w:p>
        </w:tc>
        <w:tc>
          <w:tcPr>
            <w:tcW w:w="1272" w:type="dxa"/>
            <w:tcBorders>
              <w:top w:val="nil"/>
              <w:left w:val="nil"/>
              <w:bottom w:val="nil"/>
              <w:right w:val="nil"/>
            </w:tcBorders>
            <w:noWrap/>
            <w:vAlign w:val="bottom"/>
            <w:hideMark/>
          </w:tcPr>
          <w:p w14:paraId="6331A917" w14:textId="77777777" w:rsidR="00205CBC" w:rsidRDefault="00000000">
            <w:r>
              <w:rPr>
                <w:color w:val="1F4E9E"/>
              </w:rPr>
              <w:t>21</w:t>
            </w:r>
          </w:p>
        </w:tc>
        <w:tc>
          <w:tcPr>
            <w:tcW w:w="850" w:type="dxa"/>
            <w:tcBorders>
              <w:top w:val="nil"/>
              <w:left w:val="nil"/>
              <w:bottom w:val="nil"/>
              <w:right w:val="nil"/>
            </w:tcBorders>
            <w:noWrap/>
            <w:vAlign w:val="bottom"/>
            <w:hideMark/>
          </w:tcPr>
          <w:p w14:paraId="0330C488" w14:textId="77777777" w:rsidR="00205CBC" w:rsidRDefault="00000000">
            <w:r>
              <w:rPr>
                <w:color w:val="1F4E9E"/>
              </w:rPr>
              <w:t>30.869</w:t>
            </w:r>
          </w:p>
        </w:tc>
        <w:tc>
          <w:tcPr>
            <w:tcW w:w="1276" w:type="dxa"/>
            <w:tcBorders>
              <w:top w:val="nil"/>
              <w:left w:val="nil"/>
              <w:bottom w:val="nil"/>
              <w:right w:val="nil"/>
            </w:tcBorders>
            <w:noWrap/>
            <w:vAlign w:val="center"/>
            <w:hideMark/>
          </w:tcPr>
          <w:p w14:paraId="00F03B79" w14:textId="77777777" w:rsidR="00205CBC" w:rsidRDefault="00000000">
            <w:r>
              <w:t>p &lt; .001</w:t>
            </w:r>
          </w:p>
        </w:tc>
        <w:tc>
          <w:tcPr>
            <w:tcW w:w="851" w:type="dxa"/>
            <w:tcBorders>
              <w:top w:val="nil"/>
              <w:left w:val="nil"/>
              <w:bottom w:val="nil"/>
              <w:right w:val="nil"/>
            </w:tcBorders>
            <w:noWrap/>
            <w:vAlign w:val="bottom"/>
            <w:hideMark/>
          </w:tcPr>
          <w:p w14:paraId="1B264EED" w14:textId="77777777" w:rsidR="00205CBC" w:rsidRDefault="00000000">
            <w:r>
              <w:rPr>
                <w:color w:val="1F4E9E"/>
              </w:rPr>
              <w:t>0.595</w:t>
            </w:r>
          </w:p>
        </w:tc>
      </w:tr>
      <w:tr w:rsidR="002A378E" w:rsidRPr="008B5651" w14:paraId="015F5F3E" w14:textId="77777777" w:rsidTr="00F15443">
        <w:trPr>
          <w:trHeight w:val="143"/>
        </w:trPr>
        <w:tc>
          <w:tcPr>
            <w:tcW w:w="1463" w:type="dxa"/>
            <w:vMerge/>
            <w:tcBorders>
              <w:top w:val="nil"/>
              <w:left w:val="nil"/>
              <w:bottom w:val="nil"/>
              <w:right w:val="nil"/>
            </w:tcBorders>
            <w:vAlign w:val="center"/>
            <w:hideMark/>
          </w:tcPr>
          <w:p w14:paraId="732B628B"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27065C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0CFD8A18"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1.98</w:t>
            </w:r>
          </w:p>
        </w:tc>
        <w:tc>
          <w:tcPr>
            <w:tcW w:w="1272" w:type="dxa"/>
            <w:tcBorders>
              <w:top w:val="nil"/>
              <w:left w:val="nil"/>
              <w:bottom w:val="nil"/>
              <w:right w:val="nil"/>
            </w:tcBorders>
            <w:noWrap/>
            <w:vAlign w:val="bottom"/>
            <w:hideMark/>
          </w:tcPr>
          <w:p w14:paraId="75A7656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41.51</w:t>
            </w:r>
          </w:p>
        </w:tc>
        <w:tc>
          <w:tcPr>
            <w:tcW w:w="850" w:type="dxa"/>
            <w:tcBorders>
              <w:top w:val="nil"/>
              <w:left w:val="nil"/>
              <w:bottom w:val="nil"/>
              <w:right w:val="nil"/>
            </w:tcBorders>
            <w:noWrap/>
            <w:vAlign w:val="bottom"/>
            <w:hideMark/>
          </w:tcPr>
          <w:p w14:paraId="31EAF4F8"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DC49700" w14:textId="77777777" w:rsidR="002A378E" w:rsidRPr="00C73FFF" w:rsidRDefault="0036796B" w:rsidP="00DD431E">
            <w:pPr>
              <w:spacing w:after="0" w:line="240" w:lineRule="auto"/>
              <w:jc w:val="center"/>
              <w:rPr>
                <w:rFonts w:eastAsia="Times New Roman"/>
                <w:sz w:val="18"/>
                <w:szCs w:val="18"/>
              </w:rPr>
            </w:pPr>
            <w:r w:rsidRPr="00C73FFF">
              <w:rPr>
                <w:rFonts w:eastAsia="Times New Roman"/>
                <w:i/>
                <w:color w:val="1F4E9E"/>
                <w:sz w:val="18"/>
                <w:szCs w:val="20"/>
              </w:rPr>
              <w:t>p = .731</w:t>
            </w:r>
          </w:p>
        </w:tc>
        <w:tc>
          <w:tcPr>
            <w:tcW w:w="851" w:type="dxa"/>
            <w:tcBorders>
              <w:top w:val="nil"/>
              <w:left w:val="nil"/>
              <w:bottom w:val="nil"/>
              <w:right w:val="nil"/>
            </w:tcBorders>
            <w:noWrap/>
            <w:vAlign w:val="bottom"/>
            <w:hideMark/>
          </w:tcPr>
          <w:p w14:paraId="19E1AAB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6657229" w14:textId="77777777" w:rsidTr="00F15443">
        <w:trPr>
          <w:trHeight w:val="143"/>
        </w:trPr>
        <w:tc>
          <w:tcPr>
            <w:tcW w:w="1463" w:type="dxa"/>
            <w:vMerge/>
            <w:tcBorders>
              <w:top w:val="nil"/>
              <w:left w:val="nil"/>
              <w:bottom w:val="nil"/>
              <w:right w:val="nil"/>
            </w:tcBorders>
            <w:vAlign w:val="center"/>
            <w:hideMark/>
          </w:tcPr>
          <w:p w14:paraId="42D56D7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0D4706E"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40E9EBE0" w14:textId="77777777" w:rsidR="00205CBC" w:rsidRDefault="00000000">
            <w:r>
              <w:rPr>
                <w:color w:val="1F4E9E"/>
              </w:rPr>
              <w:t>1</w:t>
            </w:r>
          </w:p>
        </w:tc>
        <w:tc>
          <w:tcPr>
            <w:tcW w:w="1272" w:type="dxa"/>
            <w:tcBorders>
              <w:top w:val="nil"/>
              <w:left w:val="nil"/>
              <w:bottom w:val="nil"/>
              <w:right w:val="nil"/>
            </w:tcBorders>
            <w:noWrap/>
            <w:vAlign w:val="bottom"/>
            <w:hideMark/>
          </w:tcPr>
          <w:p w14:paraId="690AC7E4" w14:textId="77777777" w:rsidR="00205CBC" w:rsidRDefault="00000000">
            <w:r>
              <w:rPr>
                <w:color w:val="1F4E9E"/>
              </w:rPr>
              <w:t>21</w:t>
            </w:r>
          </w:p>
        </w:tc>
        <w:tc>
          <w:tcPr>
            <w:tcW w:w="850" w:type="dxa"/>
            <w:tcBorders>
              <w:top w:val="nil"/>
              <w:left w:val="nil"/>
              <w:bottom w:val="nil"/>
              <w:right w:val="nil"/>
            </w:tcBorders>
            <w:noWrap/>
            <w:vAlign w:val="bottom"/>
            <w:hideMark/>
          </w:tcPr>
          <w:p w14:paraId="5DA355A9" w14:textId="77777777" w:rsidR="00205CBC" w:rsidRDefault="00000000">
            <w:r>
              <w:rPr>
                <w:color w:val="1F4E9E"/>
              </w:rPr>
              <w:t>9.532</w:t>
            </w:r>
          </w:p>
        </w:tc>
        <w:tc>
          <w:tcPr>
            <w:tcW w:w="1276" w:type="dxa"/>
            <w:tcBorders>
              <w:top w:val="nil"/>
              <w:left w:val="nil"/>
              <w:bottom w:val="nil"/>
              <w:right w:val="nil"/>
            </w:tcBorders>
            <w:noWrap/>
            <w:vAlign w:val="center"/>
            <w:hideMark/>
          </w:tcPr>
          <w:p w14:paraId="5E1A1A72" w14:textId="77777777" w:rsidR="00205CBC" w:rsidRDefault="00000000">
            <w:r>
              <w:rPr>
                <w:color w:val="1F4E9E"/>
              </w:rPr>
              <w:t>p = .006</w:t>
            </w:r>
          </w:p>
        </w:tc>
        <w:tc>
          <w:tcPr>
            <w:tcW w:w="851" w:type="dxa"/>
            <w:tcBorders>
              <w:top w:val="nil"/>
              <w:left w:val="nil"/>
              <w:bottom w:val="nil"/>
              <w:right w:val="nil"/>
            </w:tcBorders>
            <w:noWrap/>
            <w:vAlign w:val="bottom"/>
            <w:hideMark/>
          </w:tcPr>
          <w:p w14:paraId="2A757064" w14:textId="77777777" w:rsidR="00205CBC" w:rsidRDefault="00000000">
            <w:r>
              <w:rPr>
                <w:color w:val="1F4E9E"/>
              </w:rPr>
              <w:t>0.312</w:t>
            </w:r>
          </w:p>
        </w:tc>
      </w:tr>
      <w:tr w:rsidR="002A378E" w:rsidRPr="008B5651" w14:paraId="793C8199" w14:textId="77777777" w:rsidTr="00F15443">
        <w:trPr>
          <w:trHeight w:val="143"/>
        </w:trPr>
        <w:tc>
          <w:tcPr>
            <w:tcW w:w="1463" w:type="dxa"/>
            <w:vMerge/>
            <w:tcBorders>
              <w:top w:val="nil"/>
              <w:left w:val="nil"/>
              <w:bottom w:val="nil"/>
              <w:right w:val="nil"/>
            </w:tcBorders>
            <w:vAlign w:val="center"/>
            <w:hideMark/>
          </w:tcPr>
          <w:p w14:paraId="2CD973D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D3D32E8"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1FD6AC2D" w14:textId="77777777" w:rsidR="00205CBC" w:rsidRDefault="00000000">
            <w:r>
              <w:rPr>
                <w:color w:val="1F4E9E"/>
              </w:rPr>
              <w:t>1.72</w:t>
            </w:r>
          </w:p>
        </w:tc>
        <w:tc>
          <w:tcPr>
            <w:tcW w:w="1272" w:type="dxa"/>
            <w:tcBorders>
              <w:top w:val="nil"/>
              <w:left w:val="nil"/>
              <w:bottom w:val="nil"/>
              <w:right w:val="nil"/>
            </w:tcBorders>
            <w:noWrap/>
            <w:vAlign w:val="bottom"/>
            <w:hideMark/>
          </w:tcPr>
          <w:p w14:paraId="0997EF2D" w14:textId="77777777" w:rsidR="00205CBC" w:rsidRDefault="00000000">
            <w:r>
              <w:rPr>
                <w:color w:val="1F4E9E"/>
              </w:rPr>
              <w:t>36.20</w:t>
            </w:r>
          </w:p>
        </w:tc>
        <w:tc>
          <w:tcPr>
            <w:tcW w:w="850" w:type="dxa"/>
            <w:tcBorders>
              <w:top w:val="nil"/>
              <w:left w:val="nil"/>
              <w:bottom w:val="nil"/>
              <w:right w:val="nil"/>
            </w:tcBorders>
            <w:noWrap/>
            <w:vAlign w:val="bottom"/>
            <w:hideMark/>
          </w:tcPr>
          <w:p w14:paraId="24BF4700" w14:textId="77777777" w:rsidR="00205CBC" w:rsidRDefault="00000000">
            <w:r>
              <w:rPr>
                <w:color w:val="1F4E9E"/>
              </w:rPr>
              <w:t>6.145</w:t>
            </w:r>
          </w:p>
        </w:tc>
        <w:tc>
          <w:tcPr>
            <w:tcW w:w="1276" w:type="dxa"/>
            <w:tcBorders>
              <w:top w:val="nil"/>
              <w:left w:val="nil"/>
              <w:bottom w:val="nil"/>
              <w:right w:val="nil"/>
            </w:tcBorders>
            <w:noWrap/>
            <w:vAlign w:val="center"/>
            <w:hideMark/>
          </w:tcPr>
          <w:p w14:paraId="59138093" w14:textId="77777777" w:rsidR="00205CBC" w:rsidRDefault="00000000">
            <w:r>
              <w:rPr>
                <w:color w:val="1F4E9E"/>
              </w:rPr>
              <w:t>p = .007</w:t>
            </w:r>
          </w:p>
        </w:tc>
        <w:tc>
          <w:tcPr>
            <w:tcW w:w="851" w:type="dxa"/>
            <w:tcBorders>
              <w:top w:val="nil"/>
              <w:left w:val="nil"/>
              <w:bottom w:val="nil"/>
              <w:right w:val="nil"/>
            </w:tcBorders>
            <w:noWrap/>
            <w:vAlign w:val="bottom"/>
            <w:hideMark/>
          </w:tcPr>
          <w:p w14:paraId="5C385C5F" w14:textId="77777777" w:rsidR="00205CBC" w:rsidRDefault="00000000">
            <w:r>
              <w:rPr>
                <w:color w:val="1F4E9E"/>
              </w:rPr>
              <w:t>0.226</w:t>
            </w:r>
          </w:p>
        </w:tc>
      </w:tr>
      <w:tr w:rsidR="002A378E" w:rsidRPr="008B5651" w14:paraId="1DF6334E" w14:textId="77777777" w:rsidTr="00F15443">
        <w:trPr>
          <w:trHeight w:val="143"/>
        </w:trPr>
        <w:tc>
          <w:tcPr>
            <w:tcW w:w="1463" w:type="dxa"/>
            <w:vMerge/>
            <w:tcBorders>
              <w:top w:val="nil"/>
              <w:left w:val="nil"/>
              <w:bottom w:val="nil"/>
              <w:right w:val="nil"/>
            </w:tcBorders>
            <w:vAlign w:val="center"/>
            <w:hideMark/>
          </w:tcPr>
          <w:p w14:paraId="2144C9A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6F934A1"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bottom"/>
            <w:hideMark/>
          </w:tcPr>
          <w:p w14:paraId="0164F556" w14:textId="77777777" w:rsidR="00205CBC" w:rsidRDefault="00000000">
            <w:r>
              <w:rPr>
                <w:color w:val="1F4E9E"/>
              </w:rPr>
              <w:t>1.87</w:t>
            </w:r>
          </w:p>
        </w:tc>
        <w:tc>
          <w:tcPr>
            <w:tcW w:w="1272" w:type="dxa"/>
            <w:tcBorders>
              <w:top w:val="nil"/>
              <w:left w:val="nil"/>
              <w:bottom w:val="nil"/>
              <w:right w:val="nil"/>
            </w:tcBorders>
            <w:noWrap/>
            <w:vAlign w:val="bottom"/>
            <w:hideMark/>
          </w:tcPr>
          <w:p w14:paraId="1924867D" w14:textId="77777777" w:rsidR="00205CBC" w:rsidRDefault="00000000">
            <w:r>
              <w:rPr>
                <w:color w:val="1F4E9E"/>
              </w:rPr>
              <w:t>39.18</w:t>
            </w:r>
          </w:p>
        </w:tc>
        <w:tc>
          <w:tcPr>
            <w:tcW w:w="850" w:type="dxa"/>
            <w:tcBorders>
              <w:top w:val="nil"/>
              <w:left w:val="nil"/>
              <w:bottom w:val="nil"/>
              <w:right w:val="nil"/>
            </w:tcBorders>
            <w:noWrap/>
            <w:vAlign w:val="bottom"/>
            <w:hideMark/>
          </w:tcPr>
          <w:p w14:paraId="29481D43" w14:textId="77777777" w:rsidR="00205CBC" w:rsidRDefault="00000000">
            <w:r>
              <w:rPr>
                <w:color w:val="1F4E9E"/>
              </w:rPr>
              <w:t>0.729</w:t>
            </w:r>
          </w:p>
        </w:tc>
        <w:tc>
          <w:tcPr>
            <w:tcW w:w="1276" w:type="dxa"/>
            <w:tcBorders>
              <w:top w:val="nil"/>
              <w:left w:val="nil"/>
              <w:bottom w:val="nil"/>
              <w:right w:val="nil"/>
            </w:tcBorders>
            <w:noWrap/>
            <w:vAlign w:val="center"/>
            <w:hideMark/>
          </w:tcPr>
          <w:p w14:paraId="4E976CFE" w14:textId="77777777" w:rsidR="00205CBC" w:rsidRDefault="00000000">
            <w:r>
              <w:rPr>
                <w:color w:val="1F4E9E"/>
              </w:rPr>
              <w:t>p = .480</w:t>
            </w:r>
          </w:p>
        </w:tc>
        <w:tc>
          <w:tcPr>
            <w:tcW w:w="851" w:type="dxa"/>
            <w:tcBorders>
              <w:top w:val="nil"/>
              <w:left w:val="nil"/>
              <w:bottom w:val="nil"/>
              <w:right w:val="nil"/>
            </w:tcBorders>
            <w:noWrap/>
            <w:vAlign w:val="bottom"/>
            <w:hideMark/>
          </w:tcPr>
          <w:p w14:paraId="223D1FB5" w14:textId="77777777" w:rsidR="00205CBC" w:rsidRDefault="00000000">
            <w:r>
              <w:rPr>
                <w:color w:val="1F4E9E"/>
              </w:rPr>
              <w:t>0.034</w:t>
            </w:r>
          </w:p>
        </w:tc>
      </w:tr>
      <w:tr w:rsidR="002A378E" w:rsidRPr="008B5651" w14:paraId="34DFD117" w14:textId="77777777" w:rsidTr="00F15443">
        <w:trPr>
          <w:trHeight w:val="143"/>
        </w:trPr>
        <w:tc>
          <w:tcPr>
            <w:tcW w:w="1463" w:type="dxa"/>
            <w:vMerge/>
            <w:tcBorders>
              <w:top w:val="nil"/>
              <w:left w:val="nil"/>
              <w:bottom w:val="nil"/>
              <w:right w:val="nil"/>
            </w:tcBorders>
            <w:vAlign w:val="center"/>
            <w:hideMark/>
          </w:tcPr>
          <w:p w14:paraId="091AF4E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A330DC6"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bottom"/>
            <w:hideMark/>
          </w:tcPr>
          <w:p w14:paraId="43A4516D" w14:textId="77777777" w:rsidR="00205CBC" w:rsidRDefault="00000000">
            <w:r>
              <w:rPr>
                <w:color w:val="1F4E9E"/>
              </w:rPr>
              <w:t>1</w:t>
            </w:r>
          </w:p>
        </w:tc>
        <w:tc>
          <w:tcPr>
            <w:tcW w:w="1272" w:type="dxa"/>
            <w:tcBorders>
              <w:top w:val="nil"/>
              <w:left w:val="nil"/>
              <w:bottom w:val="nil"/>
              <w:right w:val="nil"/>
            </w:tcBorders>
            <w:noWrap/>
            <w:vAlign w:val="bottom"/>
            <w:hideMark/>
          </w:tcPr>
          <w:p w14:paraId="11D49D0A" w14:textId="77777777" w:rsidR="00205CBC" w:rsidRDefault="00000000">
            <w:r>
              <w:rPr>
                <w:color w:val="1F4E9E"/>
              </w:rPr>
              <w:t>21</w:t>
            </w:r>
          </w:p>
        </w:tc>
        <w:tc>
          <w:tcPr>
            <w:tcW w:w="850" w:type="dxa"/>
            <w:tcBorders>
              <w:top w:val="nil"/>
              <w:left w:val="nil"/>
              <w:bottom w:val="nil"/>
              <w:right w:val="nil"/>
            </w:tcBorders>
            <w:noWrap/>
            <w:vAlign w:val="bottom"/>
            <w:hideMark/>
          </w:tcPr>
          <w:p w14:paraId="24994554" w14:textId="77777777" w:rsidR="00205CBC" w:rsidRDefault="00000000">
            <w:r>
              <w:t>2.621</w:t>
            </w:r>
          </w:p>
        </w:tc>
        <w:tc>
          <w:tcPr>
            <w:tcW w:w="1276" w:type="dxa"/>
            <w:tcBorders>
              <w:top w:val="nil"/>
              <w:left w:val="nil"/>
              <w:bottom w:val="nil"/>
              <w:right w:val="nil"/>
            </w:tcBorders>
            <w:noWrap/>
            <w:vAlign w:val="center"/>
            <w:hideMark/>
          </w:tcPr>
          <w:p w14:paraId="27055FF0" w14:textId="77777777" w:rsidR="00205CBC" w:rsidRDefault="00000000">
            <w:r>
              <w:t>p = .120</w:t>
            </w:r>
          </w:p>
        </w:tc>
        <w:tc>
          <w:tcPr>
            <w:tcW w:w="851" w:type="dxa"/>
            <w:tcBorders>
              <w:top w:val="nil"/>
              <w:left w:val="nil"/>
              <w:bottom w:val="nil"/>
              <w:right w:val="nil"/>
            </w:tcBorders>
            <w:noWrap/>
            <w:vAlign w:val="bottom"/>
            <w:hideMark/>
          </w:tcPr>
          <w:p w14:paraId="143E4B6A" w14:textId="77777777" w:rsidR="00205CBC" w:rsidRDefault="00000000">
            <w:r>
              <w:t>0.111</w:t>
            </w:r>
          </w:p>
        </w:tc>
      </w:tr>
      <w:tr w:rsidR="002A378E" w:rsidRPr="008B5651" w14:paraId="2A8DF9A0" w14:textId="77777777" w:rsidTr="00F15443">
        <w:trPr>
          <w:trHeight w:val="143"/>
        </w:trPr>
        <w:tc>
          <w:tcPr>
            <w:tcW w:w="1463" w:type="dxa"/>
            <w:vMerge/>
            <w:tcBorders>
              <w:top w:val="nil"/>
              <w:left w:val="nil"/>
              <w:bottom w:val="nil"/>
              <w:right w:val="nil"/>
            </w:tcBorders>
            <w:vAlign w:val="center"/>
            <w:hideMark/>
          </w:tcPr>
          <w:p w14:paraId="09651FF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787506C"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bottom"/>
            <w:hideMark/>
          </w:tcPr>
          <w:p w14:paraId="6D24F9FA" w14:textId="77777777" w:rsidR="00205CBC" w:rsidRDefault="00000000">
            <w:r>
              <w:rPr>
                <w:color w:val="1F4E9E"/>
              </w:rPr>
              <w:t>1</w:t>
            </w:r>
          </w:p>
        </w:tc>
        <w:tc>
          <w:tcPr>
            <w:tcW w:w="1272" w:type="dxa"/>
            <w:tcBorders>
              <w:top w:val="nil"/>
              <w:left w:val="nil"/>
              <w:bottom w:val="nil"/>
              <w:right w:val="nil"/>
            </w:tcBorders>
            <w:noWrap/>
            <w:vAlign w:val="bottom"/>
            <w:hideMark/>
          </w:tcPr>
          <w:p w14:paraId="3E96D53F" w14:textId="77777777" w:rsidR="00205CBC" w:rsidRDefault="00000000">
            <w:r>
              <w:rPr>
                <w:color w:val="1F4E9E"/>
              </w:rPr>
              <w:t>21</w:t>
            </w:r>
          </w:p>
        </w:tc>
        <w:tc>
          <w:tcPr>
            <w:tcW w:w="850" w:type="dxa"/>
            <w:tcBorders>
              <w:top w:val="nil"/>
              <w:left w:val="nil"/>
              <w:bottom w:val="nil"/>
              <w:right w:val="nil"/>
            </w:tcBorders>
            <w:noWrap/>
            <w:vAlign w:val="bottom"/>
            <w:hideMark/>
          </w:tcPr>
          <w:p w14:paraId="3B7F9B3E" w14:textId="77777777" w:rsidR="00205CBC" w:rsidRDefault="00000000">
            <w:r>
              <w:t>3.555</w:t>
            </w:r>
          </w:p>
        </w:tc>
        <w:tc>
          <w:tcPr>
            <w:tcW w:w="1276" w:type="dxa"/>
            <w:tcBorders>
              <w:top w:val="nil"/>
              <w:left w:val="nil"/>
              <w:bottom w:val="nil"/>
              <w:right w:val="nil"/>
            </w:tcBorders>
            <w:noWrap/>
            <w:vAlign w:val="center"/>
            <w:hideMark/>
          </w:tcPr>
          <w:p w14:paraId="29736CB2" w14:textId="77777777" w:rsidR="00205CBC" w:rsidRDefault="00000000">
            <w:r>
              <w:t>p = .073</w:t>
            </w:r>
          </w:p>
        </w:tc>
        <w:tc>
          <w:tcPr>
            <w:tcW w:w="851" w:type="dxa"/>
            <w:tcBorders>
              <w:top w:val="nil"/>
              <w:left w:val="nil"/>
              <w:bottom w:val="nil"/>
              <w:right w:val="nil"/>
            </w:tcBorders>
            <w:noWrap/>
            <w:vAlign w:val="bottom"/>
            <w:hideMark/>
          </w:tcPr>
          <w:p w14:paraId="4C1DB3F7" w14:textId="77777777" w:rsidR="00205CBC" w:rsidRDefault="00000000">
            <w:r>
              <w:t>0.145</w:t>
            </w:r>
          </w:p>
        </w:tc>
      </w:tr>
      <w:tr w:rsidR="002A378E" w:rsidRPr="008B5651" w14:paraId="537DC8CD" w14:textId="77777777" w:rsidTr="00F15443">
        <w:trPr>
          <w:trHeight w:val="143"/>
        </w:trPr>
        <w:tc>
          <w:tcPr>
            <w:tcW w:w="1463" w:type="dxa"/>
            <w:vMerge/>
            <w:tcBorders>
              <w:top w:val="nil"/>
              <w:left w:val="nil"/>
              <w:bottom w:val="nil"/>
              <w:right w:val="nil"/>
            </w:tcBorders>
            <w:vAlign w:val="center"/>
            <w:hideMark/>
          </w:tcPr>
          <w:p w14:paraId="23AE425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F3508C8"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bottom"/>
            <w:hideMark/>
          </w:tcPr>
          <w:p w14:paraId="609ECB6D" w14:textId="77777777" w:rsidR="00205CBC" w:rsidRDefault="00000000">
            <w:r>
              <w:t>1.90</w:t>
            </w:r>
          </w:p>
        </w:tc>
        <w:tc>
          <w:tcPr>
            <w:tcW w:w="1272" w:type="dxa"/>
            <w:tcBorders>
              <w:top w:val="nil"/>
              <w:left w:val="nil"/>
              <w:bottom w:val="nil"/>
              <w:right w:val="nil"/>
            </w:tcBorders>
            <w:noWrap/>
            <w:vAlign w:val="bottom"/>
            <w:hideMark/>
          </w:tcPr>
          <w:p w14:paraId="46EF0EA8" w14:textId="77777777" w:rsidR="00205CBC" w:rsidRDefault="00000000">
            <w:r>
              <w:t>39.81</w:t>
            </w:r>
          </w:p>
        </w:tc>
        <w:tc>
          <w:tcPr>
            <w:tcW w:w="850" w:type="dxa"/>
            <w:tcBorders>
              <w:top w:val="nil"/>
              <w:left w:val="nil"/>
              <w:bottom w:val="nil"/>
              <w:right w:val="nil"/>
            </w:tcBorders>
            <w:noWrap/>
            <w:vAlign w:val="bottom"/>
            <w:hideMark/>
          </w:tcPr>
          <w:p w14:paraId="5C1218BF" w14:textId="77777777" w:rsidR="00205CBC" w:rsidRDefault="00000000">
            <w:r>
              <w:t>0.525</w:t>
            </w:r>
          </w:p>
        </w:tc>
        <w:tc>
          <w:tcPr>
            <w:tcW w:w="1276" w:type="dxa"/>
            <w:tcBorders>
              <w:top w:val="nil"/>
              <w:left w:val="nil"/>
              <w:bottom w:val="nil"/>
              <w:right w:val="nil"/>
            </w:tcBorders>
            <w:noWrap/>
            <w:vAlign w:val="center"/>
            <w:hideMark/>
          </w:tcPr>
          <w:p w14:paraId="3D4C4FCC" w14:textId="77777777" w:rsidR="00205CBC" w:rsidRDefault="00000000">
            <w:r>
              <w:t>p = .586</w:t>
            </w:r>
          </w:p>
        </w:tc>
        <w:tc>
          <w:tcPr>
            <w:tcW w:w="851" w:type="dxa"/>
            <w:tcBorders>
              <w:top w:val="nil"/>
              <w:left w:val="nil"/>
              <w:bottom w:val="nil"/>
              <w:right w:val="nil"/>
            </w:tcBorders>
            <w:noWrap/>
            <w:vAlign w:val="bottom"/>
            <w:hideMark/>
          </w:tcPr>
          <w:p w14:paraId="339E1AFA" w14:textId="77777777" w:rsidR="00205CBC" w:rsidRDefault="00000000">
            <w:r>
              <w:t>0.024</w:t>
            </w:r>
          </w:p>
        </w:tc>
      </w:tr>
      <w:tr w:rsidR="002A378E" w:rsidRPr="008B5651" w14:paraId="7DE64400" w14:textId="77777777" w:rsidTr="00F15443">
        <w:trPr>
          <w:trHeight w:val="143"/>
        </w:trPr>
        <w:tc>
          <w:tcPr>
            <w:tcW w:w="1463" w:type="dxa"/>
            <w:vMerge/>
            <w:tcBorders>
              <w:top w:val="nil"/>
              <w:left w:val="nil"/>
              <w:bottom w:val="nil"/>
              <w:right w:val="nil"/>
            </w:tcBorders>
            <w:vAlign w:val="center"/>
            <w:hideMark/>
          </w:tcPr>
          <w:p w14:paraId="1B8D547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7EE139A"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bottom"/>
            <w:hideMark/>
          </w:tcPr>
          <w:p w14:paraId="2372C188" w14:textId="77777777" w:rsidR="00205CBC" w:rsidRDefault="00000000">
            <w:r>
              <w:t>1.59</w:t>
            </w:r>
          </w:p>
        </w:tc>
        <w:tc>
          <w:tcPr>
            <w:tcW w:w="1272" w:type="dxa"/>
            <w:tcBorders>
              <w:top w:val="nil"/>
              <w:left w:val="nil"/>
              <w:bottom w:val="nil"/>
              <w:right w:val="nil"/>
            </w:tcBorders>
            <w:noWrap/>
            <w:vAlign w:val="bottom"/>
            <w:hideMark/>
          </w:tcPr>
          <w:p w14:paraId="047735EF" w14:textId="77777777" w:rsidR="00205CBC" w:rsidRDefault="00000000">
            <w:r>
              <w:t>33.42</w:t>
            </w:r>
          </w:p>
        </w:tc>
        <w:tc>
          <w:tcPr>
            <w:tcW w:w="850" w:type="dxa"/>
            <w:tcBorders>
              <w:top w:val="nil"/>
              <w:left w:val="nil"/>
              <w:bottom w:val="nil"/>
              <w:right w:val="nil"/>
            </w:tcBorders>
            <w:noWrap/>
            <w:vAlign w:val="bottom"/>
            <w:hideMark/>
          </w:tcPr>
          <w:p w14:paraId="6C5CB5CA" w14:textId="77777777" w:rsidR="00205CBC" w:rsidRDefault="00000000">
            <w:r>
              <w:t>0.403</w:t>
            </w:r>
          </w:p>
        </w:tc>
        <w:tc>
          <w:tcPr>
            <w:tcW w:w="1276" w:type="dxa"/>
            <w:tcBorders>
              <w:top w:val="nil"/>
              <w:left w:val="nil"/>
              <w:bottom w:val="nil"/>
              <w:right w:val="nil"/>
            </w:tcBorders>
            <w:noWrap/>
            <w:vAlign w:val="center"/>
            <w:hideMark/>
          </w:tcPr>
          <w:p w14:paraId="3BB6E76A" w14:textId="77777777" w:rsidR="00205CBC" w:rsidRDefault="00000000">
            <w:r>
              <w:t>p = .625</w:t>
            </w:r>
          </w:p>
        </w:tc>
        <w:tc>
          <w:tcPr>
            <w:tcW w:w="851" w:type="dxa"/>
            <w:tcBorders>
              <w:top w:val="nil"/>
              <w:left w:val="nil"/>
              <w:bottom w:val="nil"/>
              <w:right w:val="nil"/>
            </w:tcBorders>
            <w:noWrap/>
            <w:vAlign w:val="bottom"/>
            <w:hideMark/>
          </w:tcPr>
          <w:p w14:paraId="72D8B009" w14:textId="77777777" w:rsidR="00205CBC" w:rsidRDefault="00000000">
            <w:r>
              <w:t>0.019</w:t>
            </w:r>
          </w:p>
        </w:tc>
      </w:tr>
      <w:tr w:rsidR="002A378E" w:rsidRPr="008B5651" w14:paraId="27D19AA4" w14:textId="77777777" w:rsidTr="00F15443">
        <w:trPr>
          <w:trHeight w:val="143"/>
        </w:trPr>
        <w:tc>
          <w:tcPr>
            <w:tcW w:w="1463" w:type="dxa"/>
            <w:tcBorders>
              <w:top w:val="nil"/>
              <w:left w:val="nil"/>
              <w:bottom w:val="nil"/>
              <w:right w:val="nil"/>
            </w:tcBorders>
            <w:noWrap/>
            <w:vAlign w:val="bottom"/>
            <w:hideMark/>
          </w:tcPr>
          <w:p w14:paraId="05CBA213"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70155FEF"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F0E3407"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5EEEF96F"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10E41223"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8987107"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2B34E8BE" w14:textId="77777777" w:rsidR="002A378E" w:rsidRPr="008C2F99" w:rsidRDefault="002A378E" w:rsidP="00DD431E">
            <w:pPr>
              <w:spacing w:after="0" w:line="240" w:lineRule="auto"/>
              <w:jc w:val="center"/>
              <w:rPr>
                <w:rFonts w:eastAsia="Times New Roman"/>
                <w:sz w:val="18"/>
                <w:szCs w:val="18"/>
              </w:rPr>
            </w:pPr>
          </w:p>
        </w:tc>
      </w:tr>
      <w:tr w:rsidR="002A378E" w:rsidRPr="008B5651" w14:paraId="2445F019" w14:textId="77777777" w:rsidTr="00F15443">
        <w:trPr>
          <w:trHeight w:val="143"/>
        </w:trPr>
        <w:tc>
          <w:tcPr>
            <w:tcW w:w="1463" w:type="dxa"/>
            <w:vMerge w:val="restart"/>
            <w:tcBorders>
              <w:top w:val="single" w:sz="4" w:space="0" w:color="auto"/>
              <w:left w:val="nil"/>
              <w:bottom w:val="nil"/>
              <w:right w:val="nil"/>
            </w:tcBorders>
            <w:noWrap/>
            <w:vAlign w:val="center"/>
            <w:hideMark/>
          </w:tcPr>
          <w:p w14:paraId="2F264259" w14:textId="77777777" w:rsidR="002A378E" w:rsidRPr="00A30E3E" w:rsidRDefault="002A378E" w:rsidP="00DD431E">
            <w:pPr>
              <w:spacing w:after="0" w:line="240" w:lineRule="auto"/>
              <w:jc w:val="center"/>
              <w:rPr>
                <w:rFonts w:eastAsia="Times New Roman"/>
                <w:bCs/>
                <w:color w:val="000000"/>
                <w:sz w:val="22"/>
                <w:szCs w:val="20"/>
              </w:rPr>
            </w:pPr>
            <w:r>
              <w:t>Delay</w:t>
            </w:r>
          </w:p>
        </w:tc>
        <w:tc>
          <w:tcPr>
            <w:tcW w:w="2538" w:type="dxa"/>
            <w:tcBorders>
              <w:top w:val="single" w:sz="4" w:space="0" w:color="auto"/>
              <w:left w:val="nil"/>
              <w:bottom w:val="nil"/>
              <w:right w:val="nil"/>
            </w:tcBorders>
            <w:vAlign w:val="center"/>
            <w:hideMark/>
          </w:tcPr>
          <w:p w14:paraId="69CC0FB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5483F94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6600220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2E25D6E2"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33.186</w:t>
            </w:r>
          </w:p>
        </w:tc>
        <w:tc>
          <w:tcPr>
            <w:tcW w:w="1276" w:type="dxa"/>
            <w:tcBorders>
              <w:top w:val="single" w:sz="4" w:space="0" w:color="auto"/>
              <w:left w:val="nil"/>
              <w:bottom w:val="nil"/>
              <w:right w:val="nil"/>
            </w:tcBorders>
            <w:noWrap/>
            <w:vAlign w:val="center"/>
            <w:hideMark/>
          </w:tcPr>
          <w:p w14:paraId="7CB1775C"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3F3D0DC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612</w:t>
            </w:r>
          </w:p>
        </w:tc>
      </w:tr>
      <w:tr w:rsidR="002A378E" w:rsidRPr="008B5651" w14:paraId="43A4EE99" w14:textId="77777777" w:rsidTr="00710772">
        <w:trPr>
          <w:trHeight w:val="143"/>
        </w:trPr>
        <w:tc>
          <w:tcPr>
            <w:tcW w:w="1463" w:type="dxa"/>
            <w:vMerge/>
            <w:tcBorders>
              <w:top w:val="single" w:sz="4" w:space="0" w:color="auto"/>
              <w:left w:val="nil"/>
              <w:bottom w:val="nil"/>
              <w:right w:val="nil"/>
            </w:tcBorders>
            <w:vAlign w:val="center"/>
            <w:hideMark/>
          </w:tcPr>
          <w:p w14:paraId="2A18A50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E7FF55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5DF4688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1.96</w:t>
            </w:r>
          </w:p>
        </w:tc>
        <w:tc>
          <w:tcPr>
            <w:tcW w:w="1272" w:type="dxa"/>
            <w:tcBorders>
              <w:top w:val="nil"/>
              <w:left w:val="nil"/>
              <w:bottom w:val="nil"/>
              <w:right w:val="nil"/>
            </w:tcBorders>
            <w:noWrap/>
            <w:vAlign w:val="bottom"/>
            <w:hideMark/>
          </w:tcPr>
          <w:p w14:paraId="045B771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41.15</w:t>
            </w:r>
          </w:p>
        </w:tc>
        <w:tc>
          <w:tcPr>
            <w:tcW w:w="850" w:type="dxa"/>
            <w:tcBorders>
              <w:top w:val="nil"/>
              <w:left w:val="nil"/>
              <w:bottom w:val="nil"/>
              <w:right w:val="nil"/>
            </w:tcBorders>
            <w:noWrap/>
            <w:vAlign w:val="bottom"/>
            <w:hideMark/>
          </w:tcPr>
          <w:p w14:paraId="43F4519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3.361</w:t>
            </w:r>
          </w:p>
        </w:tc>
        <w:tc>
          <w:tcPr>
            <w:tcW w:w="1276" w:type="dxa"/>
            <w:tcBorders>
              <w:top w:val="nil"/>
              <w:left w:val="nil"/>
              <w:bottom w:val="nil"/>
              <w:right w:val="nil"/>
            </w:tcBorders>
            <w:noWrap/>
            <w:vAlign w:val="center"/>
            <w:hideMark/>
          </w:tcPr>
          <w:p w14:paraId="0EEC174F"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.045</w:t>
            </w:r>
          </w:p>
        </w:tc>
        <w:tc>
          <w:tcPr>
            <w:tcW w:w="851" w:type="dxa"/>
            <w:tcBorders>
              <w:top w:val="nil"/>
              <w:left w:val="nil"/>
              <w:bottom w:val="nil"/>
              <w:right w:val="nil"/>
            </w:tcBorders>
            <w:noWrap/>
            <w:vAlign w:val="bottom"/>
          </w:tcPr>
          <w:p w14:paraId="1246DD50"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0.138</w:t>
            </w:r>
          </w:p>
        </w:tc>
      </w:tr>
      <w:tr w:rsidR="002A378E" w:rsidRPr="008B5651" w14:paraId="3D59F59A" w14:textId="77777777" w:rsidTr="00710772">
        <w:trPr>
          <w:trHeight w:val="143"/>
        </w:trPr>
        <w:tc>
          <w:tcPr>
            <w:tcW w:w="1463" w:type="dxa"/>
            <w:vMerge/>
            <w:tcBorders>
              <w:top w:val="single" w:sz="4" w:space="0" w:color="auto"/>
              <w:left w:val="nil"/>
              <w:bottom w:val="nil"/>
              <w:right w:val="nil"/>
            </w:tcBorders>
            <w:vAlign w:val="center"/>
            <w:hideMark/>
          </w:tcPr>
          <w:p w14:paraId="296247B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A64F830"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4E922DB1" w14:textId="77777777" w:rsidR="00205CBC" w:rsidRDefault="00000000">
            <w:r>
              <w:rPr>
                <w:color w:val="1F4E9E"/>
              </w:rPr>
              <w:t>1</w:t>
            </w:r>
          </w:p>
        </w:tc>
        <w:tc>
          <w:tcPr>
            <w:tcW w:w="1272" w:type="dxa"/>
            <w:tcBorders>
              <w:top w:val="nil"/>
              <w:left w:val="nil"/>
              <w:bottom w:val="nil"/>
              <w:right w:val="nil"/>
            </w:tcBorders>
            <w:noWrap/>
            <w:vAlign w:val="bottom"/>
            <w:hideMark/>
          </w:tcPr>
          <w:p w14:paraId="58EFBA7D" w14:textId="77777777" w:rsidR="00205CBC" w:rsidRDefault="00000000">
            <w:r>
              <w:rPr>
                <w:color w:val="1F4E9E"/>
              </w:rPr>
              <w:t>21</w:t>
            </w:r>
          </w:p>
        </w:tc>
        <w:tc>
          <w:tcPr>
            <w:tcW w:w="850" w:type="dxa"/>
            <w:tcBorders>
              <w:top w:val="nil"/>
              <w:left w:val="nil"/>
              <w:bottom w:val="nil"/>
              <w:right w:val="nil"/>
            </w:tcBorders>
            <w:noWrap/>
            <w:vAlign w:val="bottom"/>
            <w:hideMark/>
          </w:tcPr>
          <w:p w14:paraId="7FD2296B" w14:textId="77777777" w:rsidR="00205CBC" w:rsidRDefault="00000000">
            <w:r>
              <w:rPr>
                <w:color w:val="1F4E9E"/>
              </w:rPr>
              <w:t>35.238</w:t>
            </w:r>
          </w:p>
        </w:tc>
        <w:tc>
          <w:tcPr>
            <w:tcW w:w="1276" w:type="dxa"/>
            <w:tcBorders>
              <w:top w:val="nil"/>
              <w:left w:val="nil"/>
              <w:bottom w:val="nil"/>
              <w:right w:val="nil"/>
            </w:tcBorders>
            <w:noWrap/>
            <w:vAlign w:val="center"/>
            <w:hideMark/>
          </w:tcPr>
          <w:p w14:paraId="3C8BF02C" w14:textId="77777777" w:rsidR="00205CBC" w:rsidRDefault="00000000">
            <w:r>
              <w:t>p &lt; .001</w:t>
            </w:r>
          </w:p>
        </w:tc>
        <w:tc>
          <w:tcPr>
            <w:tcW w:w="851" w:type="dxa"/>
            <w:tcBorders>
              <w:top w:val="nil"/>
              <w:left w:val="nil"/>
              <w:bottom w:val="nil"/>
              <w:right w:val="nil"/>
            </w:tcBorders>
            <w:noWrap/>
            <w:vAlign w:val="bottom"/>
          </w:tcPr>
          <w:p w14:paraId="5F899D07" w14:textId="77777777" w:rsidR="00205CBC" w:rsidRDefault="00000000">
            <w:r>
              <w:rPr>
                <w:color w:val="1F4E9E"/>
              </w:rPr>
              <w:t>0.627</w:t>
            </w:r>
          </w:p>
        </w:tc>
      </w:tr>
      <w:tr w:rsidR="002A378E" w:rsidRPr="008B5651" w14:paraId="62C58246" w14:textId="77777777" w:rsidTr="00710772">
        <w:trPr>
          <w:trHeight w:val="143"/>
        </w:trPr>
        <w:tc>
          <w:tcPr>
            <w:tcW w:w="1463" w:type="dxa"/>
            <w:vMerge/>
            <w:tcBorders>
              <w:top w:val="single" w:sz="4" w:space="0" w:color="auto"/>
              <w:left w:val="nil"/>
              <w:bottom w:val="nil"/>
              <w:right w:val="nil"/>
            </w:tcBorders>
            <w:vAlign w:val="center"/>
            <w:hideMark/>
          </w:tcPr>
          <w:p w14:paraId="3F2FE98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C1F2FBF"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43777958"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1.92</w:t>
            </w:r>
          </w:p>
        </w:tc>
        <w:tc>
          <w:tcPr>
            <w:tcW w:w="1272" w:type="dxa"/>
            <w:tcBorders>
              <w:top w:val="nil"/>
              <w:left w:val="nil"/>
              <w:bottom w:val="nil"/>
              <w:right w:val="nil"/>
            </w:tcBorders>
            <w:noWrap/>
            <w:vAlign w:val="bottom"/>
            <w:hideMark/>
          </w:tcPr>
          <w:p w14:paraId="5976FF55"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40.42</w:t>
            </w:r>
          </w:p>
        </w:tc>
        <w:tc>
          <w:tcPr>
            <w:tcW w:w="850" w:type="dxa"/>
            <w:tcBorders>
              <w:top w:val="nil"/>
              <w:left w:val="nil"/>
              <w:bottom w:val="nil"/>
              <w:right w:val="nil"/>
            </w:tcBorders>
            <w:noWrap/>
            <w:vAlign w:val="bottom"/>
            <w:hideMark/>
          </w:tcPr>
          <w:p w14:paraId="452E3BF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19BF55A3"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.042</w:t>
            </w:r>
          </w:p>
        </w:tc>
        <w:tc>
          <w:tcPr>
            <w:tcW w:w="851" w:type="dxa"/>
            <w:tcBorders>
              <w:top w:val="nil"/>
              <w:left w:val="nil"/>
              <w:bottom w:val="nil"/>
              <w:right w:val="nil"/>
            </w:tcBorders>
            <w:noWrap/>
            <w:vAlign w:val="bottom"/>
          </w:tcPr>
          <w:p w14:paraId="5C451F10"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0.142</w:t>
            </w:r>
          </w:p>
        </w:tc>
      </w:tr>
      <w:tr w:rsidR="002A378E" w:rsidRPr="008B5651" w14:paraId="5DBD5A76" w14:textId="77777777" w:rsidTr="00710772">
        <w:trPr>
          <w:trHeight w:val="143"/>
        </w:trPr>
        <w:tc>
          <w:tcPr>
            <w:tcW w:w="1463" w:type="dxa"/>
            <w:vMerge/>
            <w:tcBorders>
              <w:top w:val="single" w:sz="4" w:space="0" w:color="auto"/>
              <w:left w:val="nil"/>
              <w:bottom w:val="nil"/>
              <w:right w:val="nil"/>
            </w:tcBorders>
            <w:vAlign w:val="center"/>
            <w:hideMark/>
          </w:tcPr>
          <w:p w14:paraId="4E23B2FC"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A965B8B"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0542AFDA" w14:textId="77777777" w:rsidR="00205CBC" w:rsidRDefault="00000000">
            <w:r>
              <w:rPr>
                <w:color w:val="1F4E9E"/>
              </w:rPr>
              <w:t>1</w:t>
            </w:r>
          </w:p>
        </w:tc>
        <w:tc>
          <w:tcPr>
            <w:tcW w:w="1272" w:type="dxa"/>
            <w:tcBorders>
              <w:top w:val="nil"/>
              <w:left w:val="nil"/>
              <w:bottom w:val="nil"/>
              <w:right w:val="nil"/>
            </w:tcBorders>
            <w:noWrap/>
            <w:vAlign w:val="bottom"/>
            <w:hideMark/>
          </w:tcPr>
          <w:p w14:paraId="6A60F531" w14:textId="77777777" w:rsidR="00205CBC" w:rsidRDefault="00000000">
            <w:r>
              <w:rPr>
                <w:color w:val="1F4E9E"/>
              </w:rPr>
              <w:t>21</w:t>
            </w:r>
          </w:p>
        </w:tc>
        <w:tc>
          <w:tcPr>
            <w:tcW w:w="850" w:type="dxa"/>
            <w:tcBorders>
              <w:top w:val="nil"/>
              <w:left w:val="nil"/>
              <w:bottom w:val="nil"/>
              <w:right w:val="nil"/>
            </w:tcBorders>
            <w:noWrap/>
            <w:vAlign w:val="bottom"/>
            <w:hideMark/>
          </w:tcPr>
          <w:p w14:paraId="24AB3F14" w14:textId="77777777" w:rsidR="00205CBC" w:rsidRDefault="00000000">
            <w:r>
              <w:rPr>
                <w:color w:val="1F4E9E"/>
              </w:rPr>
              <w:t>11.898</w:t>
            </w:r>
          </w:p>
        </w:tc>
        <w:tc>
          <w:tcPr>
            <w:tcW w:w="1276" w:type="dxa"/>
            <w:tcBorders>
              <w:top w:val="nil"/>
              <w:left w:val="nil"/>
              <w:bottom w:val="nil"/>
              <w:right w:val="nil"/>
            </w:tcBorders>
            <w:noWrap/>
            <w:vAlign w:val="center"/>
            <w:hideMark/>
          </w:tcPr>
          <w:p w14:paraId="589FB9C8" w14:textId="77777777" w:rsidR="00205CBC" w:rsidRDefault="00000000">
            <w:r>
              <w:rPr>
                <w:color w:val="1F4E9E"/>
              </w:rPr>
              <w:t>p = .002</w:t>
            </w:r>
          </w:p>
        </w:tc>
        <w:tc>
          <w:tcPr>
            <w:tcW w:w="851" w:type="dxa"/>
            <w:tcBorders>
              <w:top w:val="nil"/>
              <w:left w:val="nil"/>
              <w:bottom w:val="nil"/>
              <w:right w:val="nil"/>
            </w:tcBorders>
            <w:noWrap/>
            <w:vAlign w:val="bottom"/>
          </w:tcPr>
          <w:p w14:paraId="02A70D7E" w14:textId="77777777" w:rsidR="00205CBC" w:rsidRDefault="00000000">
            <w:r>
              <w:rPr>
                <w:color w:val="1F4E9E"/>
              </w:rPr>
              <w:t>0.362</w:t>
            </w:r>
          </w:p>
        </w:tc>
      </w:tr>
      <w:tr w:rsidR="002A378E" w:rsidRPr="008B5651" w14:paraId="2D67BB24" w14:textId="77777777" w:rsidTr="00F15443">
        <w:trPr>
          <w:trHeight w:val="143"/>
        </w:trPr>
        <w:tc>
          <w:tcPr>
            <w:tcW w:w="1463" w:type="dxa"/>
            <w:vMerge/>
            <w:tcBorders>
              <w:top w:val="single" w:sz="4" w:space="0" w:color="auto"/>
              <w:left w:val="nil"/>
              <w:bottom w:val="nil"/>
              <w:right w:val="nil"/>
            </w:tcBorders>
            <w:vAlign w:val="center"/>
            <w:hideMark/>
          </w:tcPr>
          <w:p w14:paraId="444449D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AD1C04F"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2BCB4C33" w14:textId="77777777" w:rsidR="00205CBC" w:rsidRDefault="00000000">
            <w:r>
              <w:rPr>
                <w:color w:val="1F4E9E"/>
              </w:rPr>
              <w:t>1.70</w:t>
            </w:r>
          </w:p>
        </w:tc>
        <w:tc>
          <w:tcPr>
            <w:tcW w:w="1272" w:type="dxa"/>
            <w:tcBorders>
              <w:top w:val="nil"/>
              <w:left w:val="nil"/>
              <w:bottom w:val="nil"/>
              <w:right w:val="nil"/>
            </w:tcBorders>
            <w:noWrap/>
            <w:vAlign w:val="bottom"/>
            <w:hideMark/>
          </w:tcPr>
          <w:p w14:paraId="31370E87" w14:textId="77777777" w:rsidR="00205CBC" w:rsidRDefault="00000000">
            <w:r>
              <w:rPr>
                <w:color w:val="1F4E9E"/>
              </w:rPr>
              <w:t>35.61</w:t>
            </w:r>
          </w:p>
        </w:tc>
        <w:tc>
          <w:tcPr>
            <w:tcW w:w="850" w:type="dxa"/>
            <w:tcBorders>
              <w:top w:val="nil"/>
              <w:left w:val="nil"/>
              <w:bottom w:val="nil"/>
              <w:right w:val="nil"/>
            </w:tcBorders>
            <w:noWrap/>
            <w:vAlign w:val="bottom"/>
            <w:hideMark/>
          </w:tcPr>
          <w:p w14:paraId="28352E41" w14:textId="77777777" w:rsidR="00205CBC" w:rsidRDefault="00000000">
            <w:r>
              <w:rPr>
                <w:color w:val="1F4E9E"/>
              </w:rPr>
              <w:t>0.524</w:t>
            </w:r>
          </w:p>
        </w:tc>
        <w:tc>
          <w:tcPr>
            <w:tcW w:w="1276" w:type="dxa"/>
            <w:tcBorders>
              <w:top w:val="nil"/>
              <w:left w:val="nil"/>
              <w:bottom w:val="nil"/>
              <w:right w:val="nil"/>
            </w:tcBorders>
            <w:noWrap/>
            <w:vAlign w:val="center"/>
            <w:hideMark/>
          </w:tcPr>
          <w:p w14:paraId="1B3C4BF5" w14:textId="77777777" w:rsidR="00205CBC" w:rsidRDefault="00000000">
            <w:r>
              <w:rPr>
                <w:color w:val="1F4E9E"/>
              </w:rPr>
              <w:t>p = .567</w:t>
            </w:r>
          </w:p>
        </w:tc>
        <w:tc>
          <w:tcPr>
            <w:tcW w:w="851" w:type="dxa"/>
            <w:tcBorders>
              <w:top w:val="nil"/>
              <w:left w:val="nil"/>
              <w:bottom w:val="nil"/>
              <w:right w:val="nil"/>
            </w:tcBorders>
            <w:noWrap/>
            <w:vAlign w:val="bottom"/>
            <w:hideMark/>
          </w:tcPr>
          <w:p w14:paraId="733AAF65" w14:textId="77777777" w:rsidR="00205CBC" w:rsidRDefault="00000000">
            <w:r>
              <w:rPr>
                <w:color w:val="1F4E9E"/>
              </w:rPr>
              <w:t>0.024</w:t>
            </w:r>
          </w:p>
        </w:tc>
      </w:tr>
      <w:tr w:rsidR="002A378E" w:rsidRPr="008B5651" w14:paraId="69D0E436" w14:textId="77777777" w:rsidTr="00F15443">
        <w:trPr>
          <w:trHeight w:val="143"/>
        </w:trPr>
        <w:tc>
          <w:tcPr>
            <w:tcW w:w="1463" w:type="dxa"/>
            <w:vMerge/>
            <w:tcBorders>
              <w:top w:val="single" w:sz="4" w:space="0" w:color="auto"/>
              <w:left w:val="nil"/>
              <w:bottom w:val="nil"/>
              <w:right w:val="nil"/>
            </w:tcBorders>
            <w:vAlign w:val="center"/>
            <w:hideMark/>
          </w:tcPr>
          <w:p w14:paraId="7F831AE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3AB42E4"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center"/>
            <w:hideMark/>
          </w:tcPr>
          <w:p w14:paraId="3C320928" w14:textId="77777777" w:rsidR="00205CBC" w:rsidRDefault="00000000">
            <w:r>
              <w:rPr>
                <w:color w:val="1F4E9E"/>
              </w:rPr>
              <w:t>1.74</w:t>
            </w:r>
          </w:p>
        </w:tc>
        <w:tc>
          <w:tcPr>
            <w:tcW w:w="1272" w:type="dxa"/>
            <w:tcBorders>
              <w:top w:val="nil"/>
              <w:left w:val="nil"/>
              <w:bottom w:val="nil"/>
              <w:right w:val="nil"/>
            </w:tcBorders>
            <w:noWrap/>
            <w:vAlign w:val="center"/>
            <w:hideMark/>
          </w:tcPr>
          <w:p w14:paraId="669625AF" w14:textId="77777777" w:rsidR="00205CBC" w:rsidRDefault="00000000">
            <w:r>
              <w:rPr>
                <w:color w:val="1F4E9E"/>
              </w:rPr>
              <w:t>36.45</w:t>
            </w:r>
          </w:p>
        </w:tc>
        <w:tc>
          <w:tcPr>
            <w:tcW w:w="850" w:type="dxa"/>
            <w:tcBorders>
              <w:top w:val="nil"/>
              <w:left w:val="nil"/>
              <w:bottom w:val="nil"/>
              <w:right w:val="nil"/>
            </w:tcBorders>
            <w:noWrap/>
            <w:vAlign w:val="center"/>
            <w:hideMark/>
          </w:tcPr>
          <w:p w14:paraId="2930A8D5" w14:textId="77777777" w:rsidR="00205CBC" w:rsidRDefault="00000000">
            <w:r>
              <w:rPr>
                <w:color w:val="1F4E9E"/>
              </w:rPr>
              <w:t>0.508</w:t>
            </w:r>
          </w:p>
        </w:tc>
        <w:tc>
          <w:tcPr>
            <w:tcW w:w="1276" w:type="dxa"/>
            <w:tcBorders>
              <w:top w:val="nil"/>
              <w:left w:val="nil"/>
              <w:bottom w:val="nil"/>
              <w:right w:val="nil"/>
            </w:tcBorders>
            <w:noWrap/>
            <w:vAlign w:val="center"/>
            <w:hideMark/>
          </w:tcPr>
          <w:p w14:paraId="4AC9A954" w14:textId="77777777" w:rsidR="00205CBC" w:rsidRDefault="00000000">
            <w:r>
              <w:rPr>
                <w:color w:val="1F4E9E"/>
              </w:rPr>
              <w:t>p = .580</w:t>
            </w:r>
          </w:p>
        </w:tc>
        <w:tc>
          <w:tcPr>
            <w:tcW w:w="851" w:type="dxa"/>
            <w:tcBorders>
              <w:top w:val="nil"/>
              <w:left w:val="nil"/>
              <w:bottom w:val="nil"/>
              <w:right w:val="nil"/>
            </w:tcBorders>
            <w:noWrap/>
            <w:vAlign w:val="bottom"/>
            <w:hideMark/>
          </w:tcPr>
          <w:p w14:paraId="3571CCF7" w14:textId="77777777" w:rsidR="00205CBC" w:rsidRDefault="00000000">
            <w:r>
              <w:rPr>
                <w:color w:val="1F4E9E"/>
              </w:rPr>
              <w:t>0.024</w:t>
            </w:r>
          </w:p>
        </w:tc>
      </w:tr>
      <w:tr w:rsidR="002A378E" w:rsidRPr="008B5651" w14:paraId="2601EC3C" w14:textId="77777777" w:rsidTr="00F15443">
        <w:trPr>
          <w:trHeight w:val="143"/>
        </w:trPr>
        <w:tc>
          <w:tcPr>
            <w:tcW w:w="1463" w:type="dxa"/>
            <w:vMerge/>
            <w:tcBorders>
              <w:top w:val="single" w:sz="4" w:space="0" w:color="auto"/>
              <w:left w:val="nil"/>
              <w:bottom w:val="nil"/>
              <w:right w:val="nil"/>
            </w:tcBorders>
            <w:vAlign w:val="center"/>
            <w:hideMark/>
          </w:tcPr>
          <w:p w14:paraId="0DCFEC9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CB367AA"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center"/>
            <w:hideMark/>
          </w:tcPr>
          <w:p w14:paraId="099CE1AB" w14:textId="77777777" w:rsidR="00205CBC" w:rsidRDefault="00000000">
            <w:r>
              <w:rPr>
                <w:color w:val="1F4E9E"/>
              </w:rPr>
              <w:t>1</w:t>
            </w:r>
          </w:p>
        </w:tc>
        <w:tc>
          <w:tcPr>
            <w:tcW w:w="1272" w:type="dxa"/>
            <w:tcBorders>
              <w:top w:val="nil"/>
              <w:left w:val="nil"/>
              <w:bottom w:val="nil"/>
              <w:right w:val="nil"/>
            </w:tcBorders>
            <w:noWrap/>
            <w:vAlign w:val="center"/>
            <w:hideMark/>
          </w:tcPr>
          <w:p w14:paraId="628A08CD" w14:textId="77777777" w:rsidR="00205CBC" w:rsidRDefault="00000000">
            <w:r>
              <w:rPr>
                <w:color w:val="1F4E9E"/>
              </w:rPr>
              <w:t>21</w:t>
            </w:r>
          </w:p>
        </w:tc>
        <w:tc>
          <w:tcPr>
            <w:tcW w:w="850" w:type="dxa"/>
            <w:tcBorders>
              <w:top w:val="nil"/>
              <w:left w:val="nil"/>
              <w:bottom w:val="nil"/>
              <w:right w:val="nil"/>
            </w:tcBorders>
            <w:noWrap/>
            <w:vAlign w:val="center"/>
            <w:hideMark/>
          </w:tcPr>
          <w:p w14:paraId="64809CB4" w14:textId="77777777" w:rsidR="00205CBC" w:rsidRDefault="00000000">
            <w:r>
              <w:t>18.891</w:t>
            </w:r>
          </w:p>
        </w:tc>
        <w:tc>
          <w:tcPr>
            <w:tcW w:w="1276" w:type="dxa"/>
            <w:tcBorders>
              <w:top w:val="nil"/>
              <w:left w:val="nil"/>
              <w:bottom w:val="nil"/>
              <w:right w:val="nil"/>
            </w:tcBorders>
            <w:noWrap/>
            <w:vAlign w:val="center"/>
            <w:hideMark/>
          </w:tcPr>
          <w:p w14:paraId="35088560" w14:textId="77777777" w:rsidR="00205CBC" w:rsidRDefault="00000000">
            <w:r>
              <w:t>p &lt; .001</w:t>
            </w:r>
          </w:p>
        </w:tc>
        <w:tc>
          <w:tcPr>
            <w:tcW w:w="851" w:type="dxa"/>
            <w:tcBorders>
              <w:top w:val="nil"/>
              <w:left w:val="nil"/>
              <w:bottom w:val="nil"/>
              <w:right w:val="nil"/>
            </w:tcBorders>
            <w:noWrap/>
            <w:vAlign w:val="bottom"/>
            <w:hideMark/>
          </w:tcPr>
          <w:p w14:paraId="22F18181" w14:textId="77777777" w:rsidR="00205CBC" w:rsidRDefault="00000000">
            <w:r>
              <w:t>0.474</w:t>
            </w:r>
          </w:p>
        </w:tc>
      </w:tr>
      <w:tr w:rsidR="002A378E" w:rsidRPr="008B5651" w14:paraId="7461DD68" w14:textId="77777777" w:rsidTr="00F15443">
        <w:trPr>
          <w:trHeight w:val="143"/>
        </w:trPr>
        <w:tc>
          <w:tcPr>
            <w:tcW w:w="1463" w:type="dxa"/>
            <w:vMerge/>
            <w:tcBorders>
              <w:top w:val="single" w:sz="4" w:space="0" w:color="auto"/>
              <w:left w:val="nil"/>
              <w:bottom w:val="nil"/>
              <w:right w:val="nil"/>
            </w:tcBorders>
            <w:vAlign w:val="center"/>
            <w:hideMark/>
          </w:tcPr>
          <w:p w14:paraId="32D0806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3D9E721"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center"/>
            <w:hideMark/>
          </w:tcPr>
          <w:p w14:paraId="598480F4" w14:textId="77777777" w:rsidR="00205CBC" w:rsidRDefault="00000000">
            <w:r>
              <w:rPr>
                <w:color w:val="1F4E9E"/>
              </w:rPr>
              <w:t>1</w:t>
            </w:r>
          </w:p>
        </w:tc>
        <w:tc>
          <w:tcPr>
            <w:tcW w:w="1272" w:type="dxa"/>
            <w:tcBorders>
              <w:top w:val="nil"/>
              <w:left w:val="nil"/>
              <w:bottom w:val="nil"/>
              <w:right w:val="nil"/>
            </w:tcBorders>
            <w:noWrap/>
            <w:vAlign w:val="center"/>
            <w:hideMark/>
          </w:tcPr>
          <w:p w14:paraId="4B53F1AC" w14:textId="77777777" w:rsidR="00205CBC" w:rsidRDefault="00000000">
            <w:r>
              <w:rPr>
                <w:color w:val="1F4E9E"/>
              </w:rPr>
              <w:t>21</w:t>
            </w:r>
          </w:p>
        </w:tc>
        <w:tc>
          <w:tcPr>
            <w:tcW w:w="850" w:type="dxa"/>
            <w:tcBorders>
              <w:top w:val="nil"/>
              <w:left w:val="nil"/>
              <w:bottom w:val="nil"/>
              <w:right w:val="nil"/>
            </w:tcBorders>
            <w:noWrap/>
            <w:vAlign w:val="center"/>
            <w:hideMark/>
          </w:tcPr>
          <w:p w14:paraId="6E6B35F0" w14:textId="77777777" w:rsidR="00205CBC" w:rsidRDefault="00000000">
            <w:r>
              <w:t>0.751</w:t>
            </w:r>
          </w:p>
        </w:tc>
        <w:tc>
          <w:tcPr>
            <w:tcW w:w="1276" w:type="dxa"/>
            <w:tcBorders>
              <w:top w:val="nil"/>
              <w:left w:val="nil"/>
              <w:bottom w:val="nil"/>
              <w:right w:val="nil"/>
            </w:tcBorders>
            <w:noWrap/>
            <w:vAlign w:val="center"/>
            <w:hideMark/>
          </w:tcPr>
          <w:p w14:paraId="22012BF4" w14:textId="77777777" w:rsidR="00205CBC" w:rsidRDefault="00000000">
            <w:r>
              <w:t>p = .396</w:t>
            </w:r>
          </w:p>
        </w:tc>
        <w:tc>
          <w:tcPr>
            <w:tcW w:w="851" w:type="dxa"/>
            <w:tcBorders>
              <w:top w:val="nil"/>
              <w:left w:val="nil"/>
              <w:bottom w:val="nil"/>
              <w:right w:val="nil"/>
            </w:tcBorders>
            <w:noWrap/>
            <w:vAlign w:val="bottom"/>
            <w:hideMark/>
          </w:tcPr>
          <w:p w14:paraId="21FFFB8C" w14:textId="77777777" w:rsidR="00205CBC" w:rsidRDefault="00000000">
            <w:r>
              <w:t>0.035</w:t>
            </w:r>
          </w:p>
        </w:tc>
      </w:tr>
      <w:tr w:rsidR="002A378E" w:rsidRPr="008B5651" w14:paraId="22AF2D77" w14:textId="77777777" w:rsidTr="00F15443">
        <w:trPr>
          <w:trHeight w:val="143"/>
        </w:trPr>
        <w:tc>
          <w:tcPr>
            <w:tcW w:w="1463" w:type="dxa"/>
            <w:vMerge/>
            <w:tcBorders>
              <w:top w:val="single" w:sz="4" w:space="0" w:color="auto"/>
              <w:left w:val="nil"/>
              <w:bottom w:val="nil"/>
              <w:right w:val="nil"/>
            </w:tcBorders>
            <w:vAlign w:val="center"/>
            <w:hideMark/>
          </w:tcPr>
          <w:p w14:paraId="6977DDC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6843D5D"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center"/>
            <w:hideMark/>
          </w:tcPr>
          <w:p w14:paraId="0A32EE5B" w14:textId="77777777" w:rsidR="00205CBC" w:rsidRDefault="00000000">
            <w:r>
              <w:t>1.95</w:t>
            </w:r>
          </w:p>
        </w:tc>
        <w:tc>
          <w:tcPr>
            <w:tcW w:w="1272" w:type="dxa"/>
            <w:tcBorders>
              <w:top w:val="nil"/>
              <w:left w:val="nil"/>
              <w:bottom w:val="nil"/>
              <w:right w:val="nil"/>
            </w:tcBorders>
            <w:noWrap/>
            <w:vAlign w:val="center"/>
            <w:hideMark/>
          </w:tcPr>
          <w:p w14:paraId="5EEEDD2B" w14:textId="77777777" w:rsidR="00205CBC" w:rsidRDefault="00000000">
            <w:r>
              <w:t>40.89</w:t>
            </w:r>
          </w:p>
        </w:tc>
        <w:tc>
          <w:tcPr>
            <w:tcW w:w="850" w:type="dxa"/>
            <w:tcBorders>
              <w:top w:val="nil"/>
              <w:left w:val="nil"/>
              <w:bottom w:val="nil"/>
              <w:right w:val="nil"/>
            </w:tcBorders>
            <w:noWrap/>
            <w:vAlign w:val="center"/>
            <w:hideMark/>
          </w:tcPr>
          <w:p w14:paraId="0CA798BC" w14:textId="77777777" w:rsidR="00205CBC" w:rsidRDefault="00000000">
            <w:r>
              <w:t>1.855</w:t>
            </w:r>
          </w:p>
        </w:tc>
        <w:tc>
          <w:tcPr>
            <w:tcW w:w="1276" w:type="dxa"/>
            <w:tcBorders>
              <w:top w:val="nil"/>
              <w:left w:val="nil"/>
              <w:bottom w:val="nil"/>
              <w:right w:val="nil"/>
            </w:tcBorders>
            <w:noWrap/>
            <w:vAlign w:val="center"/>
            <w:hideMark/>
          </w:tcPr>
          <w:p w14:paraId="149B1D2C" w14:textId="77777777" w:rsidR="00205CBC" w:rsidRDefault="00000000">
            <w:r>
              <w:t>p = .170</w:t>
            </w:r>
          </w:p>
        </w:tc>
        <w:tc>
          <w:tcPr>
            <w:tcW w:w="851" w:type="dxa"/>
            <w:tcBorders>
              <w:top w:val="nil"/>
              <w:left w:val="nil"/>
              <w:bottom w:val="nil"/>
              <w:right w:val="nil"/>
            </w:tcBorders>
            <w:noWrap/>
            <w:vAlign w:val="bottom"/>
            <w:hideMark/>
          </w:tcPr>
          <w:p w14:paraId="1DBACF4B" w14:textId="77777777" w:rsidR="00205CBC" w:rsidRDefault="00000000">
            <w:r>
              <w:t>0.081</w:t>
            </w:r>
          </w:p>
        </w:tc>
      </w:tr>
      <w:tr w:rsidR="002A378E" w:rsidRPr="008B5651" w14:paraId="35D2057E" w14:textId="77777777" w:rsidTr="00F15443">
        <w:trPr>
          <w:trHeight w:val="143"/>
        </w:trPr>
        <w:tc>
          <w:tcPr>
            <w:tcW w:w="1463" w:type="dxa"/>
            <w:vMerge/>
            <w:tcBorders>
              <w:top w:val="single" w:sz="4" w:space="0" w:color="auto"/>
              <w:left w:val="nil"/>
              <w:bottom w:val="nil"/>
              <w:right w:val="nil"/>
            </w:tcBorders>
            <w:vAlign w:val="center"/>
            <w:hideMark/>
          </w:tcPr>
          <w:p w14:paraId="356FF11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27FF3EB"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center"/>
            <w:hideMark/>
          </w:tcPr>
          <w:p w14:paraId="21BD3093" w14:textId="77777777" w:rsidR="00205CBC" w:rsidRDefault="00000000">
            <w:r>
              <w:t>1.86</w:t>
            </w:r>
          </w:p>
        </w:tc>
        <w:tc>
          <w:tcPr>
            <w:tcW w:w="1272" w:type="dxa"/>
            <w:tcBorders>
              <w:top w:val="nil"/>
              <w:left w:val="nil"/>
              <w:bottom w:val="nil"/>
              <w:right w:val="nil"/>
            </w:tcBorders>
            <w:noWrap/>
            <w:vAlign w:val="center"/>
            <w:hideMark/>
          </w:tcPr>
          <w:p w14:paraId="71FD45B3" w14:textId="77777777" w:rsidR="00205CBC" w:rsidRDefault="00000000">
            <w:r>
              <w:t>39.04</w:t>
            </w:r>
          </w:p>
        </w:tc>
        <w:tc>
          <w:tcPr>
            <w:tcW w:w="850" w:type="dxa"/>
            <w:tcBorders>
              <w:top w:val="nil"/>
              <w:left w:val="nil"/>
              <w:bottom w:val="nil"/>
              <w:right w:val="nil"/>
            </w:tcBorders>
            <w:noWrap/>
            <w:vAlign w:val="center"/>
            <w:hideMark/>
          </w:tcPr>
          <w:p w14:paraId="1C67DD1D" w14:textId="77777777" w:rsidR="00205CBC" w:rsidRDefault="00000000">
            <w:r>
              <w:t>0.946</w:t>
            </w:r>
          </w:p>
        </w:tc>
        <w:tc>
          <w:tcPr>
            <w:tcW w:w="1276" w:type="dxa"/>
            <w:tcBorders>
              <w:top w:val="nil"/>
              <w:left w:val="nil"/>
              <w:bottom w:val="nil"/>
              <w:right w:val="nil"/>
            </w:tcBorders>
            <w:noWrap/>
            <w:vAlign w:val="center"/>
            <w:hideMark/>
          </w:tcPr>
          <w:p w14:paraId="579A6964" w14:textId="77777777" w:rsidR="00205CBC" w:rsidRDefault="00000000">
            <w:r>
              <w:t>p = .391</w:t>
            </w:r>
          </w:p>
        </w:tc>
        <w:tc>
          <w:tcPr>
            <w:tcW w:w="851" w:type="dxa"/>
            <w:tcBorders>
              <w:top w:val="nil"/>
              <w:left w:val="nil"/>
              <w:bottom w:val="nil"/>
              <w:right w:val="nil"/>
            </w:tcBorders>
            <w:noWrap/>
            <w:vAlign w:val="bottom"/>
            <w:hideMark/>
          </w:tcPr>
          <w:p w14:paraId="59CA0295" w14:textId="77777777" w:rsidR="00205CBC" w:rsidRDefault="00000000">
            <w:r>
              <w:t>0.043</w:t>
            </w:r>
          </w:p>
        </w:tc>
      </w:tr>
      <w:tr w:rsidR="002A378E" w:rsidRPr="008B5651" w14:paraId="0EF893BE" w14:textId="77777777" w:rsidTr="00F15443">
        <w:trPr>
          <w:trHeight w:val="143"/>
        </w:trPr>
        <w:tc>
          <w:tcPr>
            <w:tcW w:w="1463" w:type="dxa"/>
            <w:tcBorders>
              <w:top w:val="nil"/>
              <w:left w:val="nil"/>
              <w:bottom w:val="nil"/>
              <w:right w:val="nil"/>
            </w:tcBorders>
            <w:noWrap/>
            <w:vAlign w:val="bottom"/>
            <w:hideMark/>
          </w:tcPr>
          <w:p w14:paraId="552973CF"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324CBF84"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455BF355"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7392EF8C"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66FCCEBC"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0B93EC53"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44DDE074" w14:textId="77777777" w:rsidR="002A378E" w:rsidRPr="008C2F99" w:rsidRDefault="002A378E" w:rsidP="00DD431E">
            <w:pPr>
              <w:spacing w:after="0" w:line="240" w:lineRule="auto"/>
              <w:jc w:val="center"/>
              <w:rPr>
                <w:rFonts w:eastAsia="Times New Roman"/>
                <w:sz w:val="18"/>
                <w:szCs w:val="18"/>
              </w:rPr>
            </w:pPr>
          </w:p>
        </w:tc>
      </w:tr>
      <w:tr w:rsidR="002A378E" w:rsidRPr="008B5651" w14:paraId="0BBF2A6E" w14:textId="77777777" w:rsidTr="00F15443">
        <w:trPr>
          <w:trHeight w:val="143"/>
        </w:trPr>
        <w:tc>
          <w:tcPr>
            <w:tcW w:w="1463" w:type="dxa"/>
            <w:vMerge w:val="restart"/>
            <w:tcBorders>
              <w:top w:val="single" w:sz="4" w:space="0" w:color="auto"/>
              <w:left w:val="nil"/>
              <w:bottom w:val="nil"/>
              <w:right w:val="nil"/>
            </w:tcBorders>
            <w:noWrap/>
            <w:vAlign w:val="center"/>
            <w:hideMark/>
          </w:tcPr>
          <w:p w14:paraId="71488C14" w14:textId="77777777"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sz w:val="22"/>
                <w:szCs w:val="20"/>
              </w:rPr>
              <w:t>Response signal</w:t>
            </w:r>
          </w:p>
        </w:tc>
        <w:tc>
          <w:tcPr>
            <w:tcW w:w="2538" w:type="dxa"/>
            <w:tcBorders>
              <w:top w:val="single" w:sz="4" w:space="0" w:color="auto"/>
              <w:left w:val="nil"/>
              <w:bottom w:val="nil"/>
              <w:right w:val="nil"/>
            </w:tcBorders>
            <w:vAlign w:val="center"/>
            <w:hideMark/>
          </w:tcPr>
          <w:p w14:paraId="0732D3F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43FAE94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0BD3F8E7"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4" w:space="0" w:color="auto"/>
              <w:left w:val="nil"/>
              <w:bottom w:val="nil"/>
              <w:right w:val="nil"/>
            </w:tcBorders>
            <w:noWrap/>
            <w:vAlign w:val="bottom"/>
            <w:hideMark/>
          </w:tcPr>
          <w:p w14:paraId="5E005A8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36.559</w:t>
            </w:r>
          </w:p>
        </w:tc>
        <w:tc>
          <w:tcPr>
            <w:tcW w:w="1276" w:type="dxa"/>
            <w:tcBorders>
              <w:top w:val="single" w:sz="4" w:space="0" w:color="auto"/>
              <w:left w:val="nil"/>
              <w:bottom w:val="nil"/>
              <w:right w:val="nil"/>
            </w:tcBorders>
            <w:noWrap/>
            <w:vAlign w:val="center"/>
            <w:hideMark/>
          </w:tcPr>
          <w:p w14:paraId="4E9EF2F8"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42DBF7D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635</w:t>
            </w:r>
          </w:p>
        </w:tc>
      </w:tr>
      <w:tr w:rsidR="002A378E" w:rsidRPr="008B5651" w14:paraId="53B528CB" w14:textId="77777777" w:rsidTr="0020277F">
        <w:trPr>
          <w:trHeight w:val="143"/>
        </w:trPr>
        <w:tc>
          <w:tcPr>
            <w:tcW w:w="1463" w:type="dxa"/>
            <w:vMerge/>
            <w:tcBorders>
              <w:top w:val="single" w:sz="4" w:space="0" w:color="auto"/>
              <w:left w:val="nil"/>
              <w:bottom w:val="nil"/>
              <w:right w:val="nil"/>
            </w:tcBorders>
            <w:vAlign w:val="center"/>
            <w:hideMark/>
          </w:tcPr>
          <w:p w14:paraId="3FCB6A1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9B1F408"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3AEBC487"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1.56</w:t>
            </w:r>
          </w:p>
        </w:tc>
        <w:tc>
          <w:tcPr>
            <w:tcW w:w="1272" w:type="dxa"/>
            <w:tcBorders>
              <w:top w:val="nil"/>
              <w:left w:val="nil"/>
              <w:bottom w:val="nil"/>
              <w:right w:val="nil"/>
            </w:tcBorders>
            <w:noWrap/>
            <w:vAlign w:val="bottom"/>
            <w:hideMark/>
          </w:tcPr>
          <w:p w14:paraId="01DF3EF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32.82</w:t>
            </w:r>
          </w:p>
        </w:tc>
        <w:tc>
          <w:tcPr>
            <w:tcW w:w="850" w:type="dxa"/>
            <w:tcBorders>
              <w:top w:val="nil"/>
              <w:left w:val="nil"/>
              <w:bottom w:val="nil"/>
              <w:right w:val="nil"/>
            </w:tcBorders>
            <w:noWrap/>
            <w:vAlign w:val="bottom"/>
            <w:hideMark/>
          </w:tcPr>
          <w:p w14:paraId="6C8068D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1.159</w:t>
            </w:r>
          </w:p>
        </w:tc>
        <w:tc>
          <w:tcPr>
            <w:tcW w:w="1276" w:type="dxa"/>
            <w:tcBorders>
              <w:top w:val="nil"/>
              <w:left w:val="nil"/>
              <w:bottom w:val="nil"/>
              <w:right w:val="nil"/>
            </w:tcBorders>
            <w:noWrap/>
            <w:vAlign w:val="bottom"/>
            <w:hideMark/>
          </w:tcPr>
          <w:p w14:paraId="154306C2"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color w:val="000000"/>
                <w:sz w:val="18"/>
                <w:szCs w:val="18"/>
              </w:rPr>
              <w:t>.3</w:t>
            </w:r>
            <w:r w:rsidR="00ED68F4" w:rsidRPr="008C2F99">
              <w:rPr>
                <w:rFonts w:eastAsia="Times New Roman"/>
                <w:sz w:val="18"/>
                <w:szCs w:val="18"/>
              </w:rPr>
              <w:t>15</w:t>
            </w:r>
          </w:p>
        </w:tc>
        <w:tc>
          <w:tcPr>
            <w:tcW w:w="851" w:type="dxa"/>
            <w:tcBorders>
              <w:top w:val="nil"/>
              <w:left w:val="nil"/>
              <w:bottom w:val="nil"/>
              <w:right w:val="nil"/>
            </w:tcBorders>
            <w:noWrap/>
            <w:vAlign w:val="bottom"/>
          </w:tcPr>
          <w:p w14:paraId="4766F440"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06DEE9B" w14:textId="77777777" w:rsidTr="0020277F">
        <w:trPr>
          <w:trHeight w:val="143"/>
        </w:trPr>
        <w:tc>
          <w:tcPr>
            <w:tcW w:w="1463" w:type="dxa"/>
            <w:vMerge/>
            <w:tcBorders>
              <w:top w:val="single" w:sz="4" w:space="0" w:color="auto"/>
              <w:left w:val="nil"/>
              <w:bottom w:val="nil"/>
              <w:right w:val="nil"/>
            </w:tcBorders>
            <w:vAlign w:val="center"/>
            <w:hideMark/>
          </w:tcPr>
          <w:p w14:paraId="67EAE303"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913E02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time</w:t>
            </w:r>
          </w:p>
        </w:tc>
        <w:tc>
          <w:tcPr>
            <w:tcW w:w="681" w:type="dxa"/>
            <w:tcBorders>
              <w:top w:val="nil"/>
              <w:left w:val="nil"/>
              <w:bottom w:val="nil"/>
              <w:right w:val="nil"/>
            </w:tcBorders>
            <w:noWrap/>
            <w:vAlign w:val="bottom"/>
            <w:hideMark/>
          </w:tcPr>
          <w:p w14:paraId="4A8C026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7844098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652E1BB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21.964</w:t>
            </w:r>
          </w:p>
        </w:tc>
        <w:tc>
          <w:tcPr>
            <w:tcW w:w="1276" w:type="dxa"/>
            <w:tcBorders>
              <w:top w:val="nil"/>
              <w:left w:val="nil"/>
              <w:bottom w:val="nil"/>
              <w:right w:val="nil"/>
            </w:tcBorders>
            <w:noWrap/>
            <w:vAlign w:val="center"/>
            <w:hideMark/>
          </w:tcPr>
          <w:p w14:paraId="34E93031"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nil"/>
              <w:left w:val="nil"/>
              <w:bottom w:val="nil"/>
              <w:right w:val="nil"/>
            </w:tcBorders>
            <w:noWrap/>
            <w:vAlign w:val="bottom"/>
          </w:tcPr>
          <w:p w14:paraId="70EA87F0"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0.511</w:t>
            </w:r>
          </w:p>
        </w:tc>
      </w:tr>
      <w:tr w:rsidR="002A378E" w:rsidRPr="008B5651" w14:paraId="0C5A17C5" w14:textId="77777777" w:rsidTr="0020277F">
        <w:trPr>
          <w:trHeight w:val="143"/>
        </w:trPr>
        <w:tc>
          <w:tcPr>
            <w:tcW w:w="1463" w:type="dxa"/>
            <w:vMerge/>
            <w:tcBorders>
              <w:top w:val="single" w:sz="4" w:space="0" w:color="auto"/>
              <w:left w:val="nil"/>
              <w:bottom w:val="nil"/>
              <w:right w:val="nil"/>
            </w:tcBorders>
            <w:vAlign w:val="center"/>
            <w:hideMark/>
          </w:tcPr>
          <w:p w14:paraId="4467AA3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7F9EE3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2A33FB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1.91</w:t>
            </w:r>
          </w:p>
        </w:tc>
        <w:tc>
          <w:tcPr>
            <w:tcW w:w="1272" w:type="dxa"/>
            <w:tcBorders>
              <w:top w:val="nil"/>
              <w:left w:val="nil"/>
              <w:bottom w:val="nil"/>
              <w:right w:val="nil"/>
            </w:tcBorders>
            <w:noWrap/>
            <w:vAlign w:val="bottom"/>
            <w:hideMark/>
          </w:tcPr>
          <w:p w14:paraId="274F1F0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40.04</w:t>
            </w:r>
          </w:p>
        </w:tc>
        <w:tc>
          <w:tcPr>
            <w:tcW w:w="850" w:type="dxa"/>
            <w:tcBorders>
              <w:top w:val="nil"/>
              <w:left w:val="nil"/>
              <w:bottom w:val="nil"/>
              <w:right w:val="nil"/>
            </w:tcBorders>
            <w:noWrap/>
            <w:vAlign w:val="bottom"/>
            <w:hideMark/>
          </w:tcPr>
          <w:p w14:paraId="2165C3D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0.041</w:t>
            </w:r>
          </w:p>
        </w:tc>
        <w:tc>
          <w:tcPr>
            <w:tcW w:w="1276" w:type="dxa"/>
            <w:tcBorders>
              <w:top w:val="nil"/>
              <w:left w:val="nil"/>
              <w:bottom w:val="nil"/>
              <w:right w:val="nil"/>
            </w:tcBorders>
            <w:noWrap/>
            <w:vAlign w:val="center"/>
            <w:hideMark/>
          </w:tcPr>
          <w:p w14:paraId="58177582"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.954</w:t>
            </w:r>
          </w:p>
        </w:tc>
        <w:tc>
          <w:tcPr>
            <w:tcW w:w="851" w:type="dxa"/>
            <w:tcBorders>
              <w:top w:val="nil"/>
              <w:left w:val="nil"/>
              <w:bottom w:val="nil"/>
              <w:right w:val="nil"/>
            </w:tcBorders>
            <w:noWrap/>
            <w:vAlign w:val="bottom"/>
          </w:tcPr>
          <w:p w14:paraId="1703EAF9"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7850E9A" w14:textId="77777777" w:rsidTr="0020277F">
        <w:trPr>
          <w:trHeight w:val="143"/>
        </w:trPr>
        <w:tc>
          <w:tcPr>
            <w:tcW w:w="1463" w:type="dxa"/>
            <w:vMerge/>
            <w:tcBorders>
              <w:top w:val="single" w:sz="4" w:space="0" w:color="auto"/>
              <w:left w:val="nil"/>
              <w:bottom w:val="nil"/>
              <w:right w:val="nil"/>
            </w:tcBorders>
            <w:vAlign w:val="center"/>
            <w:hideMark/>
          </w:tcPr>
          <w:p w14:paraId="774E94B7"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CAC1A82"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time</w:t>
            </w:r>
          </w:p>
        </w:tc>
        <w:tc>
          <w:tcPr>
            <w:tcW w:w="681" w:type="dxa"/>
            <w:tcBorders>
              <w:top w:val="nil"/>
              <w:left w:val="nil"/>
              <w:bottom w:val="nil"/>
              <w:right w:val="nil"/>
            </w:tcBorders>
            <w:noWrap/>
            <w:vAlign w:val="bottom"/>
            <w:hideMark/>
          </w:tcPr>
          <w:p w14:paraId="1181A19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3521698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5DD994E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7.046</w:t>
            </w:r>
          </w:p>
        </w:tc>
        <w:tc>
          <w:tcPr>
            <w:tcW w:w="1276" w:type="dxa"/>
            <w:tcBorders>
              <w:top w:val="nil"/>
              <w:left w:val="nil"/>
              <w:bottom w:val="nil"/>
              <w:right w:val="nil"/>
            </w:tcBorders>
            <w:noWrap/>
            <w:vAlign w:val="center"/>
            <w:hideMark/>
          </w:tcPr>
          <w:p w14:paraId="7F31C18C"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bCs/>
                <w:sz w:val="18"/>
                <w:szCs w:val="18"/>
              </w:rPr>
              <w:t>.015</w:t>
            </w:r>
          </w:p>
        </w:tc>
        <w:tc>
          <w:tcPr>
            <w:tcW w:w="851" w:type="dxa"/>
            <w:tcBorders>
              <w:top w:val="nil"/>
              <w:left w:val="nil"/>
              <w:bottom w:val="nil"/>
              <w:right w:val="nil"/>
            </w:tcBorders>
            <w:noWrap/>
            <w:vAlign w:val="bottom"/>
          </w:tcPr>
          <w:p w14:paraId="32DB0614"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0.251</w:t>
            </w:r>
          </w:p>
        </w:tc>
      </w:tr>
      <w:tr w:rsidR="002A378E" w:rsidRPr="008B5651" w14:paraId="385FC830" w14:textId="77777777" w:rsidTr="00F15443">
        <w:trPr>
          <w:trHeight w:val="143"/>
        </w:trPr>
        <w:tc>
          <w:tcPr>
            <w:tcW w:w="1463" w:type="dxa"/>
            <w:vMerge/>
            <w:tcBorders>
              <w:top w:val="single" w:sz="4" w:space="0" w:color="auto"/>
              <w:left w:val="nil"/>
              <w:bottom w:val="nil"/>
              <w:right w:val="nil"/>
            </w:tcBorders>
            <w:vAlign w:val="center"/>
            <w:hideMark/>
          </w:tcPr>
          <w:p w14:paraId="668DDB8C"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B2C6D2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 × time</w:t>
            </w:r>
          </w:p>
        </w:tc>
        <w:tc>
          <w:tcPr>
            <w:tcW w:w="681" w:type="dxa"/>
            <w:tcBorders>
              <w:top w:val="nil"/>
              <w:left w:val="nil"/>
              <w:bottom w:val="nil"/>
              <w:right w:val="nil"/>
            </w:tcBorders>
            <w:noWrap/>
            <w:vAlign w:val="bottom"/>
            <w:hideMark/>
          </w:tcPr>
          <w:p w14:paraId="2263CB68"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1.84</w:t>
            </w:r>
          </w:p>
        </w:tc>
        <w:tc>
          <w:tcPr>
            <w:tcW w:w="1272" w:type="dxa"/>
            <w:tcBorders>
              <w:top w:val="nil"/>
              <w:left w:val="nil"/>
              <w:bottom w:val="nil"/>
              <w:right w:val="nil"/>
            </w:tcBorders>
            <w:noWrap/>
            <w:vAlign w:val="bottom"/>
            <w:hideMark/>
          </w:tcPr>
          <w:p w14:paraId="697F19A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38.61</w:t>
            </w:r>
          </w:p>
        </w:tc>
        <w:tc>
          <w:tcPr>
            <w:tcW w:w="850" w:type="dxa"/>
            <w:tcBorders>
              <w:top w:val="nil"/>
              <w:left w:val="nil"/>
              <w:bottom w:val="nil"/>
              <w:right w:val="nil"/>
            </w:tcBorders>
            <w:noWrap/>
            <w:vAlign w:val="bottom"/>
            <w:hideMark/>
          </w:tcPr>
          <w:p w14:paraId="4C077FA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0.407</w:t>
            </w:r>
          </w:p>
        </w:tc>
        <w:tc>
          <w:tcPr>
            <w:tcW w:w="1276" w:type="dxa"/>
            <w:tcBorders>
              <w:top w:val="nil"/>
              <w:left w:val="nil"/>
              <w:bottom w:val="nil"/>
              <w:right w:val="nil"/>
            </w:tcBorders>
            <w:noWrap/>
            <w:vAlign w:val="center"/>
            <w:hideMark/>
          </w:tcPr>
          <w:p w14:paraId="56B8B954"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.651</w:t>
            </w:r>
          </w:p>
        </w:tc>
        <w:tc>
          <w:tcPr>
            <w:tcW w:w="851" w:type="dxa"/>
            <w:tcBorders>
              <w:top w:val="nil"/>
              <w:left w:val="nil"/>
              <w:bottom w:val="nil"/>
              <w:right w:val="nil"/>
            </w:tcBorders>
            <w:noWrap/>
            <w:vAlign w:val="bottom"/>
            <w:hideMark/>
          </w:tcPr>
          <w:p w14:paraId="07AAA3EF"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AC43D47" w14:textId="77777777" w:rsidTr="00F15443">
        <w:trPr>
          <w:trHeight w:val="143"/>
        </w:trPr>
        <w:tc>
          <w:tcPr>
            <w:tcW w:w="1463" w:type="dxa"/>
            <w:vMerge/>
            <w:tcBorders>
              <w:top w:val="single" w:sz="4" w:space="0" w:color="auto"/>
              <w:left w:val="nil"/>
              <w:bottom w:val="nil"/>
              <w:right w:val="nil"/>
            </w:tcBorders>
            <w:vAlign w:val="center"/>
            <w:hideMark/>
          </w:tcPr>
          <w:p w14:paraId="4D8FB466"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1D089A87"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 × time</w:t>
            </w:r>
          </w:p>
        </w:tc>
        <w:tc>
          <w:tcPr>
            <w:tcW w:w="681" w:type="dxa"/>
            <w:tcBorders>
              <w:top w:val="nil"/>
              <w:left w:val="nil"/>
              <w:bottom w:val="nil"/>
              <w:right w:val="nil"/>
            </w:tcBorders>
            <w:noWrap/>
            <w:vAlign w:val="center"/>
            <w:hideMark/>
          </w:tcPr>
          <w:p w14:paraId="6E1CEEF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272" w:type="dxa"/>
            <w:tcBorders>
              <w:top w:val="nil"/>
              <w:left w:val="nil"/>
              <w:bottom w:val="nil"/>
              <w:right w:val="nil"/>
            </w:tcBorders>
            <w:noWrap/>
            <w:vAlign w:val="center"/>
            <w:hideMark/>
          </w:tcPr>
          <w:p w14:paraId="6708E707"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36.67</w:t>
            </w:r>
          </w:p>
        </w:tc>
        <w:tc>
          <w:tcPr>
            <w:tcW w:w="850" w:type="dxa"/>
            <w:tcBorders>
              <w:top w:val="nil"/>
              <w:left w:val="nil"/>
              <w:bottom w:val="nil"/>
              <w:right w:val="nil"/>
            </w:tcBorders>
            <w:noWrap/>
            <w:vAlign w:val="center"/>
            <w:hideMark/>
          </w:tcPr>
          <w:p w14:paraId="5B93DB45"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0.587</w:t>
            </w:r>
          </w:p>
        </w:tc>
        <w:tc>
          <w:tcPr>
            <w:tcW w:w="1276" w:type="dxa"/>
            <w:tcBorders>
              <w:top w:val="nil"/>
              <w:left w:val="nil"/>
              <w:bottom w:val="nil"/>
              <w:right w:val="nil"/>
            </w:tcBorders>
            <w:noWrap/>
            <w:vAlign w:val="center"/>
            <w:hideMark/>
          </w:tcPr>
          <w:p w14:paraId="524FDD34"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1F4E9E"/>
                <w:sz w:val="18"/>
                <w:szCs w:val="20"/>
              </w:rPr>
              <w:t>p = .539</w:t>
            </w:r>
          </w:p>
        </w:tc>
        <w:tc>
          <w:tcPr>
            <w:tcW w:w="851" w:type="dxa"/>
            <w:tcBorders>
              <w:top w:val="nil"/>
              <w:left w:val="nil"/>
              <w:bottom w:val="nil"/>
              <w:right w:val="nil"/>
            </w:tcBorders>
            <w:noWrap/>
            <w:vAlign w:val="bottom"/>
            <w:hideMark/>
          </w:tcPr>
          <w:p w14:paraId="5CE5E663"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78D1F2E1" w14:textId="77777777" w:rsidTr="00F15443">
        <w:trPr>
          <w:trHeight w:val="143"/>
        </w:trPr>
        <w:tc>
          <w:tcPr>
            <w:tcW w:w="1463" w:type="dxa"/>
            <w:tcBorders>
              <w:top w:val="nil"/>
              <w:left w:val="nil"/>
              <w:bottom w:val="nil"/>
              <w:right w:val="nil"/>
            </w:tcBorders>
            <w:noWrap/>
            <w:vAlign w:val="bottom"/>
            <w:hideMark/>
          </w:tcPr>
          <w:p w14:paraId="556FBA69"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3A4F4475"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0E020F14"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00092C30"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7AF0F092"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084A07A8"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B146777" w14:textId="77777777" w:rsidR="002A378E" w:rsidRPr="008C2F99" w:rsidRDefault="002A378E" w:rsidP="00DD431E">
            <w:pPr>
              <w:spacing w:after="0" w:line="240" w:lineRule="auto"/>
              <w:jc w:val="center"/>
              <w:rPr>
                <w:rFonts w:eastAsia="Times New Roman"/>
                <w:sz w:val="18"/>
                <w:szCs w:val="18"/>
              </w:rPr>
            </w:pPr>
          </w:p>
        </w:tc>
      </w:tr>
      <w:tr w:rsidR="00205CBC" w14:paraId="2705F1D7" w14:textId="77777777">
        <w:tc>
          <w:tcPr>
            <w:tcW w:w="1463" w:type="dxa"/>
          </w:tcPr>
          <w:p w14:paraId="295F99DA" w14:textId="77777777" w:rsidR="00205CBC" w:rsidRDefault="00000000">
            <w:r>
              <w:t>Response</w:t>
            </w:r>
          </w:p>
        </w:tc>
        <w:tc>
          <w:tcPr>
            <w:tcW w:w="2538" w:type="dxa"/>
          </w:tcPr>
          <w:p w14:paraId="539DFA44" w14:textId="77777777" w:rsidR="00205CBC" w:rsidRDefault="00000000">
            <w:r>
              <w:rPr>
                <w:color w:val="1F4E9E"/>
              </w:rPr>
              <w:t>duration</w:t>
            </w:r>
          </w:p>
        </w:tc>
        <w:tc>
          <w:tcPr>
            <w:tcW w:w="681" w:type="dxa"/>
          </w:tcPr>
          <w:p w14:paraId="6E96D3C6" w14:textId="77777777" w:rsidR="00205CBC" w:rsidRDefault="00000000">
            <w:r>
              <w:rPr>
                <w:color w:val="1F4E9E"/>
              </w:rPr>
              <w:t>1</w:t>
            </w:r>
          </w:p>
        </w:tc>
        <w:tc>
          <w:tcPr>
            <w:tcW w:w="1272" w:type="dxa"/>
          </w:tcPr>
          <w:p w14:paraId="2B47414D" w14:textId="77777777" w:rsidR="00205CBC" w:rsidRDefault="00000000">
            <w:r>
              <w:rPr>
                <w:color w:val="1F4E9E"/>
              </w:rPr>
              <w:t>21</w:t>
            </w:r>
          </w:p>
        </w:tc>
        <w:tc>
          <w:tcPr>
            <w:tcW w:w="850" w:type="dxa"/>
          </w:tcPr>
          <w:p w14:paraId="67A0EFE0" w14:textId="77777777" w:rsidR="00205CBC" w:rsidRDefault="00000000">
            <w:r>
              <w:rPr>
                <w:color w:val="1F4E9E"/>
              </w:rPr>
              <w:t>7.613</w:t>
            </w:r>
          </w:p>
        </w:tc>
        <w:tc>
          <w:tcPr>
            <w:tcW w:w="1276" w:type="dxa"/>
          </w:tcPr>
          <w:p w14:paraId="241F5A77" w14:textId="77777777" w:rsidR="00205CBC" w:rsidRDefault="00000000">
            <w:r>
              <w:rPr>
                <w:color w:val="1F4E9E"/>
              </w:rPr>
              <w:t>p = .012</w:t>
            </w:r>
          </w:p>
        </w:tc>
        <w:tc>
          <w:tcPr>
            <w:tcW w:w="851" w:type="dxa"/>
          </w:tcPr>
          <w:p w14:paraId="61DE44E5" w14:textId="77777777" w:rsidR="00205CBC" w:rsidRDefault="00000000">
            <w:r>
              <w:rPr>
                <w:color w:val="1F4E9E"/>
              </w:rPr>
              <w:t>0.266</w:t>
            </w:r>
          </w:p>
        </w:tc>
      </w:tr>
      <w:tr w:rsidR="00205CBC" w14:paraId="5868EF14" w14:textId="77777777">
        <w:tc>
          <w:tcPr>
            <w:tcW w:w="1463" w:type="dxa"/>
          </w:tcPr>
          <w:p w14:paraId="2A1B871E" w14:textId="77777777" w:rsidR="00205CBC" w:rsidRDefault="00000000">
            <w:r>
              <w:t>Response</w:t>
            </w:r>
          </w:p>
        </w:tc>
        <w:tc>
          <w:tcPr>
            <w:tcW w:w="2538" w:type="dxa"/>
          </w:tcPr>
          <w:p w14:paraId="7D1B64B5" w14:textId="77777777" w:rsidR="00205CBC" w:rsidRDefault="00000000">
            <w:r>
              <w:rPr>
                <w:color w:val="1F4E9E"/>
              </w:rPr>
              <w:t>coherence</w:t>
            </w:r>
          </w:p>
        </w:tc>
        <w:tc>
          <w:tcPr>
            <w:tcW w:w="681" w:type="dxa"/>
          </w:tcPr>
          <w:p w14:paraId="1EF379A7" w14:textId="77777777" w:rsidR="00205CBC" w:rsidRDefault="00000000">
            <w:r>
              <w:rPr>
                <w:color w:val="1F4E9E"/>
              </w:rPr>
              <w:t>1.90</w:t>
            </w:r>
          </w:p>
        </w:tc>
        <w:tc>
          <w:tcPr>
            <w:tcW w:w="1272" w:type="dxa"/>
          </w:tcPr>
          <w:p w14:paraId="7D8EC5EB" w14:textId="77777777" w:rsidR="00205CBC" w:rsidRDefault="00000000">
            <w:r>
              <w:rPr>
                <w:color w:val="1F4E9E"/>
              </w:rPr>
              <w:t>39.98</w:t>
            </w:r>
          </w:p>
        </w:tc>
        <w:tc>
          <w:tcPr>
            <w:tcW w:w="850" w:type="dxa"/>
          </w:tcPr>
          <w:p w14:paraId="694BC8CC" w14:textId="77777777" w:rsidR="00205CBC" w:rsidRDefault="00000000">
            <w:r>
              <w:rPr>
                <w:color w:val="1F4E9E"/>
              </w:rPr>
              <w:t>1.845</w:t>
            </w:r>
          </w:p>
        </w:tc>
        <w:tc>
          <w:tcPr>
            <w:tcW w:w="1276" w:type="dxa"/>
          </w:tcPr>
          <w:p w14:paraId="1B6320B0" w14:textId="77777777" w:rsidR="00205CBC" w:rsidRDefault="00000000">
            <w:r>
              <w:rPr>
                <w:color w:val="1F4E9E"/>
              </w:rPr>
              <w:t>p = .173</w:t>
            </w:r>
          </w:p>
        </w:tc>
        <w:tc>
          <w:tcPr>
            <w:tcW w:w="851" w:type="dxa"/>
          </w:tcPr>
          <w:p w14:paraId="44E9CCF7" w14:textId="77777777" w:rsidR="00205CBC" w:rsidRDefault="00000000">
            <w:r>
              <w:rPr>
                <w:color w:val="1F4E9E"/>
              </w:rPr>
              <w:t>0.081</w:t>
            </w:r>
          </w:p>
        </w:tc>
      </w:tr>
      <w:tr w:rsidR="00205CBC" w14:paraId="39973D8D" w14:textId="77777777">
        <w:tc>
          <w:tcPr>
            <w:tcW w:w="1463" w:type="dxa"/>
          </w:tcPr>
          <w:p w14:paraId="4CA8B9D1" w14:textId="77777777" w:rsidR="00205CBC" w:rsidRDefault="00000000">
            <w:r>
              <w:t>Response</w:t>
            </w:r>
          </w:p>
        </w:tc>
        <w:tc>
          <w:tcPr>
            <w:tcW w:w="2538" w:type="dxa"/>
          </w:tcPr>
          <w:p w14:paraId="7FED61CF" w14:textId="77777777" w:rsidR="00205CBC" w:rsidRDefault="00000000">
            <w:r>
              <w:rPr>
                <w:color w:val="1F4E9E"/>
              </w:rPr>
              <w:t>duration × coherence</w:t>
            </w:r>
          </w:p>
        </w:tc>
        <w:tc>
          <w:tcPr>
            <w:tcW w:w="681" w:type="dxa"/>
          </w:tcPr>
          <w:p w14:paraId="50CE4F10" w14:textId="77777777" w:rsidR="00205CBC" w:rsidRDefault="00000000">
            <w:r>
              <w:rPr>
                <w:color w:val="1F4E9E"/>
              </w:rPr>
              <w:t>1.86</w:t>
            </w:r>
          </w:p>
        </w:tc>
        <w:tc>
          <w:tcPr>
            <w:tcW w:w="1272" w:type="dxa"/>
          </w:tcPr>
          <w:p w14:paraId="15BC053D" w14:textId="77777777" w:rsidR="00205CBC" w:rsidRDefault="00000000">
            <w:r>
              <w:rPr>
                <w:color w:val="1F4E9E"/>
              </w:rPr>
              <w:t>39.10</w:t>
            </w:r>
          </w:p>
        </w:tc>
        <w:tc>
          <w:tcPr>
            <w:tcW w:w="850" w:type="dxa"/>
          </w:tcPr>
          <w:p w14:paraId="6921A244" w14:textId="77777777" w:rsidR="00205CBC" w:rsidRDefault="00000000">
            <w:r>
              <w:rPr>
                <w:color w:val="1F4E9E"/>
              </w:rPr>
              <w:t>0.342</w:t>
            </w:r>
          </w:p>
        </w:tc>
        <w:tc>
          <w:tcPr>
            <w:tcW w:w="1276" w:type="dxa"/>
          </w:tcPr>
          <w:p w14:paraId="4A5AF1E1" w14:textId="77777777" w:rsidR="00205CBC" w:rsidRDefault="00000000">
            <w:r>
              <w:rPr>
                <w:color w:val="1F4E9E"/>
              </w:rPr>
              <w:t>p = .697</w:t>
            </w:r>
          </w:p>
        </w:tc>
        <w:tc>
          <w:tcPr>
            <w:tcW w:w="851" w:type="dxa"/>
          </w:tcPr>
          <w:p w14:paraId="1DFE2326" w14:textId="77777777" w:rsidR="00205CBC" w:rsidRDefault="00000000">
            <w:r>
              <w:rPr>
                <w:color w:val="1F4E9E"/>
              </w:rPr>
              <w:t>0.016</w:t>
            </w:r>
          </w:p>
        </w:tc>
      </w:tr>
    </w:tbl>
    <w:p w14:paraId="7A210E67" w14:textId="7777777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period is unaffected (only two time bins, so the omnibus and trend tests coincide exactly, and no quadratic contrast exists). The Response period is analyzed on its single informative bin, for which no time-bin factor — and therefore no trend or quadratic decomposition — applies (Methods).</w:t>
      </w:r>
    </w:p>
    <w:p w14:paraId="613290DC" w14:textId="77777777"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S2</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389"/>
        <w:gridCol w:w="283"/>
        <w:gridCol w:w="636"/>
        <w:gridCol w:w="1077"/>
        <w:gridCol w:w="1007"/>
        <w:gridCol w:w="1247"/>
        <w:gridCol w:w="1186"/>
      </w:tblGrid>
      <w:tr w:rsidR="00E651B4" w:rsidRPr="008B5651" w14:paraId="1A5BB06D" w14:textId="77777777" w:rsidTr="00947CFC">
        <w:trPr>
          <w:trHeight w:val="118"/>
        </w:trPr>
        <w:tc>
          <w:tcPr>
            <w:tcW w:w="1361" w:type="dxa"/>
            <w:tcBorders>
              <w:top w:val="single" w:sz="4" w:space="0" w:color="auto"/>
              <w:left w:val="nil"/>
              <w:bottom w:val="single" w:sz="12" w:space="0" w:color="auto"/>
              <w:right w:val="nil"/>
            </w:tcBorders>
            <w:vAlign w:val="center"/>
            <w:hideMark/>
          </w:tcPr>
          <w:p w14:paraId="6BEC231B"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Period</w:t>
            </w:r>
          </w:p>
        </w:tc>
        <w:tc>
          <w:tcPr>
            <w:tcW w:w="2467" w:type="dxa"/>
            <w:tcBorders>
              <w:top w:val="single" w:sz="4" w:space="0" w:color="auto"/>
              <w:left w:val="nil"/>
              <w:bottom w:val="single" w:sz="12" w:space="0" w:color="auto"/>
              <w:right w:val="nil"/>
            </w:tcBorders>
            <w:vAlign w:val="center"/>
            <w:hideMark/>
          </w:tcPr>
          <w:p w14:paraId="5D0BC52F" w14:textId="77777777"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sz w:val="22"/>
                <w:szCs w:val="22"/>
              </w:rPr>
              <w:t>Effect tested</w:t>
            </w:r>
          </w:p>
        </w:tc>
        <w:tc>
          <w:tcPr>
            <w:tcW w:w="283" w:type="dxa"/>
            <w:tcBorders>
              <w:top w:val="single" w:sz="4" w:space="0" w:color="auto"/>
              <w:left w:val="nil"/>
              <w:bottom w:val="single" w:sz="12" w:space="0" w:color="auto"/>
              <w:right w:val="nil"/>
            </w:tcBorders>
            <w:noWrap/>
            <w:vAlign w:val="center"/>
            <w:hideMark/>
          </w:tcPr>
          <w:p w14:paraId="27987803" w14:textId="77777777"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1F40E010"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df1</w:t>
            </w:r>
          </w:p>
        </w:tc>
        <w:tc>
          <w:tcPr>
            <w:tcW w:w="1077" w:type="dxa"/>
            <w:tcBorders>
              <w:top w:val="single" w:sz="4" w:space="0" w:color="auto"/>
              <w:left w:val="nil"/>
              <w:bottom w:val="single" w:sz="12" w:space="0" w:color="auto"/>
              <w:right w:val="nil"/>
            </w:tcBorders>
            <w:noWrap/>
            <w:vAlign w:val="bottom"/>
            <w:hideMark/>
          </w:tcPr>
          <w:p w14:paraId="16E0788B"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df2</w:t>
            </w:r>
          </w:p>
        </w:tc>
        <w:tc>
          <w:tcPr>
            <w:tcW w:w="1007" w:type="dxa"/>
            <w:tcBorders>
              <w:top w:val="single" w:sz="4" w:space="0" w:color="auto"/>
              <w:left w:val="nil"/>
              <w:bottom w:val="single" w:sz="12" w:space="0" w:color="auto"/>
              <w:right w:val="nil"/>
            </w:tcBorders>
            <w:noWrap/>
            <w:vAlign w:val="bottom"/>
            <w:hideMark/>
          </w:tcPr>
          <w:p w14:paraId="3C7D1ED9" w14:textId="77777777"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27154712"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sz w:val="22"/>
                <w:szCs w:val="22"/>
              </w:rPr>
              <w:t>-value</w:t>
            </w:r>
          </w:p>
        </w:tc>
        <w:tc>
          <w:tcPr>
            <w:tcW w:w="1186" w:type="dxa"/>
            <w:tcBorders>
              <w:top w:val="single" w:sz="4" w:space="0" w:color="auto"/>
              <w:left w:val="nil"/>
              <w:bottom w:val="single" w:sz="12" w:space="0" w:color="auto"/>
              <w:right w:val="nil"/>
            </w:tcBorders>
            <w:vAlign w:val="bottom"/>
            <w:hideMark/>
          </w:tcPr>
          <w:p w14:paraId="76544804" w14:textId="77777777"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3009EE70" w14:textId="77777777" w:rsidTr="00132A83">
        <w:trPr>
          <w:trHeight w:val="118"/>
        </w:trPr>
        <w:tc>
          <w:tcPr>
            <w:tcW w:w="1361" w:type="dxa"/>
            <w:vMerge w:val="restart"/>
            <w:tcBorders>
              <w:top w:val="nil"/>
              <w:left w:val="nil"/>
              <w:bottom w:val="nil"/>
              <w:right w:val="nil"/>
            </w:tcBorders>
            <w:noWrap/>
            <w:vAlign w:val="center"/>
            <w:hideMark/>
          </w:tcPr>
          <w:p w14:paraId="4A8BF986" w14:textId="77777777" w:rsidR="00E82EA7" w:rsidRPr="008C2F99" w:rsidRDefault="00E82EA7" w:rsidP="003238E2">
            <w:pPr>
              <w:spacing w:after="0" w:line="240" w:lineRule="auto"/>
              <w:jc w:val="center"/>
              <w:rPr>
                <w:rFonts w:eastAsia="Times New Roman"/>
                <w:bCs/>
                <w:color w:val="000000"/>
                <w:sz w:val="22"/>
                <w:szCs w:val="22"/>
              </w:rPr>
            </w:pPr>
            <w:r>
              <w:t>Stimulus</w:t>
            </w:r>
          </w:p>
        </w:tc>
        <w:tc>
          <w:tcPr>
            <w:tcW w:w="2467" w:type="dxa"/>
            <w:tcBorders>
              <w:top w:val="nil"/>
              <w:left w:val="nil"/>
              <w:bottom w:val="nil"/>
              <w:right w:val="nil"/>
            </w:tcBorders>
            <w:vAlign w:val="center"/>
            <w:hideMark/>
          </w:tcPr>
          <w:p w14:paraId="76F05EC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nil"/>
              <w:left w:val="nil"/>
              <w:bottom w:val="nil"/>
              <w:right w:val="nil"/>
            </w:tcBorders>
            <w:noWrap/>
            <w:vAlign w:val="bottom"/>
            <w:hideMark/>
          </w:tcPr>
          <w:p w14:paraId="7E719F2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7F2D2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6979385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6A745AC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0.614</w:t>
            </w:r>
          </w:p>
        </w:tc>
        <w:tc>
          <w:tcPr>
            <w:tcW w:w="1247" w:type="dxa"/>
            <w:tcBorders>
              <w:top w:val="nil"/>
              <w:left w:val="nil"/>
              <w:bottom w:val="nil"/>
              <w:right w:val="nil"/>
            </w:tcBorders>
            <w:noWrap/>
            <w:vAlign w:val="center"/>
            <w:hideMark/>
          </w:tcPr>
          <w:p w14:paraId="0CCC0620"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.442</w:t>
            </w:r>
          </w:p>
        </w:tc>
        <w:tc>
          <w:tcPr>
            <w:tcW w:w="1186" w:type="dxa"/>
            <w:tcBorders>
              <w:top w:val="nil"/>
              <w:left w:val="nil"/>
              <w:bottom w:val="nil"/>
              <w:right w:val="nil"/>
            </w:tcBorders>
            <w:noWrap/>
            <w:vAlign w:val="center"/>
            <w:hideMark/>
          </w:tcPr>
          <w:p w14:paraId="0A13AE14"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7107DA9" w14:textId="77777777" w:rsidTr="00132A83">
        <w:trPr>
          <w:trHeight w:val="118"/>
        </w:trPr>
        <w:tc>
          <w:tcPr>
            <w:tcW w:w="1361" w:type="dxa"/>
            <w:vMerge/>
            <w:tcBorders>
              <w:top w:val="nil"/>
              <w:left w:val="nil"/>
              <w:bottom w:val="nil"/>
              <w:right w:val="nil"/>
            </w:tcBorders>
            <w:vAlign w:val="center"/>
            <w:hideMark/>
          </w:tcPr>
          <w:p w14:paraId="080D08D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719FFB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3B7506B9"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38FB3D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077" w:type="dxa"/>
            <w:tcBorders>
              <w:top w:val="nil"/>
              <w:left w:val="nil"/>
              <w:bottom w:val="nil"/>
              <w:right w:val="nil"/>
            </w:tcBorders>
            <w:noWrap/>
            <w:vAlign w:val="center"/>
            <w:hideMark/>
          </w:tcPr>
          <w:p w14:paraId="0AF3D1C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36.66</w:t>
            </w:r>
          </w:p>
        </w:tc>
        <w:tc>
          <w:tcPr>
            <w:tcW w:w="1007" w:type="dxa"/>
            <w:tcBorders>
              <w:top w:val="nil"/>
              <w:left w:val="nil"/>
              <w:bottom w:val="nil"/>
              <w:right w:val="nil"/>
            </w:tcBorders>
            <w:noWrap/>
            <w:vAlign w:val="center"/>
            <w:hideMark/>
          </w:tcPr>
          <w:p w14:paraId="46C42E8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1.498</w:t>
            </w:r>
          </w:p>
        </w:tc>
        <w:tc>
          <w:tcPr>
            <w:tcW w:w="1247" w:type="dxa"/>
            <w:tcBorders>
              <w:top w:val="nil"/>
              <w:left w:val="nil"/>
              <w:bottom w:val="nil"/>
              <w:right w:val="nil"/>
            </w:tcBorders>
            <w:noWrap/>
            <w:vAlign w:val="center"/>
            <w:hideMark/>
          </w:tcPr>
          <w:p w14:paraId="6F3A3D25"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.237</w:t>
            </w:r>
          </w:p>
        </w:tc>
        <w:tc>
          <w:tcPr>
            <w:tcW w:w="1186" w:type="dxa"/>
            <w:tcBorders>
              <w:top w:val="nil"/>
              <w:left w:val="nil"/>
              <w:bottom w:val="nil"/>
              <w:right w:val="nil"/>
            </w:tcBorders>
            <w:noWrap/>
            <w:vAlign w:val="center"/>
            <w:hideMark/>
          </w:tcPr>
          <w:p w14:paraId="2848AC8E"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5184153" w14:textId="77777777" w:rsidTr="00132A83">
        <w:trPr>
          <w:trHeight w:val="118"/>
        </w:trPr>
        <w:tc>
          <w:tcPr>
            <w:tcW w:w="1361" w:type="dxa"/>
            <w:vMerge/>
            <w:tcBorders>
              <w:top w:val="nil"/>
              <w:left w:val="nil"/>
              <w:bottom w:val="nil"/>
              <w:right w:val="nil"/>
            </w:tcBorders>
            <w:vAlign w:val="center"/>
            <w:hideMark/>
          </w:tcPr>
          <w:p w14:paraId="1EB1671B"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6CD3ED1"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5AEFA0C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5F6FB3C" w14:textId="77777777" w:rsidR="00205CBC" w:rsidRDefault="00000000">
            <w:r>
              <w:rPr>
                <w:color w:val="1F4E9E"/>
              </w:rPr>
              <w:t>1</w:t>
            </w:r>
          </w:p>
        </w:tc>
        <w:tc>
          <w:tcPr>
            <w:tcW w:w="1077" w:type="dxa"/>
            <w:tcBorders>
              <w:top w:val="nil"/>
              <w:left w:val="nil"/>
              <w:bottom w:val="nil"/>
              <w:right w:val="nil"/>
            </w:tcBorders>
            <w:noWrap/>
            <w:vAlign w:val="center"/>
            <w:hideMark/>
          </w:tcPr>
          <w:p w14:paraId="5F10EE95" w14:textId="77777777" w:rsidR="00205CBC" w:rsidRDefault="00000000">
            <w:r>
              <w:rPr>
                <w:color w:val="1F4E9E"/>
              </w:rPr>
              <w:t>21</w:t>
            </w:r>
          </w:p>
        </w:tc>
        <w:tc>
          <w:tcPr>
            <w:tcW w:w="1007" w:type="dxa"/>
            <w:tcBorders>
              <w:top w:val="nil"/>
              <w:left w:val="nil"/>
              <w:bottom w:val="nil"/>
              <w:right w:val="nil"/>
            </w:tcBorders>
            <w:noWrap/>
            <w:vAlign w:val="center"/>
            <w:hideMark/>
          </w:tcPr>
          <w:p w14:paraId="279DB667" w14:textId="77777777" w:rsidR="00205CBC" w:rsidRDefault="00000000">
            <w:r>
              <w:rPr>
                <w:color w:val="1F4E9E"/>
              </w:rPr>
              <w:t>0.497</w:t>
            </w:r>
          </w:p>
        </w:tc>
        <w:tc>
          <w:tcPr>
            <w:tcW w:w="1247" w:type="dxa"/>
            <w:tcBorders>
              <w:top w:val="nil"/>
              <w:left w:val="nil"/>
              <w:bottom w:val="nil"/>
              <w:right w:val="nil"/>
            </w:tcBorders>
            <w:noWrap/>
            <w:vAlign w:val="center"/>
            <w:hideMark/>
          </w:tcPr>
          <w:p w14:paraId="686B52F3" w14:textId="77777777" w:rsidR="00205CBC" w:rsidRDefault="00000000">
            <w:r>
              <w:rPr>
                <w:color w:val="1F4E9E"/>
              </w:rPr>
              <w:t>p = .489</w:t>
            </w:r>
          </w:p>
        </w:tc>
        <w:tc>
          <w:tcPr>
            <w:tcW w:w="1186" w:type="dxa"/>
            <w:tcBorders>
              <w:top w:val="nil"/>
              <w:left w:val="nil"/>
              <w:bottom w:val="nil"/>
              <w:right w:val="nil"/>
            </w:tcBorders>
            <w:noWrap/>
            <w:vAlign w:val="center"/>
            <w:hideMark/>
          </w:tcPr>
          <w:p w14:paraId="785A23B1" w14:textId="77777777" w:rsidR="00205CBC" w:rsidRDefault="00000000">
            <w:r>
              <w:rPr>
                <w:color w:val="1F4E9E"/>
              </w:rPr>
              <w:t>0.023</w:t>
            </w:r>
          </w:p>
        </w:tc>
      </w:tr>
      <w:tr w:rsidR="00E82EA7" w:rsidRPr="008B5651" w14:paraId="228DB0EA" w14:textId="77777777" w:rsidTr="00132A83">
        <w:trPr>
          <w:trHeight w:val="118"/>
        </w:trPr>
        <w:tc>
          <w:tcPr>
            <w:tcW w:w="1361" w:type="dxa"/>
            <w:vMerge/>
            <w:tcBorders>
              <w:top w:val="nil"/>
              <w:left w:val="nil"/>
              <w:bottom w:val="nil"/>
              <w:right w:val="nil"/>
            </w:tcBorders>
            <w:vAlign w:val="center"/>
            <w:hideMark/>
          </w:tcPr>
          <w:p w14:paraId="7E8EE8F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B8B2C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353A317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48853D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1.87</w:t>
            </w:r>
          </w:p>
        </w:tc>
        <w:tc>
          <w:tcPr>
            <w:tcW w:w="1077" w:type="dxa"/>
            <w:tcBorders>
              <w:top w:val="nil"/>
              <w:left w:val="nil"/>
              <w:bottom w:val="nil"/>
              <w:right w:val="nil"/>
            </w:tcBorders>
            <w:noWrap/>
            <w:vAlign w:val="center"/>
            <w:hideMark/>
          </w:tcPr>
          <w:p w14:paraId="4D04F5A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39.26</w:t>
            </w:r>
          </w:p>
        </w:tc>
        <w:tc>
          <w:tcPr>
            <w:tcW w:w="1007" w:type="dxa"/>
            <w:tcBorders>
              <w:top w:val="nil"/>
              <w:left w:val="nil"/>
              <w:bottom w:val="nil"/>
              <w:right w:val="nil"/>
            </w:tcBorders>
            <w:noWrap/>
            <w:vAlign w:val="center"/>
            <w:hideMark/>
          </w:tcPr>
          <w:p w14:paraId="525121B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0.387</w:t>
            </w:r>
          </w:p>
        </w:tc>
        <w:tc>
          <w:tcPr>
            <w:tcW w:w="1247" w:type="dxa"/>
            <w:tcBorders>
              <w:top w:val="nil"/>
              <w:left w:val="nil"/>
              <w:bottom w:val="nil"/>
              <w:right w:val="nil"/>
            </w:tcBorders>
            <w:noWrap/>
            <w:vAlign w:val="center"/>
            <w:hideMark/>
          </w:tcPr>
          <w:p w14:paraId="0D877B12"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.668</w:t>
            </w:r>
          </w:p>
        </w:tc>
        <w:tc>
          <w:tcPr>
            <w:tcW w:w="1186" w:type="dxa"/>
            <w:tcBorders>
              <w:top w:val="nil"/>
              <w:left w:val="nil"/>
              <w:bottom w:val="nil"/>
              <w:right w:val="nil"/>
            </w:tcBorders>
            <w:noWrap/>
            <w:vAlign w:val="bottom"/>
            <w:hideMark/>
          </w:tcPr>
          <w:p w14:paraId="2189123F"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8C3D853" w14:textId="77777777" w:rsidTr="00132A83">
        <w:trPr>
          <w:trHeight w:val="118"/>
        </w:trPr>
        <w:tc>
          <w:tcPr>
            <w:tcW w:w="1361" w:type="dxa"/>
            <w:vMerge/>
            <w:tcBorders>
              <w:top w:val="nil"/>
              <w:left w:val="nil"/>
              <w:bottom w:val="nil"/>
              <w:right w:val="nil"/>
            </w:tcBorders>
            <w:vAlign w:val="center"/>
            <w:hideMark/>
          </w:tcPr>
          <w:p w14:paraId="30C8B31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E8A2D2E"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35F3F25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AA3AE2B" w14:textId="77777777" w:rsidR="00205CBC" w:rsidRDefault="00000000">
            <w:r>
              <w:rPr>
                <w:color w:val="1F4E9E"/>
              </w:rPr>
              <w:t>1</w:t>
            </w:r>
          </w:p>
        </w:tc>
        <w:tc>
          <w:tcPr>
            <w:tcW w:w="1077" w:type="dxa"/>
            <w:tcBorders>
              <w:top w:val="nil"/>
              <w:left w:val="nil"/>
              <w:bottom w:val="nil"/>
              <w:right w:val="nil"/>
            </w:tcBorders>
            <w:noWrap/>
            <w:vAlign w:val="center"/>
            <w:hideMark/>
          </w:tcPr>
          <w:p w14:paraId="245D8FEC" w14:textId="77777777" w:rsidR="00205CBC" w:rsidRDefault="00000000">
            <w:r>
              <w:rPr>
                <w:color w:val="1F4E9E"/>
              </w:rPr>
              <w:t>21</w:t>
            </w:r>
          </w:p>
        </w:tc>
        <w:tc>
          <w:tcPr>
            <w:tcW w:w="1007" w:type="dxa"/>
            <w:tcBorders>
              <w:top w:val="nil"/>
              <w:left w:val="nil"/>
              <w:bottom w:val="nil"/>
              <w:right w:val="nil"/>
            </w:tcBorders>
            <w:noWrap/>
            <w:vAlign w:val="center"/>
            <w:hideMark/>
          </w:tcPr>
          <w:p w14:paraId="34672495" w14:textId="77777777" w:rsidR="00205CBC" w:rsidRDefault="00000000">
            <w:r>
              <w:rPr>
                <w:color w:val="1F4E9E"/>
              </w:rPr>
              <w:t>2.222</w:t>
            </w:r>
          </w:p>
        </w:tc>
        <w:tc>
          <w:tcPr>
            <w:tcW w:w="1247" w:type="dxa"/>
            <w:tcBorders>
              <w:top w:val="nil"/>
              <w:left w:val="nil"/>
              <w:bottom w:val="nil"/>
              <w:right w:val="nil"/>
            </w:tcBorders>
            <w:noWrap/>
            <w:vAlign w:val="center"/>
            <w:hideMark/>
          </w:tcPr>
          <w:p w14:paraId="73F3256B" w14:textId="77777777" w:rsidR="00205CBC" w:rsidRDefault="00000000">
            <w:r>
              <w:rPr>
                <w:color w:val="1F4E9E"/>
              </w:rPr>
              <w:t>p = .151</w:t>
            </w:r>
          </w:p>
        </w:tc>
        <w:tc>
          <w:tcPr>
            <w:tcW w:w="1186" w:type="dxa"/>
            <w:tcBorders>
              <w:top w:val="nil"/>
              <w:left w:val="nil"/>
              <w:bottom w:val="nil"/>
              <w:right w:val="nil"/>
            </w:tcBorders>
            <w:noWrap/>
            <w:vAlign w:val="center"/>
            <w:hideMark/>
          </w:tcPr>
          <w:p w14:paraId="51EF6A0A" w14:textId="77777777" w:rsidR="00205CBC" w:rsidRDefault="00000000">
            <w:r>
              <w:rPr>
                <w:color w:val="1F4E9E"/>
              </w:rPr>
              <w:t>0.096</w:t>
            </w:r>
          </w:p>
        </w:tc>
      </w:tr>
      <w:tr w:rsidR="00E82EA7" w:rsidRPr="008B5651" w14:paraId="3E94A229" w14:textId="77777777" w:rsidTr="00132A83">
        <w:trPr>
          <w:trHeight w:val="118"/>
        </w:trPr>
        <w:tc>
          <w:tcPr>
            <w:tcW w:w="1361" w:type="dxa"/>
            <w:vMerge/>
            <w:tcBorders>
              <w:top w:val="nil"/>
              <w:left w:val="nil"/>
              <w:bottom w:val="nil"/>
              <w:right w:val="nil"/>
            </w:tcBorders>
            <w:vAlign w:val="center"/>
            <w:hideMark/>
          </w:tcPr>
          <w:p w14:paraId="3C4EC81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55DD479"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6BACE47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2C4D5FC" w14:textId="77777777" w:rsidR="00205CBC" w:rsidRDefault="00000000">
            <w:r>
              <w:rPr>
                <w:color w:val="1F4E9E"/>
              </w:rPr>
              <w:t>1.49</w:t>
            </w:r>
          </w:p>
        </w:tc>
        <w:tc>
          <w:tcPr>
            <w:tcW w:w="1077" w:type="dxa"/>
            <w:tcBorders>
              <w:top w:val="nil"/>
              <w:left w:val="nil"/>
              <w:bottom w:val="nil"/>
              <w:right w:val="nil"/>
            </w:tcBorders>
            <w:noWrap/>
            <w:vAlign w:val="center"/>
            <w:hideMark/>
          </w:tcPr>
          <w:p w14:paraId="34520608" w14:textId="77777777" w:rsidR="00205CBC" w:rsidRDefault="00000000">
            <w:r>
              <w:rPr>
                <w:color w:val="1F4E9E"/>
              </w:rPr>
              <w:t>31.27</w:t>
            </w:r>
          </w:p>
        </w:tc>
        <w:tc>
          <w:tcPr>
            <w:tcW w:w="1007" w:type="dxa"/>
            <w:tcBorders>
              <w:top w:val="nil"/>
              <w:left w:val="nil"/>
              <w:bottom w:val="nil"/>
              <w:right w:val="nil"/>
            </w:tcBorders>
            <w:noWrap/>
            <w:vAlign w:val="center"/>
            <w:hideMark/>
          </w:tcPr>
          <w:p w14:paraId="49BE2072" w14:textId="77777777" w:rsidR="00205CBC" w:rsidRDefault="00000000">
            <w:r>
              <w:rPr>
                <w:color w:val="1F4E9E"/>
              </w:rPr>
              <w:t>0.551</w:t>
            </w:r>
          </w:p>
        </w:tc>
        <w:tc>
          <w:tcPr>
            <w:tcW w:w="1247" w:type="dxa"/>
            <w:tcBorders>
              <w:top w:val="nil"/>
              <w:left w:val="nil"/>
              <w:bottom w:val="nil"/>
              <w:right w:val="nil"/>
            </w:tcBorders>
            <w:noWrap/>
            <w:vAlign w:val="center"/>
            <w:hideMark/>
          </w:tcPr>
          <w:p w14:paraId="1DEF9074" w14:textId="77777777" w:rsidR="00205CBC" w:rsidRDefault="00000000">
            <w:r>
              <w:rPr>
                <w:color w:val="1F4E9E"/>
              </w:rPr>
              <w:t>p = .531</w:t>
            </w:r>
          </w:p>
        </w:tc>
        <w:tc>
          <w:tcPr>
            <w:tcW w:w="1186" w:type="dxa"/>
            <w:tcBorders>
              <w:top w:val="nil"/>
              <w:left w:val="nil"/>
              <w:bottom w:val="nil"/>
              <w:right w:val="nil"/>
            </w:tcBorders>
            <w:noWrap/>
            <w:vAlign w:val="center"/>
            <w:hideMark/>
          </w:tcPr>
          <w:p w14:paraId="0A858038" w14:textId="77777777" w:rsidR="00205CBC" w:rsidRDefault="00000000">
            <w:r>
              <w:rPr>
                <w:color w:val="1F4E9E"/>
              </w:rPr>
              <w:t>0.026</w:t>
            </w:r>
          </w:p>
        </w:tc>
      </w:tr>
      <w:tr w:rsidR="00E82EA7" w:rsidRPr="008B5651" w14:paraId="5F19C9B6" w14:textId="77777777" w:rsidTr="00132A83">
        <w:trPr>
          <w:trHeight w:val="118"/>
        </w:trPr>
        <w:tc>
          <w:tcPr>
            <w:tcW w:w="1361" w:type="dxa"/>
            <w:vMerge/>
            <w:tcBorders>
              <w:top w:val="nil"/>
              <w:left w:val="nil"/>
              <w:bottom w:val="nil"/>
              <w:right w:val="nil"/>
            </w:tcBorders>
            <w:vAlign w:val="center"/>
            <w:hideMark/>
          </w:tcPr>
          <w:p w14:paraId="671DD31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E38DFAA"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66E97EA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6ADD811" w14:textId="77777777" w:rsidR="00205CBC" w:rsidRDefault="00000000">
            <w:r>
              <w:rPr>
                <w:color w:val="1F4E9E"/>
              </w:rPr>
              <w:t>1.97</w:t>
            </w:r>
          </w:p>
        </w:tc>
        <w:tc>
          <w:tcPr>
            <w:tcW w:w="1077" w:type="dxa"/>
            <w:tcBorders>
              <w:top w:val="nil"/>
              <w:left w:val="nil"/>
              <w:bottom w:val="nil"/>
              <w:right w:val="nil"/>
            </w:tcBorders>
            <w:noWrap/>
            <w:vAlign w:val="center"/>
            <w:hideMark/>
          </w:tcPr>
          <w:p w14:paraId="7646CB81" w14:textId="77777777" w:rsidR="00205CBC" w:rsidRDefault="00000000">
            <w:r>
              <w:rPr>
                <w:color w:val="1F4E9E"/>
              </w:rPr>
              <w:t>41.44</w:t>
            </w:r>
          </w:p>
        </w:tc>
        <w:tc>
          <w:tcPr>
            <w:tcW w:w="1007" w:type="dxa"/>
            <w:tcBorders>
              <w:top w:val="nil"/>
              <w:left w:val="nil"/>
              <w:bottom w:val="nil"/>
              <w:right w:val="nil"/>
            </w:tcBorders>
            <w:noWrap/>
            <w:vAlign w:val="center"/>
            <w:hideMark/>
          </w:tcPr>
          <w:p w14:paraId="14FA1112" w14:textId="77777777" w:rsidR="00205CBC" w:rsidRDefault="00000000">
            <w:r>
              <w:rPr>
                <w:color w:val="1F4E9E"/>
              </w:rPr>
              <w:t>0.169</w:t>
            </w:r>
          </w:p>
        </w:tc>
        <w:tc>
          <w:tcPr>
            <w:tcW w:w="1247" w:type="dxa"/>
            <w:tcBorders>
              <w:top w:val="nil"/>
              <w:left w:val="nil"/>
              <w:bottom w:val="nil"/>
              <w:right w:val="nil"/>
            </w:tcBorders>
            <w:noWrap/>
            <w:vAlign w:val="center"/>
            <w:hideMark/>
          </w:tcPr>
          <w:p w14:paraId="586DA718" w14:textId="77777777" w:rsidR="00205CBC" w:rsidRDefault="00000000">
            <w:r>
              <w:rPr>
                <w:color w:val="1F4E9E"/>
              </w:rPr>
              <w:t>p = .843</w:t>
            </w:r>
          </w:p>
        </w:tc>
        <w:tc>
          <w:tcPr>
            <w:tcW w:w="1186" w:type="dxa"/>
            <w:tcBorders>
              <w:top w:val="nil"/>
              <w:left w:val="nil"/>
              <w:bottom w:val="nil"/>
              <w:right w:val="nil"/>
            </w:tcBorders>
            <w:noWrap/>
            <w:vAlign w:val="center"/>
            <w:hideMark/>
          </w:tcPr>
          <w:p w14:paraId="01B02F78" w14:textId="77777777" w:rsidR="00205CBC" w:rsidRDefault="00000000">
            <w:r>
              <w:rPr>
                <w:color w:val="1F4E9E"/>
              </w:rPr>
              <w:t>0.008</w:t>
            </w:r>
          </w:p>
        </w:tc>
      </w:tr>
      <w:tr w:rsidR="00E82EA7" w:rsidRPr="008B5651" w14:paraId="1FDEEF8E" w14:textId="77777777" w:rsidTr="00132A83">
        <w:trPr>
          <w:trHeight w:val="118"/>
        </w:trPr>
        <w:tc>
          <w:tcPr>
            <w:tcW w:w="1361" w:type="dxa"/>
            <w:vMerge/>
            <w:tcBorders>
              <w:top w:val="nil"/>
              <w:left w:val="nil"/>
              <w:bottom w:val="nil"/>
              <w:right w:val="nil"/>
            </w:tcBorders>
            <w:vAlign w:val="center"/>
            <w:hideMark/>
          </w:tcPr>
          <w:p w14:paraId="7B5C310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AD17EDC"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71FC82E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F37C976" w14:textId="77777777" w:rsidR="00205CBC" w:rsidRDefault="00000000">
            <w:r>
              <w:rPr>
                <w:color w:val="1F4E9E"/>
              </w:rPr>
              <w:t>1</w:t>
            </w:r>
          </w:p>
        </w:tc>
        <w:tc>
          <w:tcPr>
            <w:tcW w:w="1077" w:type="dxa"/>
            <w:tcBorders>
              <w:top w:val="nil"/>
              <w:left w:val="nil"/>
              <w:bottom w:val="nil"/>
              <w:right w:val="nil"/>
            </w:tcBorders>
            <w:noWrap/>
            <w:vAlign w:val="center"/>
            <w:hideMark/>
          </w:tcPr>
          <w:p w14:paraId="1A38AE61" w14:textId="77777777" w:rsidR="00205CBC" w:rsidRDefault="00000000">
            <w:r>
              <w:rPr>
                <w:color w:val="1F4E9E"/>
              </w:rPr>
              <w:t>21</w:t>
            </w:r>
          </w:p>
        </w:tc>
        <w:tc>
          <w:tcPr>
            <w:tcW w:w="1007" w:type="dxa"/>
            <w:tcBorders>
              <w:top w:val="nil"/>
              <w:left w:val="nil"/>
              <w:bottom w:val="nil"/>
              <w:right w:val="nil"/>
            </w:tcBorders>
            <w:noWrap/>
            <w:vAlign w:val="center"/>
            <w:hideMark/>
          </w:tcPr>
          <w:p w14:paraId="0B86721E" w14:textId="77777777" w:rsidR="00205CBC" w:rsidRDefault="00000000">
            <w:r>
              <w:t>0.487</w:t>
            </w:r>
          </w:p>
        </w:tc>
        <w:tc>
          <w:tcPr>
            <w:tcW w:w="1247" w:type="dxa"/>
            <w:tcBorders>
              <w:top w:val="nil"/>
              <w:left w:val="nil"/>
              <w:bottom w:val="nil"/>
              <w:right w:val="nil"/>
            </w:tcBorders>
            <w:noWrap/>
            <w:vAlign w:val="center"/>
            <w:hideMark/>
          </w:tcPr>
          <w:p w14:paraId="3FD4A930" w14:textId="77777777" w:rsidR="00205CBC" w:rsidRDefault="00000000">
            <w:r>
              <w:t>p = .493</w:t>
            </w:r>
          </w:p>
        </w:tc>
        <w:tc>
          <w:tcPr>
            <w:tcW w:w="1186" w:type="dxa"/>
            <w:tcBorders>
              <w:top w:val="nil"/>
              <w:left w:val="nil"/>
              <w:bottom w:val="nil"/>
              <w:right w:val="nil"/>
            </w:tcBorders>
            <w:noWrap/>
            <w:vAlign w:val="center"/>
            <w:hideMark/>
          </w:tcPr>
          <w:p w14:paraId="5C6B6A6E" w14:textId="77777777" w:rsidR="00205CBC" w:rsidRDefault="00000000">
            <w:r>
              <w:t>0.023</w:t>
            </w:r>
          </w:p>
        </w:tc>
      </w:tr>
      <w:tr w:rsidR="00E82EA7" w:rsidRPr="008B5651" w14:paraId="0230E177" w14:textId="77777777" w:rsidTr="00132A83">
        <w:trPr>
          <w:trHeight w:val="118"/>
        </w:trPr>
        <w:tc>
          <w:tcPr>
            <w:tcW w:w="1361" w:type="dxa"/>
            <w:vMerge/>
            <w:tcBorders>
              <w:top w:val="nil"/>
              <w:left w:val="nil"/>
              <w:bottom w:val="nil"/>
              <w:right w:val="nil"/>
            </w:tcBorders>
            <w:vAlign w:val="center"/>
            <w:hideMark/>
          </w:tcPr>
          <w:p w14:paraId="4698DC2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142752B"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1D95EAE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B60A81C" w14:textId="77777777" w:rsidR="00205CBC" w:rsidRDefault="00000000">
            <w:r>
              <w:rPr>
                <w:color w:val="1F4E9E"/>
              </w:rPr>
              <w:t>1</w:t>
            </w:r>
          </w:p>
        </w:tc>
        <w:tc>
          <w:tcPr>
            <w:tcW w:w="1077" w:type="dxa"/>
            <w:tcBorders>
              <w:top w:val="nil"/>
              <w:left w:val="nil"/>
              <w:bottom w:val="nil"/>
              <w:right w:val="nil"/>
            </w:tcBorders>
            <w:noWrap/>
            <w:vAlign w:val="center"/>
            <w:hideMark/>
          </w:tcPr>
          <w:p w14:paraId="661E0300" w14:textId="77777777" w:rsidR="00205CBC" w:rsidRDefault="00000000">
            <w:r>
              <w:rPr>
                <w:color w:val="1F4E9E"/>
              </w:rPr>
              <w:t>21</w:t>
            </w:r>
          </w:p>
        </w:tc>
        <w:tc>
          <w:tcPr>
            <w:tcW w:w="1007" w:type="dxa"/>
            <w:tcBorders>
              <w:top w:val="nil"/>
              <w:left w:val="nil"/>
              <w:bottom w:val="nil"/>
              <w:right w:val="nil"/>
            </w:tcBorders>
            <w:noWrap/>
            <w:vAlign w:val="center"/>
            <w:hideMark/>
          </w:tcPr>
          <w:p w14:paraId="2866061F" w14:textId="77777777" w:rsidR="00205CBC" w:rsidRDefault="00000000">
            <w:r>
              <w:t>7.201</w:t>
            </w:r>
          </w:p>
        </w:tc>
        <w:tc>
          <w:tcPr>
            <w:tcW w:w="1247" w:type="dxa"/>
            <w:tcBorders>
              <w:top w:val="nil"/>
              <w:left w:val="nil"/>
              <w:bottom w:val="nil"/>
              <w:right w:val="nil"/>
            </w:tcBorders>
            <w:noWrap/>
            <w:vAlign w:val="center"/>
            <w:hideMark/>
          </w:tcPr>
          <w:p w14:paraId="6D05950C" w14:textId="77777777" w:rsidR="00205CBC" w:rsidRDefault="00000000">
            <w:r>
              <w:t>p = .014</w:t>
            </w:r>
          </w:p>
        </w:tc>
        <w:tc>
          <w:tcPr>
            <w:tcW w:w="1186" w:type="dxa"/>
            <w:tcBorders>
              <w:top w:val="nil"/>
              <w:left w:val="nil"/>
              <w:bottom w:val="nil"/>
              <w:right w:val="nil"/>
            </w:tcBorders>
            <w:noWrap/>
            <w:vAlign w:val="center"/>
            <w:hideMark/>
          </w:tcPr>
          <w:p w14:paraId="0A33D9A2" w14:textId="77777777" w:rsidR="00205CBC" w:rsidRDefault="00000000">
            <w:r>
              <w:t>0.255</w:t>
            </w:r>
          </w:p>
        </w:tc>
      </w:tr>
      <w:tr w:rsidR="00E82EA7" w:rsidRPr="008B5651" w14:paraId="56560B07" w14:textId="77777777" w:rsidTr="00132A83">
        <w:trPr>
          <w:trHeight w:val="118"/>
        </w:trPr>
        <w:tc>
          <w:tcPr>
            <w:tcW w:w="1361" w:type="dxa"/>
            <w:vMerge/>
            <w:tcBorders>
              <w:top w:val="nil"/>
              <w:left w:val="nil"/>
              <w:bottom w:val="nil"/>
              <w:right w:val="nil"/>
            </w:tcBorders>
            <w:vAlign w:val="center"/>
            <w:hideMark/>
          </w:tcPr>
          <w:p w14:paraId="28463BE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974735F"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737AD04F"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9966DDF" w14:textId="77777777" w:rsidR="00205CBC" w:rsidRDefault="00000000">
            <w:r>
              <w:t>1.74</w:t>
            </w:r>
          </w:p>
        </w:tc>
        <w:tc>
          <w:tcPr>
            <w:tcW w:w="1077" w:type="dxa"/>
            <w:tcBorders>
              <w:top w:val="nil"/>
              <w:left w:val="nil"/>
              <w:bottom w:val="nil"/>
              <w:right w:val="nil"/>
            </w:tcBorders>
            <w:noWrap/>
            <w:vAlign w:val="center"/>
            <w:hideMark/>
          </w:tcPr>
          <w:p w14:paraId="2B01D190" w14:textId="77777777" w:rsidR="00205CBC" w:rsidRDefault="00000000">
            <w:r>
              <w:t>36.63</w:t>
            </w:r>
          </w:p>
        </w:tc>
        <w:tc>
          <w:tcPr>
            <w:tcW w:w="1007" w:type="dxa"/>
            <w:tcBorders>
              <w:top w:val="nil"/>
              <w:left w:val="nil"/>
              <w:bottom w:val="nil"/>
              <w:right w:val="nil"/>
            </w:tcBorders>
            <w:noWrap/>
            <w:vAlign w:val="center"/>
            <w:hideMark/>
          </w:tcPr>
          <w:p w14:paraId="7FD15B13" w14:textId="77777777" w:rsidR="00205CBC" w:rsidRDefault="00000000">
            <w:r>
              <w:t>2.267</w:t>
            </w:r>
          </w:p>
        </w:tc>
        <w:tc>
          <w:tcPr>
            <w:tcW w:w="1247" w:type="dxa"/>
            <w:tcBorders>
              <w:top w:val="nil"/>
              <w:left w:val="nil"/>
              <w:bottom w:val="nil"/>
              <w:right w:val="nil"/>
            </w:tcBorders>
            <w:noWrap/>
            <w:vAlign w:val="center"/>
            <w:hideMark/>
          </w:tcPr>
          <w:p w14:paraId="1D9FD8F9" w14:textId="77777777" w:rsidR="00205CBC" w:rsidRDefault="00000000">
            <w:r>
              <w:t>p = .124</w:t>
            </w:r>
          </w:p>
        </w:tc>
        <w:tc>
          <w:tcPr>
            <w:tcW w:w="1186" w:type="dxa"/>
            <w:tcBorders>
              <w:top w:val="nil"/>
              <w:left w:val="nil"/>
              <w:bottom w:val="nil"/>
              <w:right w:val="nil"/>
            </w:tcBorders>
            <w:noWrap/>
            <w:vAlign w:val="center"/>
            <w:hideMark/>
          </w:tcPr>
          <w:p w14:paraId="18537FAF" w14:textId="77777777" w:rsidR="00205CBC" w:rsidRDefault="00000000">
            <w:r>
              <w:t>0.097</w:t>
            </w:r>
          </w:p>
        </w:tc>
      </w:tr>
      <w:tr w:rsidR="00E82EA7" w:rsidRPr="008B5651" w14:paraId="2C745F2C" w14:textId="77777777" w:rsidTr="00132A83">
        <w:trPr>
          <w:trHeight w:val="118"/>
        </w:trPr>
        <w:tc>
          <w:tcPr>
            <w:tcW w:w="1361" w:type="dxa"/>
            <w:vMerge/>
            <w:tcBorders>
              <w:top w:val="nil"/>
              <w:left w:val="nil"/>
              <w:bottom w:val="nil"/>
              <w:right w:val="nil"/>
            </w:tcBorders>
            <w:vAlign w:val="center"/>
            <w:hideMark/>
          </w:tcPr>
          <w:p w14:paraId="3DF1FD0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7860969"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3C23B64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1144697" w14:textId="77777777" w:rsidR="00205CBC" w:rsidRDefault="00000000">
            <w:r>
              <w:t>1.93</w:t>
            </w:r>
          </w:p>
        </w:tc>
        <w:tc>
          <w:tcPr>
            <w:tcW w:w="1077" w:type="dxa"/>
            <w:tcBorders>
              <w:top w:val="nil"/>
              <w:left w:val="nil"/>
              <w:bottom w:val="nil"/>
              <w:right w:val="nil"/>
            </w:tcBorders>
            <w:noWrap/>
            <w:vAlign w:val="center"/>
            <w:hideMark/>
          </w:tcPr>
          <w:p w14:paraId="41E4DA4F" w14:textId="77777777" w:rsidR="00205CBC" w:rsidRDefault="00000000">
            <w:r>
              <w:t>40.61</w:t>
            </w:r>
          </w:p>
        </w:tc>
        <w:tc>
          <w:tcPr>
            <w:tcW w:w="1007" w:type="dxa"/>
            <w:tcBorders>
              <w:top w:val="nil"/>
              <w:left w:val="nil"/>
              <w:bottom w:val="nil"/>
              <w:right w:val="nil"/>
            </w:tcBorders>
            <w:noWrap/>
            <w:vAlign w:val="center"/>
            <w:hideMark/>
          </w:tcPr>
          <w:p w14:paraId="0397DF2C" w14:textId="77777777" w:rsidR="00205CBC" w:rsidRDefault="00000000">
            <w:r>
              <w:t>0.161</w:t>
            </w:r>
          </w:p>
        </w:tc>
        <w:tc>
          <w:tcPr>
            <w:tcW w:w="1247" w:type="dxa"/>
            <w:tcBorders>
              <w:top w:val="nil"/>
              <w:left w:val="nil"/>
              <w:bottom w:val="nil"/>
              <w:right w:val="nil"/>
            </w:tcBorders>
            <w:noWrap/>
            <w:vAlign w:val="center"/>
            <w:hideMark/>
          </w:tcPr>
          <w:p w14:paraId="74593F9F" w14:textId="77777777" w:rsidR="00205CBC" w:rsidRDefault="00000000">
            <w:r>
              <w:t>p = .845</w:t>
            </w:r>
          </w:p>
        </w:tc>
        <w:tc>
          <w:tcPr>
            <w:tcW w:w="1186" w:type="dxa"/>
            <w:tcBorders>
              <w:top w:val="nil"/>
              <w:left w:val="nil"/>
              <w:bottom w:val="nil"/>
              <w:right w:val="nil"/>
            </w:tcBorders>
            <w:noWrap/>
            <w:vAlign w:val="center"/>
            <w:hideMark/>
          </w:tcPr>
          <w:p w14:paraId="1EEAB026" w14:textId="77777777" w:rsidR="00205CBC" w:rsidRDefault="00000000">
            <w:r>
              <w:t>0.008</w:t>
            </w:r>
          </w:p>
        </w:tc>
      </w:tr>
      <w:tr w:rsidR="00E82EA7" w:rsidRPr="008B5651" w14:paraId="219CFEF5" w14:textId="77777777" w:rsidTr="00132A83">
        <w:trPr>
          <w:trHeight w:val="118"/>
        </w:trPr>
        <w:tc>
          <w:tcPr>
            <w:tcW w:w="1361" w:type="dxa"/>
            <w:tcBorders>
              <w:top w:val="nil"/>
              <w:left w:val="nil"/>
              <w:bottom w:val="nil"/>
              <w:right w:val="nil"/>
            </w:tcBorders>
            <w:noWrap/>
            <w:vAlign w:val="bottom"/>
            <w:hideMark/>
          </w:tcPr>
          <w:p w14:paraId="0773EBC3"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052843FA"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74C480C5"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318CF330"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075A4864"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2D97D08A"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427F80E"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7C63F438" w14:textId="77777777" w:rsidR="00E82EA7" w:rsidRPr="008C2F99" w:rsidRDefault="00E82EA7" w:rsidP="003238E2">
            <w:pPr>
              <w:spacing w:after="0" w:line="240" w:lineRule="auto"/>
              <w:jc w:val="center"/>
              <w:rPr>
                <w:rFonts w:eastAsia="Times New Roman"/>
                <w:sz w:val="18"/>
                <w:szCs w:val="18"/>
              </w:rPr>
            </w:pPr>
          </w:p>
        </w:tc>
      </w:tr>
      <w:tr w:rsidR="00E82EA7" w:rsidRPr="008B5651" w14:paraId="725949FA" w14:textId="77777777" w:rsidTr="00132A83">
        <w:trPr>
          <w:trHeight w:val="118"/>
        </w:trPr>
        <w:tc>
          <w:tcPr>
            <w:tcW w:w="1361" w:type="dxa"/>
            <w:vMerge w:val="restart"/>
            <w:tcBorders>
              <w:top w:val="single" w:sz="8" w:space="0" w:color="auto"/>
              <w:left w:val="nil"/>
              <w:bottom w:val="nil"/>
              <w:right w:val="nil"/>
            </w:tcBorders>
            <w:noWrap/>
            <w:vAlign w:val="center"/>
            <w:hideMark/>
          </w:tcPr>
          <w:p w14:paraId="1EEDC52A" w14:textId="77777777" w:rsidR="00E82EA7" w:rsidRPr="008C2F99" w:rsidRDefault="00E82EA7" w:rsidP="003238E2">
            <w:pPr>
              <w:spacing w:after="0" w:line="240" w:lineRule="auto"/>
              <w:jc w:val="center"/>
              <w:rPr>
                <w:rFonts w:eastAsia="Times New Roman"/>
                <w:bCs/>
                <w:color w:val="000000"/>
                <w:sz w:val="22"/>
                <w:szCs w:val="22"/>
              </w:rPr>
            </w:pPr>
            <w:r>
              <w:t>Delay</w:t>
            </w:r>
          </w:p>
        </w:tc>
        <w:tc>
          <w:tcPr>
            <w:tcW w:w="2467" w:type="dxa"/>
            <w:tcBorders>
              <w:top w:val="single" w:sz="8" w:space="0" w:color="auto"/>
              <w:left w:val="nil"/>
              <w:bottom w:val="nil"/>
              <w:right w:val="nil"/>
            </w:tcBorders>
            <w:vAlign w:val="center"/>
            <w:hideMark/>
          </w:tcPr>
          <w:p w14:paraId="22B18CA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106E1646"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6A593DF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7CAB11F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49DCCD0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0.019</w:t>
            </w:r>
          </w:p>
        </w:tc>
        <w:tc>
          <w:tcPr>
            <w:tcW w:w="1247" w:type="dxa"/>
            <w:tcBorders>
              <w:top w:val="single" w:sz="8" w:space="0" w:color="auto"/>
              <w:left w:val="nil"/>
              <w:bottom w:val="nil"/>
              <w:right w:val="nil"/>
            </w:tcBorders>
            <w:noWrap/>
            <w:vAlign w:val="center"/>
            <w:hideMark/>
          </w:tcPr>
          <w:p w14:paraId="36B35EE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1A4C0B46"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DE6E66" w14:textId="77777777" w:rsidTr="00132A83">
        <w:trPr>
          <w:trHeight w:val="118"/>
        </w:trPr>
        <w:tc>
          <w:tcPr>
            <w:tcW w:w="1361" w:type="dxa"/>
            <w:vMerge/>
            <w:tcBorders>
              <w:top w:val="single" w:sz="8" w:space="0" w:color="auto"/>
              <w:left w:val="nil"/>
              <w:bottom w:val="nil"/>
              <w:right w:val="nil"/>
            </w:tcBorders>
            <w:vAlign w:val="center"/>
            <w:hideMark/>
          </w:tcPr>
          <w:p w14:paraId="6677FBF2"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240963F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174D71B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10F878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1.34</w:t>
            </w:r>
          </w:p>
        </w:tc>
        <w:tc>
          <w:tcPr>
            <w:tcW w:w="1077" w:type="dxa"/>
            <w:tcBorders>
              <w:top w:val="nil"/>
              <w:left w:val="nil"/>
              <w:bottom w:val="nil"/>
              <w:right w:val="nil"/>
            </w:tcBorders>
            <w:noWrap/>
            <w:vAlign w:val="center"/>
            <w:hideMark/>
          </w:tcPr>
          <w:p w14:paraId="1BCEA23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28.13</w:t>
            </w:r>
          </w:p>
        </w:tc>
        <w:tc>
          <w:tcPr>
            <w:tcW w:w="1007" w:type="dxa"/>
            <w:tcBorders>
              <w:top w:val="nil"/>
              <w:left w:val="nil"/>
              <w:bottom w:val="nil"/>
              <w:right w:val="nil"/>
            </w:tcBorders>
            <w:noWrap/>
            <w:vAlign w:val="center"/>
            <w:hideMark/>
          </w:tcPr>
          <w:p w14:paraId="61326BA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0.440</w:t>
            </w:r>
          </w:p>
        </w:tc>
        <w:tc>
          <w:tcPr>
            <w:tcW w:w="1247" w:type="dxa"/>
            <w:tcBorders>
              <w:top w:val="nil"/>
              <w:left w:val="nil"/>
              <w:bottom w:val="nil"/>
              <w:right w:val="nil"/>
            </w:tcBorders>
            <w:noWrap/>
            <w:vAlign w:val="center"/>
            <w:hideMark/>
          </w:tcPr>
          <w:p w14:paraId="6658C4A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.5</w:t>
            </w:r>
            <w:r w:rsidR="00ED68F4" w:rsidRPr="007605E5">
              <w:rPr>
                <w:rFonts w:eastAsia="Times New Roman"/>
                <w:iCs/>
                <w:sz w:val="18"/>
                <w:szCs w:val="18"/>
              </w:rPr>
              <w:t>69</w:t>
            </w:r>
          </w:p>
        </w:tc>
        <w:tc>
          <w:tcPr>
            <w:tcW w:w="1186" w:type="dxa"/>
            <w:tcBorders>
              <w:top w:val="nil"/>
              <w:left w:val="nil"/>
              <w:bottom w:val="nil"/>
              <w:right w:val="nil"/>
            </w:tcBorders>
            <w:noWrap/>
            <w:vAlign w:val="center"/>
            <w:hideMark/>
          </w:tcPr>
          <w:p w14:paraId="767E06F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0A93208" w14:textId="77777777" w:rsidTr="00132A83">
        <w:trPr>
          <w:trHeight w:val="118"/>
        </w:trPr>
        <w:tc>
          <w:tcPr>
            <w:tcW w:w="1361" w:type="dxa"/>
            <w:vMerge/>
            <w:tcBorders>
              <w:top w:val="single" w:sz="8" w:space="0" w:color="auto"/>
              <w:left w:val="nil"/>
              <w:bottom w:val="nil"/>
              <w:right w:val="nil"/>
            </w:tcBorders>
            <w:vAlign w:val="center"/>
            <w:hideMark/>
          </w:tcPr>
          <w:p w14:paraId="7F3E272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E70024B"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7A14C0E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939269A" w14:textId="77777777" w:rsidR="00205CBC" w:rsidRDefault="00000000">
            <w:r>
              <w:rPr>
                <w:color w:val="1F4E9E"/>
              </w:rPr>
              <w:t>1</w:t>
            </w:r>
          </w:p>
        </w:tc>
        <w:tc>
          <w:tcPr>
            <w:tcW w:w="1077" w:type="dxa"/>
            <w:tcBorders>
              <w:top w:val="nil"/>
              <w:left w:val="nil"/>
              <w:bottom w:val="nil"/>
              <w:right w:val="nil"/>
            </w:tcBorders>
            <w:noWrap/>
            <w:vAlign w:val="center"/>
            <w:hideMark/>
          </w:tcPr>
          <w:p w14:paraId="708A9CC3" w14:textId="77777777" w:rsidR="00205CBC" w:rsidRDefault="00000000">
            <w:r>
              <w:rPr>
                <w:color w:val="1F4E9E"/>
              </w:rPr>
              <w:t>21</w:t>
            </w:r>
          </w:p>
        </w:tc>
        <w:tc>
          <w:tcPr>
            <w:tcW w:w="1007" w:type="dxa"/>
            <w:tcBorders>
              <w:top w:val="nil"/>
              <w:left w:val="nil"/>
              <w:bottom w:val="nil"/>
              <w:right w:val="nil"/>
            </w:tcBorders>
            <w:noWrap/>
            <w:vAlign w:val="center"/>
            <w:hideMark/>
          </w:tcPr>
          <w:p w14:paraId="10ACD53C" w14:textId="77777777" w:rsidR="00205CBC" w:rsidRDefault="00000000">
            <w:r>
              <w:rPr>
                <w:color w:val="1F4E9E"/>
              </w:rPr>
              <w:t>14.338</w:t>
            </w:r>
          </w:p>
        </w:tc>
        <w:tc>
          <w:tcPr>
            <w:tcW w:w="1247" w:type="dxa"/>
            <w:tcBorders>
              <w:top w:val="nil"/>
              <w:left w:val="nil"/>
              <w:bottom w:val="nil"/>
              <w:right w:val="nil"/>
            </w:tcBorders>
            <w:noWrap/>
            <w:vAlign w:val="center"/>
            <w:hideMark/>
          </w:tcPr>
          <w:p w14:paraId="517D23F4" w14:textId="77777777" w:rsidR="00205CBC" w:rsidRDefault="00000000">
            <w:r>
              <w:t>p = .001</w:t>
            </w:r>
          </w:p>
        </w:tc>
        <w:tc>
          <w:tcPr>
            <w:tcW w:w="1186" w:type="dxa"/>
            <w:tcBorders>
              <w:top w:val="nil"/>
              <w:left w:val="nil"/>
              <w:bottom w:val="nil"/>
              <w:right w:val="nil"/>
            </w:tcBorders>
            <w:noWrap/>
            <w:vAlign w:val="center"/>
            <w:hideMark/>
          </w:tcPr>
          <w:p w14:paraId="48D93A95" w14:textId="77777777" w:rsidR="00205CBC" w:rsidRDefault="00000000">
            <w:r>
              <w:rPr>
                <w:color w:val="1F4E9E"/>
              </w:rPr>
              <w:t>0.406</w:t>
            </w:r>
          </w:p>
        </w:tc>
      </w:tr>
      <w:tr w:rsidR="00E82EA7" w:rsidRPr="008B5651" w14:paraId="72B34057" w14:textId="77777777" w:rsidTr="00132A83">
        <w:trPr>
          <w:trHeight w:val="118"/>
        </w:trPr>
        <w:tc>
          <w:tcPr>
            <w:tcW w:w="1361" w:type="dxa"/>
            <w:vMerge/>
            <w:tcBorders>
              <w:top w:val="single" w:sz="8" w:space="0" w:color="auto"/>
              <w:left w:val="nil"/>
              <w:bottom w:val="nil"/>
              <w:right w:val="nil"/>
            </w:tcBorders>
            <w:vAlign w:val="center"/>
            <w:hideMark/>
          </w:tcPr>
          <w:p w14:paraId="05F136D3"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1D0EEE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176AF5B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D61D58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2D49B1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41.16</w:t>
            </w:r>
          </w:p>
        </w:tc>
        <w:tc>
          <w:tcPr>
            <w:tcW w:w="1007" w:type="dxa"/>
            <w:tcBorders>
              <w:top w:val="nil"/>
              <w:left w:val="nil"/>
              <w:bottom w:val="nil"/>
              <w:right w:val="nil"/>
            </w:tcBorders>
            <w:noWrap/>
            <w:vAlign w:val="center"/>
            <w:hideMark/>
          </w:tcPr>
          <w:p w14:paraId="7F182AB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0.378</w:t>
            </w:r>
          </w:p>
        </w:tc>
        <w:tc>
          <w:tcPr>
            <w:tcW w:w="1247" w:type="dxa"/>
            <w:tcBorders>
              <w:top w:val="nil"/>
              <w:left w:val="nil"/>
              <w:bottom w:val="nil"/>
              <w:right w:val="nil"/>
            </w:tcBorders>
            <w:noWrap/>
            <w:vAlign w:val="center"/>
            <w:hideMark/>
          </w:tcPr>
          <w:p w14:paraId="5D2C510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.683</w:t>
            </w:r>
          </w:p>
        </w:tc>
        <w:tc>
          <w:tcPr>
            <w:tcW w:w="1186" w:type="dxa"/>
            <w:tcBorders>
              <w:top w:val="nil"/>
              <w:left w:val="nil"/>
              <w:bottom w:val="nil"/>
              <w:right w:val="nil"/>
            </w:tcBorders>
            <w:noWrap/>
            <w:vAlign w:val="center"/>
            <w:hideMark/>
          </w:tcPr>
          <w:p w14:paraId="082E4900"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C1DE317" w14:textId="77777777" w:rsidTr="00132A83">
        <w:trPr>
          <w:trHeight w:val="118"/>
        </w:trPr>
        <w:tc>
          <w:tcPr>
            <w:tcW w:w="1361" w:type="dxa"/>
            <w:vMerge/>
            <w:tcBorders>
              <w:top w:val="single" w:sz="8" w:space="0" w:color="auto"/>
              <w:left w:val="nil"/>
              <w:bottom w:val="nil"/>
              <w:right w:val="nil"/>
            </w:tcBorders>
            <w:vAlign w:val="center"/>
            <w:hideMark/>
          </w:tcPr>
          <w:p w14:paraId="61B8446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5256541"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36AA6B2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2DD3FEF" w14:textId="77777777" w:rsidR="00205CBC" w:rsidRDefault="00000000">
            <w:r>
              <w:rPr>
                <w:color w:val="1F4E9E"/>
              </w:rPr>
              <w:t>1</w:t>
            </w:r>
          </w:p>
        </w:tc>
        <w:tc>
          <w:tcPr>
            <w:tcW w:w="1077" w:type="dxa"/>
            <w:tcBorders>
              <w:top w:val="nil"/>
              <w:left w:val="nil"/>
              <w:bottom w:val="nil"/>
              <w:right w:val="nil"/>
            </w:tcBorders>
            <w:noWrap/>
            <w:vAlign w:val="center"/>
            <w:hideMark/>
          </w:tcPr>
          <w:p w14:paraId="3CEA9754" w14:textId="77777777" w:rsidR="00205CBC" w:rsidRDefault="00000000">
            <w:r>
              <w:rPr>
                <w:color w:val="1F4E9E"/>
              </w:rPr>
              <w:t>21</w:t>
            </w:r>
          </w:p>
        </w:tc>
        <w:tc>
          <w:tcPr>
            <w:tcW w:w="1007" w:type="dxa"/>
            <w:tcBorders>
              <w:top w:val="nil"/>
              <w:left w:val="nil"/>
              <w:bottom w:val="nil"/>
              <w:right w:val="nil"/>
            </w:tcBorders>
            <w:noWrap/>
            <w:vAlign w:val="center"/>
            <w:hideMark/>
          </w:tcPr>
          <w:p w14:paraId="0EBC53C0" w14:textId="77777777" w:rsidR="00205CBC" w:rsidRDefault="00000000">
            <w:r>
              <w:rPr>
                <w:color w:val="1F4E9E"/>
              </w:rPr>
              <w:t>0.262</w:t>
            </w:r>
          </w:p>
        </w:tc>
        <w:tc>
          <w:tcPr>
            <w:tcW w:w="1247" w:type="dxa"/>
            <w:tcBorders>
              <w:top w:val="nil"/>
              <w:left w:val="nil"/>
              <w:bottom w:val="nil"/>
              <w:right w:val="nil"/>
            </w:tcBorders>
            <w:noWrap/>
            <w:vAlign w:val="center"/>
            <w:hideMark/>
          </w:tcPr>
          <w:p w14:paraId="69E5A53E" w14:textId="77777777" w:rsidR="00205CBC" w:rsidRDefault="00000000">
            <w:r>
              <w:rPr>
                <w:color w:val="1F4E9E"/>
              </w:rPr>
              <w:t>p = .614</w:t>
            </w:r>
          </w:p>
        </w:tc>
        <w:tc>
          <w:tcPr>
            <w:tcW w:w="1186" w:type="dxa"/>
            <w:tcBorders>
              <w:top w:val="nil"/>
              <w:left w:val="nil"/>
              <w:bottom w:val="nil"/>
              <w:right w:val="nil"/>
            </w:tcBorders>
            <w:noWrap/>
            <w:vAlign w:val="center"/>
            <w:hideMark/>
          </w:tcPr>
          <w:p w14:paraId="2A013A14" w14:textId="77777777" w:rsidR="00205CBC" w:rsidRDefault="00000000">
            <w:r>
              <w:rPr>
                <w:color w:val="1F4E9E"/>
              </w:rPr>
              <w:t>0.012</w:t>
            </w:r>
          </w:p>
        </w:tc>
      </w:tr>
      <w:tr w:rsidR="00E82EA7" w:rsidRPr="008B5651" w14:paraId="50DCB1FD" w14:textId="77777777" w:rsidTr="00132A83">
        <w:trPr>
          <w:trHeight w:val="118"/>
        </w:trPr>
        <w:tc>
          <w:tcPr>
            <w:tcW w:w="1361" w:type="dxa"/>
            <w:vMerge/>
            <w:tcBorders>
              <w:top w:val="single" w:sz="8" w:space="0" w:color="auto"/>
              <w:left w:val="nil"/>
              <w:bottom w:val="nil"/>
              <w:right w:val="nil"/>
            </w:tcBorders>
            <w:vAlign w:val="center"/>
            <w:hideMark/>
          </w:tcPr>
          <w:p w14:paraId="719DAA5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89BD1C6"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1CCB656F"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1FF1842" w14:textId="77777777" w:rsidR="00205CBC" w:rsidRDefault="00000000">
            <w:r>
              <w:rPr>
                <w:color w:val="1F4E9E"/>
              </w:rPr>
              <w:t>1.56</w:t>
            </w:r>
          </w:p>
        </w:tc>
        <w:tc>
          <w:tcPr>
            <w:tcW w:w="1077" w:type="dxa"/>
            <w:tcBorders>
              <w:top w:val="nil"/>
              <w:left w:val="nil"/>
              <w:bottom w:val="nil"/>
              <w:right w:val="nil"/>
            </w:tcBorders>
            <w:noWrap/>
            <w:vAlign w:val="center"/>
            <w:hideMark/>
          </w:tcPr>
          <w:p w14:paraId="72527A02" w14:textId="77777777" w:rsidR="00205CBC" w:rsidRDefault="00000000">
            <w:r>
              <w:rPr>
                <w:color w:val="1F4E9E"/>
              </w:rPr>
              <w:t>32.72</w:t>
            </w:r>
          </w:p>
        </w:tc>
        <w:tc>
          <w:tcPr>
            <w:tcW w:w="1007" w:type="dxa"/>
            <w:tcBorders>
              <w:top w:val="nil"/>
              <w:left w:val="nil"/>
              <w:bottom w:val="nil"/>
              <w:right w:val="nil"/>
            </w:tcBorders>
            <w:noWrap/>
            <w:vAlign w:val="center"/>
            <w:hideMark/>
          </w:tcPr>
          <w:p w14:paraId="611F9D5B" w14:textId="77777777" w:rsidR="00205CBC" w:rsidRDefault="00000000">
            <w:r>
              <w:rPr>
                <w:color w:val="1F4E9E"/>
              </w:rPr>
              <w:t>0.283</w:t>
            </w:r>
          </w:p>
        </w:tc>
        <w:tc>
          <w:tcPr>
            <w:tcW w:w="1247" w:type="dxa"/>
            <w:tcBorders>
              <w:top w:val="nil"/>
              <w:left w:val="nil"/>
              <w:bottom w:val="nil"/>
              <w:right w:val="nil"/>
            </w:tcBorders>
            <w:noWrap/>
            <w:vAlign w:val="center"/>
            <w:hideMark/>
          </w:tcPr>
          <w:p w14:paraId="14E484DA" w14:textId="77777777" w:rsidR="00205CBC" w:rsidRDefault="00000000">
            <w:r>
              <w:rPr>
                <w:color w:val="1F4E9E"/>
              </w:rPr>
              <w:t>p = .701</w:t>
            </w:r>
          </w:p>
        </w:tc>
        <w:tc>
          <w:tcPr>
            <w:tcW w:w="1186" w:type="dxa"/>
            <w:tcBorders>
              <w:top w:val="nil"/>
              <w:left w:val="nil"/>
              <w:bottom w:val="nil"/>
              <w:right w:val="nil"/>
            </w:tcBorders>
            <w:noWrap/>
            <w:vAlign w:val="bottom"/>
            <w:hideMark/>
          </w:tcPr>
          <w:p w14:paraId="1DC95C0A" w14:textId="77777777" w:rsidR="00205CBC" w:rsidRDefault="00000000">
            <w:r>
              <w:rPr>
                <w:color w:val="1F4E9E"/>
              </w:rPr>
              <w:t>0.013</w:t>
            </w:r>
          </w:p>
        </w:tc>
      </w:tr>
      <w:tr w:rsidR="00E82EA7" w:rsidRPr="008B5651" w14:paraId="17550F7A" w14:textId="77777777" w:rsidTr="00132A83">
        <w:trPr>
          <w:trHeight w:val="118"/>
        </w:trPr>
        <w:tc>
          <w:tcPr>
            <w:tcW w:w="1361" w:type="dxa"/>
            <w:vMerge/>
            <w:tcBorders>
              <w:top w:val="single" w:sz="8" w:space="0" w:color="auto"/>
              <w:left w:val="nil"/>
              <w:bottom w:val="nil"/>
              <w:right w:val="nil"/>
            </w:tcBorders>
            <w:vAlign w:val="center"/>
            <w:hideMark/>
          </w:tcPr>
          <w:p w14:paraId="3DA5264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3B9624F"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79FD2A3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04A798C" w14:textId="77777777" w:rsidR="00205CBC" w:rsidRDefault="00000000">
            <w:r>
              <w:rPr>
                <w:color w:val="1F4E9E"/>
              </w:rPr>
              <w:t>1.90</w:t>
            </w:r>
          </w:p>
        </w:tc>
        <w:tc>
          <w:tcPr>
            <w:tcW w:w="1077" w:type="dxa"/>
            <w:tcBorders>
              <w:top w:val="nil"/>
              <w:left w:val="nil"/>
              <w:bottom w:val="nil"/>
              <w:right w:val="nil"/>
            </w:tcBorders>
            <w:noWrap/>
            <w:vAlign w:val="center"/>
            <w:hideMark/>
          </w:tcPr>
          <w:p w14:paraId="4425AE6D" w14:textId="77777777" w:rsidR="00205CBC" w:rsidRDefault="00000000">
            <w:r>
              <w:rPr>
                <w:color w:val="1F4E9E"/>
              </w:rPr>
              <w:t>39.84</w:t>
            </w:r>
          </w:p>
        </w:tc>
        <w:tc>
          <w:tcPr>
            <w:tcW w:w="1007" w:type="dxa"/>
            <w:tcBorders>
              <w:top w:val="nil"/>
              <w:left w:val="nil"/>
              <w:bottom w:val="nil"/>
              <w:right w:val="nil"/>
            </w:tcBorders>
            <w:noWrap/>
            <w:vAlign w:val="center"/>
            <w:hideMark/>
          </w:tcPr>
          <w:p w14:paraId="74A158C6" w14:textId="77777777" w:rsidR="00205CBC" w:rsidRDefault="00000000">
            <w:r>
              <w:rPr>
                <w:color w:val="1F4E9E"/>
              </w:rPr>
              <w:t>0.031</w:t>
            </w:r>
          </w:p>
        </w:tc>
        <w:tc>
          <w:tcPr>
            <w:tcW w:w="1247" w:type="dxa"/>
            <w:tcBorders>
              <w:top w:val="nil"/>
              <w:left w:val="nil"/>
              <w:bottom w:val="nil"/>
              <w:right w:val="nil"/>
            </w:tcBorders>
            <w:noWrap/>
            <w:vAlign w:val="center"/>
            <w:hideMark/>
          </w:tcPr>
          <w:p w14:paraId="6CD78F99" w14:textId="77777777" w:rsidR="00205CBC" w:rsidRDefault="00000000">
            <w:r>
              <w:rPr>
                <w:color w:val="1F4E9E"/>
              </w:rPr>
              <w:t>p = .964</w:t>
            </w:r>
          </w:p>
        </w:tc>
        <w:tc>
          <w:tcPr>
            <w:tcW w:w="1186" w:type="dxa"/>
            <w:tcBorders>
              <w:top w:val="nil"/>
              <w:left w:val="nil"/>
              <w:bottom w:val="nil"/>
              <w:right w:val="nil"/>
            </w:tcBorders>
            <w:noWrap/>
            <w:vAlign w:val="center"/>
            <w:hideMark/>
          </w:tcPr>
          <w:p w14:paraId="24ACE189" w14:textId="77777777" w:rsidR="00205CBC" w:rsidRDefault="00000000">
            <w:r>
              <w:rPr>
                <w:color w:val="1F4E9E"/>
              </w:rPr>
              <w:t>0.001</w:t>
            </w:r>
          </w:p>
        </w:tc>
      </w:tr>
      <w:tr w:rsidR="00E82EA7" w:rsidRPr="008B5651" w14:paraId="531F8ED0" w14:textId="77777777" w:rsidTr="00132A83">
        <w:trPr>
          <w:trHeight w:val="118"/>
        </w:trPr>
        <w:tc>
          <w:tcPr>
            <w:tcW w:w="1361" w:type="dxa"/>
            <w:vMerge/>
            <w:tcBorders>
              <w:top w:val="single" w:sz="8" w:space="0" w:color="auto"/>
              <w:left w:val="nil"/>
              <w:bottom w:val="nil"/>
              <w:right w:val="nil"/>
            </w:tcBorders>
            <w:vAlign w:val="center"/>
            <w:hideMark/>
          </w:tcPr>
          <w:p w14:paraId="353F7278"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E173371"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3B1D6BB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2B91F84" w14:textId="77777777" w:rsidR="00205CBC" w:rsidRDefault="00000000">
            <w:r>
              <w:rPr>
                <w:color w:val="1F4E9E"/>
              </w:rPr>
              <w:t>1</w:t>
            </w:r>
          </w:p>
        </w:tc>
        <w:tc>
          <w:tcPr>
            <w:tcW w:w="1077" w:type="dxa"/>
            <w:tcBorders>
              <w:top w:val="nil"/>
              <w:left w:val="nil"/>
              <w:bottom w:val="nil"/>
              <w:right w:val="nil"/>
            </w:tcBorders>
            <w:noWrap/>
            <w:vAlign w:val="center"/>
            <w:hideMark/>
          </w:tcPr>
          <w:p w14:paraId="42FB1053" w14:textId="77777777" w:rsidR="00205CBC" w:rsidRDefault="00000000">
            <w:r>
              <w:rPr>
                <w:color w:val="1F4E9E"/>
              </w:rPr>
              <w:t>21</w:t>
            </w:r>
          </w:p>
        </w:tc>
        <w:tc>
          <w:tcPr>
            <w:tcW w:w="1007" w:type="dxa"/>
            <w:tcBorders>
              <w:top w:val="nil"/>
              <w:left w:val="nil"/>
              <w:bottom w:val="nil"/>
              <w:right w:val="nil"/>
            </w:tcBorders>
            <w:noWrap/>
            <w:vAlign w:val="center"/>
            <w:hideMark/>
          </w:tcPr>
          <w:p w14:paraId="34AE2648" w14:textId="77777777" w:rsidR="00205CBC" w:rsidRDefault="00000000">
            <w:r>
              <w:t>4.041</w:t>
            </w:r>
          </w:p>
        </w:tc>
        <w:tc>
          <w:tcPr>
            <w:tcW w:w="1247" w:type="dxa"/>
            <w:tcBorders>
              <w:top w:val="nil"/>
              <w:left w:val="nil"/>
              <w:bottom w:val="nil"/>
              <w:right w:val="nil"/>
            </w:tcBorders>
            <w:noWrap/>
            <w:vAlign w:val="center"/>
            <w:hideMark/>
          </w:tcPr>
          <w:p w14:paraId="17FF61BD" w14:textId="77777777" w:rsidR="00205CBC" w:rsidRDefault="00000000">
            <w:r>
              <w:t>p = .057</w:t>
            </w:r>
          </w:p>
        </w:tc>
        <w:tc>
          <w:tcPr>
            <w:tcW w:w="1186" w:type="dxa"/>
            <w:tcBorders>
              <w:top w:val="nil"/>
              <w:left w:val="nil"/>
              <w:bottom w:val="nil"/>
              <w:right w:val="nil"/>
            </w:tcBorders>
            <w:noWrap/>
            <w:vAlign w:val="center"/>
            <w:hideMark/>
          </w:tcPr>
          <w:p w14:paraId="3B55515F" w14:textId="77777777" w:rsidR="00205CBC" w:rsidRDefault="00000000">
            <w:r>
              <w:t>0.161</w:t>
            </w:r>
          </w:p>
        </w:tc>
      </w:tr>
      <w:tr w:rsidR="00E82EA7" w:rsidRPr="008B5651" w14:paraId="1B3A1C5D" w14:textId="77777777" w:rsidTr="00132A83">
        <w:trPr>
          <w:trHeight w:val="118"/>
        </w:trPr>
        <w:tc>
          <w:tcPr>
            <w:tcW w:w="1361" w:type="dxa"/>
            <w:vMerge/>
            <w:tcBorders>
              <w:top w:val="single" w:sz="8" w:space="0" w:color="auto"/>
              <w:left w:val="nil"/>
              <w:bottom w:val="nil"/>
              <w:right w:val="nil"/>
            </w:tcBorders>
            <w:vAlign w:val="center"/>
            <w:hideMark/>
          </w:tcPr>
          <w:p w14:paraId="7CB6B19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7C769D0"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08330B6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94878A2" w14:textId="77777777" w:rsidR="00205CBC" w:rsidRDefault="00000000">
            <w:r>
              <w:rPr>
                <w:color w:val="1F4E9E"/>
              </w:rPr>
              <w:t>1</w:t>
            </w:r>
          </w:p>
        </w:tc>
        <w:tc>
          <w:tcPr>
            <w:tcW w:w="1077" w:type="dxa"/>
            <w:tcBorders>
              <w:top w:val="nil"/>
              <w:left w:val="nil"/>
              <w:bottom w:val="nil"/>
              <w:right w:val="nil"/>
            </w:tcBorders>
            <w:noWrap/>
            <w:vAlign w:val="center"/>
            <w:hideMark/>
          </w:tcPr>
          <w:p w14:paraId="5C48A402" w14:textId="77777777" w:rsidR="00205CBC" w:rsidRDefault="00000000">
            <w:r>
              <w:rPr>
                <w:color w:val="1F4E9E"/>
              </w:rPr>
              <w:t>21</w:t>
            </w:r>
          </w:p>
        </w:tc>
        <w:tc>
          <w:tcPr>
            <w:tcW w:w="1007" w:type="dxa"/>
            <w:tcBorders>
              <w:top w:val="nil"/>
              <w:left w:val="nil"/>
              <w:bottom w:val="nil"/>
              <w:right w:val="nil"/>
            </w:tcBorders>
            <w:noWrap/>
            <w:vAlign w:val="center"/>
            <w:hideMark/>
          </w:tcPr>
          <w:p w14:paraId="69C8D3AA" w14:textId="77777777" w:rsidR="00205CBC" w:rsidRDefault="00000000">
            <w:r>
              <w:t>0.574</w:t>
            </w:r>
          </w:p>
        </w:tc>
        <w:tc>
          <w:tcPr>
            <w:tcW w:w="1247" w:type="dxa"/>
            <w:tcBorders>
              <w:top w:val="nil"/>
              <w:left w:val="nil"/>
              <w:bottom w:val="nil"/>
              <w:right w:val="nil"/>
            </w:tcBorders>
            <w:noWrap/>
            <w:vAlign w:val="center"/>
            <w:hideMark/>
          </w:tcPr>
          <w:p w14:paraId="586D1306" w14:textId="77777777" w:rsidR="00205CBC" w:rsidRDefault="00000000">
            <w:r>
              <w:t>p = .457</w:t>
            </w:r>
          </w:p>
        </w:tc>
        <w:tc>
          <w:tcPr>
            <w:tcW w:w="1186" w:type="dxa"/>
            <w:tcBorders>
              <w:top w:val="nil"/>
              <w:left w:val="nil"/>
              <w:bottom w:val="nil"/>
              <w:right w:val="nil"/>
            </w:tcBorders>
            <w:noWrap/>
            <w:vAlign w:val="center"/>
            <w:hideMark/>
          </w:tcPr>
          <w:p w14:paraId="6B7FA717" w14:textId="77777777" w:rsidR="00205CBC" w:rsidRDefault="00000000">
            <w:r>
              <w:t>0.027</w:t>
            </w:r>
          </w:p>
        </w:tc>
      </w:tr>
      <w:tr w:rsidR="00E82EA7" w:rsidRPr="008B5651" w14:paraId="1D13A9A4" w14:textId="77777777" w:rsidTr="00132A83">
        <w:trPr>
          <w:trHeight w:val="118"/>
        </w:trPr>
        <w:tc>
          <w:tcPr>
            <w:tcW w:w="1361" w:type="dxa"/>
            <w:vMerge/>
            <w:tcBorders>
              <w:top w:val="single" w:sz="8" w:space="0" w:color="auto"/>
              <w:left w:val="nil"/>
              <w:bottom w:val="nil"/>
              <w:right w:val="nil"/>
            </w:tcBorders>
            <w:vAlign w:val="center"/>
            <w:hideMark/>
          </w:tcPr>
          <w:p w14:paraId="1F5ECAC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29596C6"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0FC5EE0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749D3BE" w14:textId="77777777" w:rsidR="00205CBC" w:rsidRDefault="00000000">
            <w:r>
              <w:t>1.93</w:t>
            </w:r>
          </w:p>
        </w:tc>
        <w:tc>
          <w:tcPr>
            <w:tcW w:w="1077" w:type="dxa"/>
            <w:tcBorders>
              <w:top w:val="nil"/>
              <w:left w:val="nil"/>
              <w:bottom w:val="nil"/>
              <w:right w:val="nil"/>
            </w:tcBorders>
            <w:noWrap/>
            <w:vAlign w:val="center"/>
            <w:hideMark/>
          </w:tcPr>
          <w:p w14:paraId="264CFF42" w14:textId="77777777" w:rsidR="00205CBC" w:rsidRDefault="00000000">
            <w:r>
              <w:t>40.62</w:t>
            </w:r>
          </w:p>
        </w:tc>
        <w:tc>
          <w:tcPr>
            <w:tcW w:w="1007" w:type="dxa"/>
            <w:tcBorders>
              <w:top w:val="nil"/>
              <w:left w:val="nil"/>
              <w:bottom w:val="nil"/>
              <w:right w:val="nil"/>
            </w:tcBorders>
            <w:noWrap/>
            <w:vAlign w:val="center"/>
            <w:hideMark/>
          </w:tcPr>
          <w:p w14:paraId="72E95BA5" w14:textId="77777777" w:rsidR="00205CBC" w:rsidRDefault="00000000">
            <w:r>
              <w:t>0.682</w:t>
            </w:r>
          </w:p>
        </w:tc>
        <w:tc>
          <w:tcPr>
            <w:tcW w:w="1247" w:type="dxa"/>
            <w:tcBorders>
              <w:top w:val="nil"/>
              <w:left w:val="nil"/>
              <w:bottom w:val="nil"/>
              <w:right w:val="nil"/>
            </w:tcBorders>
            <w:noWrap/>
            <w:vAlign w:val="center"/>
            <w:hideMark/>
          </w:tcPr>
          <w:p w14:paraId="7D6DAC85" w14:textId="77777777" w:rsidR="00205CBC" w:rsidRDefault="00000000">
            <w:r>
              <w:t>p = .506</w:t>
            </w:r>
          </w:p>
        </w:tc>
        <w:tc>
          <w:tcPr>
            <w:tcW w:w="1186" w:type="dxa"/>
            <w:tcBorders>
              <w:top w:val="nil"/>
              <w:left w:val="nil"/>
              <w:bottom w:val="nil"/>
              <w:right w:val="nil"/>
            </w:tcBorders>
            <w:noWrap/>
            <w:vAlign w:val="center"/>
            <w:hideMark/>
          </w:tcPr>
          <w:p w14:paraId="73805396" w14:textId="77777777" w:rsidR="00205CBC" w:rsidRDefault="00000000">
            <w:r>
              <w:t>0.031</w:t>
            </w:r>
          </w:p>
        </w:tc>
      </w:tr>
      <w:tr w:rsidR="00E82EA7" w:rsidRPr="008B5651" w14:paraId="1CA1CBB1" w14:textId="77777777" w:rsidTr="00132A83">
        <w:trPr>
          <w:trHeight w:val="118"/>
        </w:trPr>
        <w:tc>
          <w:tcPr>
            <w:tcW w:w="1361" w:type="dxa"/>
            <w:vMerge/>
            <w:tcBorders>
              <w:top w:val="single" w:sz="8" w:space="0" w:color="auto"/>
              <w:left w:val="nil"/>
              <w:bottom w:val="nil"/>
              <w:right w:val="nil"/>
            </w:tcBorders>
            <w:vAlign w:val="center"/>
            <w:hideMark/>
          </w:tcPr>
          <w:p w14:paraId="165FADB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F97A3E9"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2778137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48F6C69" w14:textId="77777777" w:rsidR="00205CBC" w:rsidRDefault="00000000">
            <w:r>
              <w:t>1.98</w:t>
            </w:r>
          </w:p>
        </w:tc>
        <w:tc>
          <w:tcPr>
            <w:tcW w:w="1077" w:type="dxa"/>
            <w:tcBorders>
              <w:top w:val="nil"/>
              <w:left w:val="nil"/>
              <w:bottom w:val="nil"/>
              <w:right w:val="nil"/>
            </w:tcBorders>
            <w:noWrap/>
            <w:vAlign w:val="center"/>
            <w:hideMark/>
          </w:tcPr>
          <w:p w14:paraId="4D3ECA1E" w14:textId="77777777" w:rsidR="00205CBC" w:rsidRDefault="00000000">
            <w:r>
              <w:t>41.67</w:t>
            </w:r>
          </w:p>
        </w:tc>
        <w:tc>
          <w:tcPr>
            <w:tcW w:w="1007" w:type="dxa"/>
            <w:tcBorders>
              <w:top w:val="nil"/>
              <w:left w:val="nil"/>
              <w:bottom w:val="nil"/>
              <w:right w:val="nil"/>
            </w:tcBorders>
            <w:noWrap/>
            <w:vAlign w:val="center"/>
            <w:hideMark/>
          </w:tcPr>
          <w:p w14:paraId="7CDCAFCB" w14:textId="77777777" w:rsidR="00205CBC" w:rsidRDefault="00000000">
            <w:r>
              <w:t>0.330</w:t>
            </w:r>
          </w:p>
        </w:tc>
        <w:tc>
          <w:tcPr>
            <w:tcW w:w="1247" w:type="dxa"/>
            <w:tcBorders>
              <w:top w:val="nil"/>
              <w:left w:val="nil"/>
              <w:bottom w:val="nil"/>
              <w:right w:val="nil"/>
            </w:tcBorders>
            <w:noWrap/>
            <w:vAlign w:val="center"/>
            <w:hideMark/>
          </w:tcPr>
          <w:p w14:paraId="39510937" w14:textId="77777777" w:rsidR="00205CBC" w:rsidRDefault="00000000">
            <w:r>
              <w:t>p = .719</w:t>
            </w:r>
          </w:p>
        </w:tc>
        <w:tc>
          <w:tcPr>
            <w:tcW w:w="1186" w:type="dxa"/>
            <w:tcBorders>
              <w:top w:val="nil"/>
              <w:left w:val="nil"/>
              <w:bottom w:val="nil"/>
              <w:right w:val="nil"/>
            </w:tcBorders>
            <w:noWrap/>
            <w:vAlign w:val="center"/>
            <w:hideMark/>
          </w:tcPr>
          <w:p w14:paraId="74DB503B" w14:textId="77777777" w:rsidR="00205CBC" w:rsidRDefault="00000000">
            <w:r>
              <w:t>0.015</w:t>
            </w:r>
          </w:p>
        </w:tc>
      </w:tr>
      <w:tr w:rsidR="00E82EA7" w:rsidRPr="008B5651" w14:paraId="04B549F1" w14:textId="77777777" w:rsidTr="00132A83">
        <w:trPr>
          <w:trHeight w:val="118"/>
        </w:trPr>
        <w:tc>
          <w:tcPr>
            <w:tcW w:w="1361" w:type="dxa"/>
            <w:tcBorders>
              <w:top w:val="nil"/>
              <w:left w:val="nil"/>
              <w:bottom w:val="nil"/>
              <w:right w:val="nil"/>
            </w:tcBorders>
            <w:noWrap/>
            <w:vAlign w:val="bottom"/>
            <w:hideMark/>
          </w:tcPr>
          <w:p w14:paraId="060FFA21"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2DFB79A3"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23763E27"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0A3B3324"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1C259ECF"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6A4A1D8C"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85C8676"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09F2758" w14:textId="77777777" w:rsidR="00E82EA7" w:rsidRPr="008C2F99" w:rsidRDefault="00E82EA7" w:rsidP="003238E2">
            <w:pPr>
              <w:spacing w:after="0" w:line="240" w:lineRule="auto"/>
              <w:jc w:val="center"/>
              <w:rPr>
                <w:rFonts w:eastAsia="Times New Roman"/>
                <w:sz w:val="18"/>
                <w:szCs w:val="18"/>
              </w:rPr>
            </w:pPr>
          </w:p>
        </w:tc>
      </w:tr>
      <w:tr w:rsidR="00E82EA7" w:rsidRPr="008B5651" w14:paraId="0B602AFD" w14:textId="77777777" w:rsidTr="00132A83">
        <w:trPr>
          <w:trHeight w:val="118"/>
        </w:trPr>
        <w:tc>
          <w:tcPr>
            <w:tcW w:w="1361" w:type="dxa"/>
            <w:vMerge w:val="restart"/>
            <w:tcBorders>
              <w:top w:val="single" w:sz="8" w:space="0" w:color="auto"/>
              <w:left w:val="nil"/>
              <w:bottom w:val="nil"/>
              <w:right w:val="nil"/>
            </w:tcBorders>
            <w:noWrap/>
            <w:vAlign w:val="center"/>
            <w:hideMark/>
          </w:tcPr>
          <w:p w14:paraId="39E25667"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sz w:val="22"/>
                <w:szCs w:val="22"/>
              </w:rPr>
              <w:t>esponse signal</w:t>
            </w:r>
          </w:p>
        </w:tc>
        <w:tc>
          <w:tcPr>
            <w:tcW w:w="2467" w:type="dxa"/>
            <w:tcBorders>
              <w:top w:val="single" w:sz="8" w:space="0" w:color="auto"/>
              <w:left w:val="nil"/>
              <w:bottom w:val="nil"/>
              <w:right w:val="nil"/>
            </w:tcBorders>
            <w:vAlign w:val="center"/>
            <w:hideMark/>
          </w:tcPr>
          <w:p w14:paraId="3B197B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5BA654D2"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1710F2C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003D90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54D40C0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0.185</w:t>
            </w:r>
          </w:p>
        </w:tc>
        <w:tc>
          <w:tcPr>
            <w:tcW w:w="1247" w:type="dxa"/>
            <w:tcBorders>
              <w:top w:val="single" w:sz="8" w:space="0" w:color="auto"/>
              <w:left w:val="nil"/>
              <w:bottom w:val="nil"/>
              <w:right w:val="nil"/>
            </w:tcBorders>
            <w:noWrap/>
            <w:vAlign w:val="center"/>
            <w:hideMark/>
          </w:tcPr>
          <w:p w14:paraId="65DDDFB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0BDBD3FC"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2E2E9BB9" w14:textId="77777777" w:rsidTr="00132A83">
        <w:trPr>
          <w:trHeight w:val="118"/>
        </w:trPr>
        <w:tc>
          <w:tcPr>
            <w:tcW w:w="1361" w:type="dxa"/>
            <w:vMerge/>
            <w:tcBorders>
              <w:top w:val="single" w:sz="8" w:space="0" w:color="auto"/>
              <w:left w:val="nil"/>
              <w:bottom w:val="nil"/>
              <w:right w:val="nil"/>
            </w:tcBorders>
            <w:vAlign w:val="center"/>
            <w:hideMark/>
          </w:tcPr>
          <w:p w14:paraId="035DE77B"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4861CA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6806B4C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452C66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1.45</w:t>
            </w:r>
          </w:p>
        </w:tc>
        <w:tc>
          <w:tcPr>
            <w:tcW w:w="1077" w:type="dxa"/>
            <w:tcBorders>
              <w:top w:val="nil"/>
              <w:left w:val="nil"/>
              <w:bottom w:val="nil"/>
              <w:right w:val="nil"/>
            </w:tcBorders>
            <w:noWrap/>
            <w:vAlign w:val="center"/>
            <w:hideMark/>
          </w:tcPr>
          <w:p w14:paraId="56935F5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30.43</w:t>
            </w:r>
          </w:p>
        </w:tc>
        <w:tc>
          <w:tcPr>
            <w:tcW w:w="1007" w:type="dxa"/>
            <w:tcBorders>
              <w:top w:val="nil"/>
              <w:left w:val="nil"/>
              <w:bottom w:val="nil"/>
              <w:right w:val="nil"/>
            </w:tcBorders>
            <w:noWrap/>
            <w:vAlign w:val="center"/>
            <w:hideMark/>
          </w:tcPr>
          <w:p w14:paraId="6EBEB18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0.252</w:t>
            </w:r>
          </w:p>
        </w:tc>
        <w:tc>
          <w:tcPr>
            <w:tcW w:w="1247" w:type="dxa"/>
            <w:tcBorders>
              <w:top w:val="nil"/>
              <w:left w:val="nil"/>
              <w:bottom w:val="nil"/>
              <w:right w:val="nil"/>
            </w:tcBorders>
            <w:noWrap/>
            <w:vAlign w:val="center"/>
            <w:hideMark/>
          </w:tcPr>
          <w:p w14:paraId="24AE599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.7</w:t>
            </w:r>
            <w:r w:rsidR="00ED68F4" w:rsidRPr="007605E5">
              <w:rPr>
                <w:rFonts w:eastAsia="Times New Roman"/>
                <w:iCs/>
                <w:sz w:val="18"/>
                <w:szCs w:val="18"/>
              </w:rPr>
              <w:t>07</w:t>
            </w:r>
          </w:p>
        </w:tc>
        <w:tc>
          <w:tcPr>
            <w:tcW w:w="1186" w:type="dxa"/>
            <w:tcBorders>
              <w:top w:val="nil"/>
              <w:left w:val="nil"/>
              <w:bottom w:val="nil"/>
              <w:right w:val="nil"/>
            </w:tcBorders>
            <w:noWrap/>
            <w:vAlign w:val="bottom"/>
            <w:hideMark/>
          </w:tcPr>
          <w:p w14:paraId="4FB0014C"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C5D9AE9" w14:textId="77777777" w:rsidTr="00132A83">
        <w:trPr>
          <w:trHeight w:val="118"/>
        </w:trPr>
        <w:tc>
          <w:tcPr>
            <w:tcW w:w="1361" w:type="dxa"/>
            <w:vMerge/>
            <w:tcBorders>
              <w:top w:val="single" w:sz="8" w:space="0" w:color="auto"/>
              <w:left w:val="nil"/>
              <w:bottom w:val="nil"/>
              <w:right w:val="nil"/>
            </w:tcBorders>
            <w:vAlign w:val="center"/>
            <w:hideMark/>
          </w:tcPr>
          <w:p w14:paraId="4D18DD4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DECC04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0E9A6B4C"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512F8D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53E1D6E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19FD501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14.076</w:t>
            </w:r>
          </w:p>
        </w:tc>
        <w:tc>
          <w:tcPr>
            <w:tcW w:w="1247" w:type="dxa"/>
            <w:tcBorders>
              <w:top w:val="nil"/>
              <w:left w:val="nil"/>
              <w:bottom w:val="nil"/>
              <w:right w:val="nil"/>
            </w:tcBorders>
            <w:noWrap/>
            <w:vAlign w:val="center"/>
            <w:hideMark/>
          </w:tcPr>
          <w:p w14:paraId="25F6D18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.001</w:t>
            </w:r>
          </w:p>
        </w:tc>
        <w:tc>
          <w:tcPr>
            <w:tcW w:w="1186" w:type="dxa"/>
            <w:tcBorders>
              <w:top w:val="nil"/>
              <w:left w:val="nil"/>
              <w:bottom w:val="nil"/>
              <w:right w:val="nil"/>
            </w:tcBorders>
            <w:noWrap/>
            <w:vAlign w:val="center"/>
            <w:hideMark/>
          </w:tcPr>
          <w:p w14:paraId="08D1315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401</w:t>
            </w:r>
          </w:p>
        </w:tc>
      </w:tr>
      <w:tr w:rsidR="00E82EA7" w:rsidRPr="008B5651" w14:paraId="794DAB6B" w14:textId="77777777" w:rsidTr="00132A83">
        <w:trPr>
          <w:trHeight w:val="118"/>
        </w:trPr>
        <w:tc>
          <w:tcPr>
            <w:tcW w:w="1361" w:type="dxa"/>
            <w:vMerge/>
            <w:tcBorders>
              <w:top w:val="single" w:sz="8" w:space="0" w:color="auto"/>
              <w:left w:val="nil"/>
              <w:bottom w:val="nil"/>
              <w:right w:val="nil"/>
            </w:tcBorders>
            <w:vAlign w:val="center"/>
            <w:hideMark/>
          </w:tcPr>
          <w:p w14:paraId="0E0CB61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8B3255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2BAD4EC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2B41B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427CF91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41.08</w:t>
            </w:r>
          </w:p>
        </w:tc>
        <w:tc>
          <w:tcPr>
            <w:tcW w:w="1007" w:type="dxa"/>
            <w:tcBorders>
              <w:top w:val="nil"/>
              <w:left w:val="nil"/>
              <w:bottom w:val="nil"/>
              <w:right w:val="nil"/>
            </w:tcBorders>
            <w:noWrap/>
            <w:vAlign w:val="center"/>
            <w:hideMark/>
          </w:tcPr>
          <w:p w14:paraId="4F6CA74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0.267</w:t>
            </w:r>
          </w:p>
        </w:tc>
        <w:tc>
          <w:tcPr>
            <w:tcW w:w="1247" w:type="dxa"/>
            <w:tcBorders>
              <w:top w:val="nil"/>
              <w:left w:val="nil"/>
              <w:bottom w:val="nil"/>
              <w:right w:val="nil"/>
            </w:tcBorders>
            <w:noWrap/>
            <w:vAlign w:val="center"/>
            <w:hideMark/>
          </w:tcPr>
          <w:p w14:paraId="1659D99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.762</w:t>
            </w:r>
          </w:p>
        </w:tc>
        <w:tc>
          <w:tcPr>
            <w:tcW w:w="1186" w:type="dxa"/>
            <w:tcBorders>
              <w:top w:val="nil"/>
              <w:left w:val="nil"/>
              <w:bottom w:val="nil"/>
              <w:right w:val="nil"/>
            </w:tcBorders>
            <w:noWrap/>
            <w:vAlign w:val="bottom"/>
            <w:hideMark/>
          </w:tcPr>
          <w:p w14:paraId="0FFD08F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9DFB1CF" w14:textId="77777777" w:rsidTr="00132A83">
        <w:trPr>
          <w:trHeight w:val="118"/>
        </w:trPr>
        <w:tc>
          <w:tcPr>
            <w:tcW w:w="1361" w:type="dxa"/>
            <w:vMerge/>
            <w:tcBorders>
              <w:top w:val="single" w:sz="8" w:space="0" w:color="auto"/>
              <w:left w:val="nil"/>
              <w:bottom w:val="nil"/>
              <w:right w:val="nil"/>
            </w:tcBorders>
            <w:vAlign w:val="center"/>
            <w:hideMark/>
          </w:tcPr>
          <w:p w14:paraId="33B610D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AB11AB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275BB08F"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39127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72922F0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6D22D4F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1.238</w:t>
            </w:r>
          </w:p>
        </w:tc>
        <w:tc>
          <w:tcPr>
            <w:tcW w:w="1247" w:type="dxa"/>
            <w:tcBorders>
              <w:top w:val="nil"/>
              <w:left w:val="nil"/>
              <w:bottom w:val="nil"/>
              <w:right w:val="nil"/>
            </w:tcBorders>
            <w:noWrap/>
            <w:vAlign w:val="center"/>
            <w:hideMark/>
          </w:tcPr>
          <w:p w14:paraId="6C50F53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.2</w:t>
            </w:r>
            <w:r w:rsidR="00ED68F4" w:rsidRPr="007605E5">
              <w:rPr>
                <w:rFonts w:eastAsia="Times New Roman"/>
                <w:iCs/>
                <w:sz w:val="18"/>
                <w:szCs w:val="18"/>
              </w:rPr>
              <w:t>78</w:t>
            </w:r>
          </w:p>
        </w:tc>
        <w:tc>
          <w:tcPr>
            <w:tcW w:w="1186" w:type="dxa"/>
            <w:tcBorders>
              <w:top w:val="nil"/>
              <w:left w:val="nil"/>
              <w:bottom w:val="nil"/>
              <w:right w:val="nil"/>
            </w:tcBorders>
            <w:noWrap/>
            <w:vAlign w:val="center"/>
            <w:hideMark/>
          </w:tcPr>
          <w:p w14:paraId="78DB8DE6"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A8A0221" w14:textId="77777777" w:rsidTr="00132A83">
        <w:trPr>
          <w:trHeight w:val="118"/>
        </w:trPr>
        <w:tc>
          <w:tcPr>
            <w:tcW w:w="1361" w:type="dxa"/>
            <w:vMerge/>
            <w:tcBorders>
              <w:top w:val="single" w:sz="8" w:space="0" w:color="auto"/>
              <w:left w:val="nil"/>
              <w:bottom w:val="nil"/>
              <w:right w:val="nil"/>
            </w:tcBorders>
            <w:vAlign w:val="center"/>
            <w:hideMark/>
          </w:tcPr>
          <w:p w14:paraId="35B5126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E90398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7DFC0C1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969C28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1.59</w:t>
            </w:r>
          </w:p>
        </w:tc>
        <w:tc>
          <w:tcPr>
            <w:tcW w:w="1077" w:type="dxa"/>
            <w:tcBorders>
              <w:top w:val="nil"/>
              <w:left w:val="nil"/>
              <w:bottom w:val="nil"/>
              <w:right w:val="nil"/>
            </w:tcBorders>
            <w:noWrap/>
            <w:vAlign w:val="center"/>
            <w:hideMark/>
          </w:tcPr>
          <w:p w14:paraId="7958709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33.39</w:t>
            </w:r>
          </w:p>
        </w:tc>
        <w:tc>
          <w:tcPr>
            <w:tcW w:w="1007" w:type="dxa"/>
            <w:tcBorders>
              <w:top w:val="nil"/>
              <w:left w:val="nil"/>
              <w:bottom w:val="nil"/>
              <w:right w:val="nil"/>
            </w:tcBorders>
            <w:noWrap/>
            <w:vAlign w:val="center"/>
            <w:hideMark/>
          </w:tcPr>
          <w:p w14:paraId="50E4FA0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1.058</w:t>
            </w:r>
          </w:p>
        </w:tc>
        <w:tc>
          <w:tcPr>
            <w:tcW w:w="1247" w:type="dxa"/>
            <w:tcBorders>
              <w:top w:val="nil"/>
              <w:left w:val="nil"/>
              <w:bottom w:val="nil"/>
              <w:right w:val="nil"/>
            </w:tcBorders>
            <w:noWrap/>
            <w:vAlign w:val="center"/>
            <w:hideMark/>
          </w:tcPr>
          <w:p w14:paraId="7B587A7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.344</w:t>
            </w:r>
          </w:p>
        </w:tc>
        <w:tc>
          <w:tcPr>
            <w:tcW w:w="1186" w:type="dxa"/>
            <w:tcBorders>
              <w:top w:val="nil"/>
              <w:left w:val="nil"/>
              <w:bottom w:val="nil"/>
              <w:right w:val="nil"/>
            </w:tcBorders>
            <w:noWrap/>
            <w:vAlign w:val="bottom"/>
            <w:hideMark/>
          </w:tcPr>
          <w:p w14:paraId="0C60041A"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5C87F9A" w14:textId="77777777" w:rsidTr="00132A83">
        <w:trPr>
          <w:trHeight w:val="118"/>
        </w:trPr>
        <w:tc>
          <w:tcPr>
            <w:tcW w:w="1361" w:type="dxa"/>
            <w:vMerge/>
            <w:tcBorders>
              <w:top w:val="single" w:sz="8" w:space="0" w:color="auto"/>
              <w:left w:val="nil"/>
              <w:bottom w:val="nil"/>
              <w:right w:val="nil"/>
            </w:tcBorders>
            <w:vAlign w:val="center"/>
            <w:hideMark/>
          </w:tcPr>
          <w:p w14:paraId="7B809E0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03B5DE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nil"/>
              <w:right w:val="nil"/>
            </w:tcBorders>
            <w:noWrap/>
            <w:vAlign w:val="center"/>
            <w:hideMark/>
          </w:tcPr>
          <w:p w14:paraId="508EBF1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F458A1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1.94</w:t>
            </w:r>
          </w:p>
        </w:tc>
        <w:tc>
          <w:tcPr>
            <w:tcW w:w="1077" w:type="dxa"/>
            <w:tcBorders>
              <w:top w:val="nil"/>
              <w:left w:val="nil"/>
              <w:bottom w:val="nil"/>
              <w:right w:val="nil"/>
            </w:tcBorders>
            <w:noWrap/>
            <w:vAlign w:val="center"/>
            <w:hideMark/>
          </w:tcPr>
          <w:p w14:paraId="79D002D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40.83</w:t>
            </w:r>
          </w:p>
        </w:tc>
        <w:tc>
          <w:tcPr>
            <w:tcW w:w="1007" w:type="dxa"/>
            <w:tcBorders>
              <w:top w:val="nil"/>
              <w:left w:val="nil"/>
              <w:bottom w:val="nil"/>
              <w:right w:val="nil"/>
            </w:tcBorders>
            <w:noWrap/>
            <w:vAlign w:val="center"/>
            <w:hideMark/>
          </w:tcPr>
          <w:p w14:paraId="3C0A45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0.108</w:t>
            </w:r>
          </w:p>
        </w:tc>
        <w:tc>
          <w:tcPr>
            <w:tcW w:w="1247" w:type="dxa"/>
            <w:tcBorders>
              <w:top w:val="nil"/>
              <w:left w:val="nil"/>
              <w:bottom w:val="nil"/>
              <w:right w:val="nil"/>
            </w:tcBorders>
            <w:noWrap/>
            <w:vAlign w:val="center"/>
            <w:hideMark/>
          </w:tcPr>
          <w:p w14:paraId="710FA33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.893</w:t>
            </w:r>
          </w:p>
        </w:tc>
        <w:tc>
          <w:tcPr>
            <w:tcW w:w="1186" w:type="dxa"/>
            <w:tcBorders>
              <w:top w:val="nil"/>
              <w:left w:val="nil"/>
              <w:bottom w:val="nil"/>
              <w:right w:val="nil"/>
            </w:tcBorders>
            <w:noWrap/>
            <w:vAlign w:val="center"/>
            <w:hideMark/>
          </w:tcPr>
          <w:p w14:paraId="7FF504DD"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5D366A21" w14:textId="77777777" w:rsidTr="00132A83">
        <w:trPr>
          <w:trHeight w:val="118"/>
        </w:trPr>
        <w:tc>
          <w:tcPr>
            <w:tcW w:w="1361" w:type="dxa"/>
            <w:tcBorders>
              <w:top w:val="nil"/>
              <w:left w:val="nil"/>
              <w:bottom w:val="nil"/>
              <w:right w:val="nil"/>
            </w:tcBorders>
            <w:noWrap/>
            <w:vAlign w:val="bottom"/>
            <w:hideMark/>
          </w:tcPr>
          <w:p w14:paraId="27D437C0"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36B7D85"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1DBB16B5"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2D62EADB"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6D8A9E0"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00F9D9CF"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0C258F1A"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17EF9511" w14:textId="77777777" w:rsidR="00E82EA7" w:rsidRPr="008C2F99" w:rsidRDefault="00E82EA7" w:rsidP="003238E2">
            <w:pPr>
              <w:spacing w:after="0" w:line="240" w:lineRule="auto"/>
              <w:jc w:val="center"/>
              <w:rPr>
                <w:rFonts w:eastAsia="Times New Roman"/>
                <w:sz w:val="18"/>
                <w:szCs w:val="18"/>
              </w:rPr>
            </w:pPr>
          </w:p>
        </w:tc>
      </w:tr>
      <w:tr w:rsidR="00E82EA7" w:rsidRPr="008B5651" w14:paraId="20A43D12"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0B9257FC"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sz w:val="22"/>
                <w:szCs w:val="22"/>
              </w:rPr>
              <w:t>Response</w:t>
            </w:r>
          </w:p>
        </w:tc>
        <w:tc>
          <w:tcPr>
            <w:tcW w:w="2467" w:type="dxa"/>
            <w:tcBorders>
              <w:top w:val="single" w:sz="8" w:space="0" w:color="auto"/>
              <w:left w:val="nil"/>
              <w:bottom w:val="nil"/>
              <w:right w:val="nil"/>
            </w:tcBorders>
            <w:vAlign w:val="center"/>
            <w:hideMark/>
          </w:tcPr>
          <w:p w14:paraId="08460E3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029BA874"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289A092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385E4B6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147E9EC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0.400</w:t>
            </w:r>
          </w:p>
        </w:tc>
        <w:tc>
          <w:tcPr>
            <w:tcW w:w="1247" w:type="dxa"/>
            <w:tcBorders>
              <w:top w:val="single" w:sz="8" w:space="0" w:color="auto"/>
              <w:left w:val="nil"/>
              <w:bottom w:val="nil"/>
              <w:right w:val="nil"/>
            </w:tcBorders>
            <w:noWrap/>
            <w:vAlign w:val="center"/>
            <w:hideMark/>
          </w:tcPr>
          <w:p w14:paraId="589E30A0"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47BC5F63"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77BC3098"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7C7A8CA"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21A331A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CB4156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3A5EC6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1.55</w:t>
            </w:r>
          </w:p>
        </w:tc>
        <w:tc>
          <w:tcPr>
            <w:tcW w:w="1077" w:type="dxa"/>
            <w:tcBorders>
              <w:top w:val="nil"/>
              <w:left w:val="nil"/>
              <w:bottom w:val="nil"/>
              <w:right w:val="nil"/>
            </w:tcBorders>
            <w:noWrap/>
            <w:vAlign w:val="center"/>
            <w:hideMark/>
          </w:tcPr>
          <w:p w14:paraId="3F6C13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32.45</w:t>
            </w:r>
          </w:p>
        </w:tc>
        <w:tc>
          <w:tcPr>
            <w:tcW w:w="1007" w:type="dxa"/>
            <w:tcBorders>
              <w:top w:val="nil"/>
              <w:left w:val="nil"/>
              <w:bottom w:val="nil"/>
              <w:right w:val="nil"/>
            </w:tcBorders>
            <w:noWrap/>
            <w:vAlign w:val="center"/>
            <w:hideMark/>
          </w:tcPr>
          <w:p w14:paraId="304433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0.309</w:t>
            </w:r>
          </w:p>
        </w:tc>
        <w:tc>
          <w:tcPr>
            <w:tcW w:w="1247" w:type="dxa"/>
            <w:tcBorders>
              <w:top w:val="nil"/>
              <w:left w:val="nil"/>
              <w:bottom w:val="nil"/>
              <w:right w:val="nil"/>
            </w:tcBorders>
            <w:noWrap/>
            <w:vAlign w:val="center"/>
            <w:hideMark/>
          </w:tcPr>
          <w:p w14:paraId="437C54A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13C7EC2D"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B5B3738"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9A1248B"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6039C9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539A701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6CB278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AB751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05AE8EF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54.331</w:t>
            </w:r>
          </w:p>
        </w:tc>
        <w:tc>
          <w:tcPr>
            <w:tcW w:w="1247" w:type="dxa"/>
            <w:tcBorders>
              <w:top w:val="nil"/>
              <w:left w:val="nil"/>
              <w:bottom w:val="nil"/>
              <w:right w:val="nil"/>
            </w:tcBorders>
            <w:noWrap/>
            <w:vAlign w:val="center"/>
            <w:hideMark/>
          </w:tcPr>
          <w:p w14:paraId="14AE4DC7" w14:textId="77777777"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sz w:val="18"/>
                <w:szCs w:val="18"/>
              </w:rPr>
              <w:t xml:space="preserve"> </w:t>
            </w:r>
            <w:r w:rsidR="00E82EA7" w:rsidRPr="007605E5">
              <w:rPr>
                <w:rFonts w:eastAsia="Times New Roman"/>
                <w:iCs/>
                <w:sz w:val="18"/>
                <w:szCs w:val="18"/>
              </w:rPr>
              <w:t>&lt; .001</w:t>
            </w:r>
          </w:p>
        </w:tc>
        <w:tc>
          <w:tcPr>
            <w:tcW w:w="1186" w:type="dxa"/>
            <w:tcBorders>
              <w:top w:val="nil"/>
              <w:left w:val="nil"/>
              <w:bottom w:val="nil"/>
              <w:right w:val="nil"/>
            </w:tcBorders>
            <w:noWrap/>
            <w:vAlign w:val="center"/>
            <w:hideMark/>
          </w:tcPr>
          <w:p w14:paraId="7DEA94C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721</w:t>
            </w:r>
          </w:p>
        </w:tc>
      </w:tr>
      <w:tr w:rsidR="00E82EA7" w:rsidRPr="008B5651" w14:paraId="6CE17B7B"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65622267"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0CEB91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159E670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8E2D3E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1.97</w:t>
            </w:r>
          </w:p>
        </w:tc>
        <w:tc>
          <w:tcPr>
            <w:tcW w:w="1077" w:type="dxa"/>
            <w:tcBorders>
              <w:top w:val="nil"/>
              <w:left w:val="nil"/>
              <w:bottom w:val="nil"/>
              <w:right w:val="nil"/>
            </w:tcBorders>
            <w:noWrap/>
            <w:vAlign w:val="center"/>
            <w:hideMark/>
          </w:tcPr>
          <w:p w14:paraId="30E7326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41.30</w:t>
            </w:r>
          </w:p>
        </w:tc>
        <w:tc>
          <w:tcPr>
            <w:tcW w:w="1007" w:type="dxa"/>
            <w:tcBorders>
              <w:top w:val="nil"/>
              <w:left w:val="nil"/>
              <w:bottom w:val="nil"/>
              <w:right w:val="nil"/>
            </w:tcBorders>
            <w:noWrap/>
            <w:vAlign w:val="center"/>
            <w:hideMark/>
          </w:tcPr>
          <w:p w14:paraId="3085321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0.666</w:t>
            </w:r>
          </w:p>
        </w:tc>
        <w:tc>
          <w:tcPr>
            <w:tcW w:w="1247" w:type="dxa"/>
            <w:tcBorders>
              <w:top w:val="nil"/>
              <w:left w:val="nil"/>
              <w:bottom w:val="nil"/>
              <w:right w:val="nil"/>
            </w:tcBorders>
            <w:noWrap/>
            <w:vAlign w:val="center"/>
            <w:hideMark/>
          </w:tcPr>
          <w:p w14:paraId="00DEAD2B"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.517</w:t>
            </w:r>
          </w:p>
        </w:tc>
        <w:tc>
          <w:tcPr>
            <w:tcW w:w="1186" w:type="dxa"/>
            <w:tcBorders>
              <w:top w:val="nil"/>
              <w:left w:val="nil"/>
              <w:bottom w:val="nil"/>
              <w:right w:val="nil"/>
            </w:tcBorders>
            <w:noWrap/>
            <w:vAlign w:val="bottom"/>
            <w:hideMark/>
          </w:tcPr>
          <w:p w14:paraId="79A5E8D0"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5BD6A2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214B1618"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589B6CA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5DA476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95CFDD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4F82DBD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6A38FD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4.129</w:t>
            </w:r>
          </w:p>
        </w:tc>
        <w:tc>
          <w:tcPr>
            <w:tcW w:w="1247" w:type="dxa"/>
            <w:tcBorders>
              <w:top w:val="nil"/>
              <w:left w:val="nil"/>
              <w:bottom w:val="nil"/>
              <w:right w:val="nil"/>
            </w:tcBorders>
            <w:noWrap/>
            <w:vAlign w:val="center"/>
            <w:hideMark/>
          </w:tcPr>
          <w:p w14:paraId="27589642"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.055</w:t>
            </w:r>
          </w:p>
        </w:tc>
        <w:tc>
          <w:tcPr>
            <w:tcW w:w="1186" w:type="dxa"/>
            <w:tcBorders>
              <w:top w:val="nil"/>
              <w:left w:val="nil"/>
              <w:bottom w:val="nil"/>
              <w:right w:val="nil"/>
            </w:tcBorders>
            <w:noWrap/>
            <w:vAlign w:val="center"/>
            <w:hideMark/>
          </w:tcPr>
          <w:p w14:paraId="0C892E2F"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084DD97"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E9D88DF"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C98A9C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57B61E2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0B0408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1.60</w:t>
            </w:r>
          </w:p>
        </w:tc>
        <w:tc>
          <w:tcPr>
            <w:tcW w:w="1077" w:type="dxa"/>
            <w:tcBorders>
              <w:top w:val="nil"/>
              <w:left w:val="nil"/>
              <w:bottom w:val="nil"/>
              <w:right w:val="nil"/>
            </w:tcBorders>
            <w:noWrap/>
            <w:vAlign w:val="center"/>
            <w:hideMark/>
          </w:tcPr>
          <w:p w14:paraId="04A8138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33.70</w:t>
            </w:r>
          </w:p>
        </w:tc>
        <w:tc>
          <w:tcPr>
            <w:tcW w:w="1007" w:type="dxa"/>
            <w:tcBorders>
              <w:top w:val="nil"/>
              <w:left w:val="nil"/>
              <w:bottom w:val="nil"/>
              <w:right w:val="nil"/>
            </w:tcBorders>
            <w:noWrap/>
            <w:vAlign w:val="center"/>
            <w:hideMark/>
          </w:tcPr>
          <w:p w14:paraId="3F02A48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0.246</w:t>
            </w:r>
          </w:p>
        </w:tc>
        <w:tc>
          <w:tcPr>
            <w:tcW w:w="1247" w:type="dxa"/>
            <w:tcBorders>
              <w:top w:val="nil"/>
              <w:left w:val="nil"/>
              <w:bottom w:val="nil"/>
              <w:right w:val="nil"/>
            </w:tcBorders>
            <w:noWrap/>
            <w:vAlign w:val="center"/>
            <w:hideMark/>
          </w:tcPr>
          <w:p w14:paraId="636F672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.734</w:t>
            </w:r>
          </w:p>
        </w:tc>
        <w:tc>
          <w:tcPr>
            <w:tcW w:w="1186" w:type="dxa"/>
            <w:tcBorders>
              <w:top w:val="nil"/>
              <w:left w:val="nil"/>
              <w:bottom w:val="nil"/>
              <w:right w:val="nil"/>
            </w:tcBorders>
            <w:noWrap/>
            <w:vAlign w:val="bottom"/>
            <w:hideMark/>
          </w:tcPr>
          <w:p w14:paraId="43D57F63"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2F2097B9"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3435E7E3"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130DB6E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single" w:sz="12" w:space="0" w:color="auto"/>
              <w:right w:val="nil"/>
            </w:tcBorders>
            <w:noWrap/>
            <w:vAlign w:val="center"/>
            <w:hideMark/>
          </w:tcPr>
          <w:p w14:paraId="102D66D3"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38CE700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1.62</w:t>
            </w:r>
          </w:p>
        </w:tc>
        <w:tc>
          <w:tcPr>
            <w:tcW w:w="1077" w:type="dxa"/>
            <w:tcBorders>
              <w:top w:val="nil"/>
              <w:left w:val="nil"/>
              <w:bottom w:val="single" w:sz="12" w:space="0" w:color="auto"/>
              <w:right w:val="nil"/>
            </w:tcBorders>
            <w:noWrap/>
            <w:vAlign w:val="center"/>
            <w:hideMark/>
          </w:tcPr>
          <w:p w14:paraId="62AC08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34.05</w:t>
            </w:r>
          </w:p>
        </w:tc>
        <w:tc>
          <w:tcPr>
            <w:tcW w:w="1007" w:type="dxa"/>
            <w:tcBorders>
              <w:top w:val="nil"/>
              <w:left w:val="nil"/>
              <w:bottom w:val="single" w:sz="12" w:space="0" w:color="auto"/>
              <w:right w:val="nil"/>
            </w:tcBorders>
            <w:noWrap/>
            <w:vAlign w:val="center"/>
            <w:hideMark/>
          </w:tcPr>
          <w:p w14:paraId="7CC5149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0.589</w:t>
            </w:r>
          </w:p>
        </w:tc>
        <w:tc>
          <w:tcPr>
            <w:tcW w:w="1247" w:type="dxa"/>
            <w:tcBorders>
              <w:top w:val="nil"/>
              <w:left w:val="nil"/>
              <w:bottom w:val="single" w:sz="12" w:space="0" w:color="auto"/>
              <w:right w:val="nil"/>
            </w:tcBorders>
            <w:noWrap/>
            <w:vAlign w:val="center"/>
            <w:hideMark/>
          </w:tcPr>
          <w:p w14:paraId="2FB44F3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.526</w:t>
            </w:r>
          </w:p>
        </w:tc>
        <w:tc>
          <w:tcPr>
            <w:tcW w:w="1186" w:type="dxa"/>
            <w:tcBorders>
              <w:top w:val="nil"/>
              <w:left w:val="nil"/>
              <w:bottom w:val="single" w:sz="12" w:space="0" w:color="000000" w:themeColor="text1"/>
              <w:right w:val="nil"/>
            </w:tcBorders>
            <w:noWrap/>
            <w:vAlign w:val="center"/>
            <w:hideMark/>
          </w:tcPr>
          <w:p w14:paraId="33506ADE"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10695C37" w14:textId="77777777" w:rsidR="00E9704A" w:rsidRDefault="00051CD2" w:rsidP="001F4BA9">
      <w:pPr>
        <w:spacing w:before="120" w:after="120" w:line="259" w:lineRule="auto"/>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and Response periods are unaffected (two time bins each, so the omnibus and trend tests coincide exactly, and no quadratic contrast exists).</w:t>
      </w:r>
    </w:p>
    <w:p w14:paraId="350372D0"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60585E51" w14:textId="77777777"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S3.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115CC594" w14:textId="77777777" w:rsidTr="00947CFC">
        <w:trPr>
          <w:trHeight w:val="113"/>
        </w:trPr>
        <w:tc>
          <w:tcPr>
            <w:tcW w:w="1289" w:type="dxa"/>
            <w:tcBorders>
              <w:top w:val="single" w:sz="4" w:space="0" w:color="auto"/>
              <w:left w:val="nil"/>
              <w:bottom w:val="single" w:sz="12" w:space="0" w:color="auto"/>
              <w:right w:val="nil"/>
            </w:tcBorders>
            <w:vAlign w:val="center"/>
            <w:hideMark/>
          </w:tcPr>
          <w:p w14:paraId="39273194"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Period</w:t>
            </w:r>
          </w:p>
        </w:tc>
        <w:tc>
          <w:tcPr>
            <w:tcW w:w="2280" w:type="dxa"/>
            <w:tcBorders>
              <w:top w:val="single" w:sz="4" w:space="0" w:color="auto"/>
              <w:left w:val="nil"/>
              <w:bottom w:val="single" w:sz="12" w:space="0" w:color="auto"/>
              <w:right w:val="nil"/>
            </w:tcBorders>
            <w:vAlign w:val="center"/>
            <w:hideMark/>
          </w:tcPr>
          <w:p w14:paraId="2FA5C0AD" w14:textId="77777777"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sz w:val="22"/>
                <w:szCs w:val="22"/>
              </w:rPr>
              <w:t>Effect tested</w:t>
            </w:r>
          </w:p>
        </w:tc>
        <w:tc>
          <w:tcPr>
            <w:tcW w:w="402" w:type="dxa"/>
            <w:tcBorders>
              <w:top w:val="single" w:sz="4" w:space="0" w:color="auto"/>
              <w:left w:val="nil"/>
              <w:bottom w:val="single" w:sz="12" w:space="0" w:color="auto"/>
              <w:right w:val="nil"/>
            </w:tcBorders>
            <w:noWrap/>
            <w:vAlign w:val="center"/>
            <w:hideMark/>
          </w:tcPr>
          <w:p w14:paraId="04DD7263"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3E79E2A8"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df1</w:t>
            </w:r>
          </w:p>
        </w:tc>
        <w:tc>
          <w:tcPr>
            <w:tcW w:w="1076" w:type="dxa"/>
            <w:tcBorders>
              <w:top w:val="single" w:sz="4" w:space="0" w:color="auto"/>
              <w:left w:val="nil"/>
              <w:bottom w:val="single" w:sz="12" w:space="0" w:color="auto"/>
              <w:right w:val="nil"/>
            </w:tcBorders>
            <w:noWrap/>
            <w:vAlign w:val="bottom"/>
            <w:hideMark/>
          </w:tcPr>
          <w:p w14:paraId="64F924B1"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df2</w:t>
            </w:r>
          </w:p>
        </w:tc>
        <w:tc>
          <w:tcPr>
            <w:tcW w:w="961" w:type="dxa"/>
            <w:tcBorders>
              <w:top w:val="single" w:sz="4" w:space="0" w:color="auto"/>
              <w:left w:val="nil"/>
              <w:bottom w:val="single" w:sz="12" w:space="0" w:color="auto"/>
              <w:right w:val="nil"/>
            </w:tcBorders>
            <w:noWrap/>
            <w:vAlign w:val="bottom"/>
            <w:hideMark/>
          </w:tcPr>
          <w:p w14:paraId="45017617" w14:textId="77777777"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641C1763"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sz w:val="22"/>
                <w:szCs w:val="22"/>
              </w:rPr>
              <w:t>-value</w:t>
            </w:r>
          </w:p>
        </w:tc>
        <w:tc>
          <w:tcPr>
            <w:tcW w:w="1124" w:type="dxa"/>
            <w:tcBorders>
              <w:top w:val="single" w:sz="4" w:space="0" w:color="auto"/>
              <w:left w:val="nil"/>
              <w:bottom w:val="single" w:sz="12" w:space="0" w:color="auto"/>
              <w:right w:val="nil"/>
            </w:tcBorders>
            <w:vAlign w:val="bottom"/>
            <w:hideMark/>
          </w:tcPr>
          <w:p w14:paraId="24BA124C" w14:textId="77777777"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04DE5826" w14:textId="77777777" w:rsidTr="00947CFC">
        <w:trPr>
          <w:trHeight w:val="113"/>
        </w:trPr>
        <w:tc>
          <w:tcPr>
            <w:tcW w:w="1289" w:type="dxa"/>
            <w:vMerge w:val="restart"/>
            <w:tcBorders>
              <w:top w:val="nil"/>
              <w:left w:val="nil"/>
              <w:bottom w:val="nil"/>
              <w:right w:val="nil"/>
            </w:tcBorders>
            <w:noWrap/>
            <w:vAlign w:val="center"/>
            <w:hideMark/>
          </w:tcPr>
          <w:p w14:paraId="2F147BAF" w14:textId="77777777" w:rsidR="006B3BE7" w:rsidRPr="00F075B9" w:rsidRDefault="006B3BE7" w:rsidP="00947CFC">
            <w:pPr>
              <w:spacing w:after="0" w:line="240" w:lineRule="auto"/>
              <w:jc w:val="center"/>
              <w:rPr>
                <w:rFonts w:eastAsia="Times New Roman"/>
                <w:bCs/>
                <w:color w:val="000000"/>
                <w:sz w:val="22"/>
                <w:szCs w:val="18"/>
              </w:rPr>
            </w:pPr>
            <w:r>
              <w:t>Stimulus</w:t>
            </w:r>
          </w:p>
        </w:tc>
        <w:tc>
          <w:tcPr>
            <w:tcW w:w="2280" w:type="dxa"/>
            <w:tcBorders>
              <w:top w:val="nil"/>
              <w:left w:val="nil"/>
              <w:bottom w:val="nil"/>
              <w:right w:val="nil"/>
            </w:tcBorders>
            <w:vAlign w:val="center"/>
            <w:hideMark/>
          </w:tcPr>
          <w:p w14:paraId="3FD9B5E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nil"/>
              <w:left w:val="nil"/>
              <w:bottom w:val="nil"/>
              <w:right w:val="nil"/>
            </w:tcBorders>
            <w:noWrap/>
            <w:vAlign w:val="bottom"/>
            <w:hideMark/>
          </w:tcPr>
          <w:p w14:paraId="1E2423C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B7D605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43E685C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DA82EB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2.146</w:t>
            </w:r>
          </w:p>
        </w:tc>
        <w:tc>
          <w:tcPr>
            <w:tcW w:w="1182" w:type="dxa"/>
            <w:tcBorders>
              <w:top w:val="nil"/>
              <w:left w:val="nil"/>
              <w:bottom w:val="nil"/>
              <w:right w:val="nil"/>
            </w:tcBorders>
            <w:noWrap/>
            <w:vAlign w:val="center"/>
            <w:hideMark/>
          </w:tcPr>
          <w:p w14:paraId="381403A2"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6B3BE7" w:rsidRPr="00F075B9">
              <w:rPr>
                <w:rFonts w:eastAsia="Times New Roman"/>
                <w:sz w:val="18"/>
                <w:szCs w:val="18"/>
              </w:rPr>
              <w:t>.158</w:t>
            </w:r>
          </w:p>
        </w:tc>
        <w:tc>
          <w:tcPr>
            <w:tcW w:w="1124" w:type="dxa"/>
            <w:tcBorders>
              <w:top w:val="nil"/>
              <w:left w:val="nil"/>
              <w:bottom w:val="nil"/>
              <w:right w:val="nil"/>
            </w:tcBorders>
            <w:noWrap/>
            <w:vAlign w:val="center"/>
            <w:hideMark/>
          </w:tcPr>
          <w:p w14:paraId="72DC34B1"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9E53D2F" w14:textId="77777777" w:rsidTr="00947CFC">
        <w:trPr>
          <w:trHeight w:val="113"/>
        </w:trPr>
        <w:tc>
          <w:tcPr>
            <w:tcW w:w="1289" w:type="dxa"/>
            <w:vMerge/>
            <w:tcBorders>
              <w:top w:val="nil"/>
              <w:left w:val="nil"/>
              <w:bottom w:val="nil"/>
              <w:right w:val="nil"/>
            </w:tcBorders>
            <w:vAlign w:val="center"/>
            <w:hideMark/>
          </w:tcPr>
          <w:p w14:paraId="60E8683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EF311F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5E04567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7750B9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1.31</w:t>
            </w:r>
          </w:p>
        </w:tc>
        <w:tc>
          <w:tcPr>
            <w:tcW w:w="1076" w:type="dxa"/>
            <w:tcBorders>
              <w:top w:val="nil"/>
              <w:left w:val="nil"/>
              <w:bottom w:val="nil"/>
              <w:right w:val="nil"/>
            </w:tcBorders>
            <w:noWrap/>
            <w:vAlign w:val="center"/>
            <w:hideMark/>
          </w:tcPr>
          <w:p w14:paraId="104B425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27.56</w:t>
            </w:r>
          </w:p>
        </w:tc>
        <w:tc>
          <w:tcPr>
            <w:tcW w:w="961" w:type="dxa"/>
            <w:tcBorders>
              <w:top w:val="nil"/>
              <w:left w:val="nil"/>
              <w:bottom w:val="nil"/>
              <w:right w:val="nil"/>
            </w:tcBorders>
            <w:noWrap/>
            <w:vAlign w:val="center"/>
            <w:hideMark/>
          </w:tcPr>
          <w:p w14:paraId="323D590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2.813</w:t>
            </w:r>
          </w:p>
        </w:tc>
        <w:tc>
          <w:tcPr>
            <w:tcW w:w="1182" w:type="dxa"/>
            <w:tcBorders>
              <w:top w:val="nil"/>
              <w:left w:val="nil"/>
              <w:bottom w:val="nil"/>
              <w:right w:val="nil"/>
            </w:tcBorders>
            <w:noWrap/>
            <w:vAlign w:val="center"/>
            <w:hideMark/>
          </w:tcPr>
          <w:p w14:paraId="768C3AD3"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sz w:val="18"/>
                <w:szCs w:val="18"/>
              </w:rPr>
              <w:t>.096</w:t>
            </w:r>
          </w:p>
        </w:tc>
        <w:tc>
          <w:tcPr>
            <w:tcW w:w="1124" w:type="dxa"/>
            <w:tcBorders>
              <w:top w:val="nil"/>
              <w:left w:val="nil"/>
              <w:bottom w:val="nil"/>
              <w:right w:val="nil"/>
            </w:tcBorders>
            <w:noWrap/>
            <w:vAlign w:val="center"/>
            <w:hideMark/>
          </w:tcPr>
          <w:p w14:paraId="7CB9AB1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FAF82FB" w14:textId="77777777" w:rsidTr="00947CFC">
        <w:trPr>
          <w:trHeight w:val="113"/>
        </w:trPr>
        <w:tc>
          <w:tcPr>
            <w:tcW w:w="1289" w:type="dxa"/>
            <w:vMerge/>
            <w:tcBorders>
              <w:top w:val="nil"/>
              <w:left w:val="nil"/>
              <w:bottom w:val="nil"/>
              <w:right w:val="nil"/>
            </w:tcBorders>
            <w:vAlign w:val="center"/>
            <w:hideMark/>
          </w:tcPr>
          <w:p w14:paraId="6A693E5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2888835"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2ADE50D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DD01E0D" w14:textId="77777777" w:rsidR="00205CBC" w:rsidRDefault="00000000">
            <w:r>
              <w:rPr>
                <w:color w:val="1F4E9E"/>
              </w:rPr>
              <w:t>1</w:t>
            </w:r>
          </w:p>
        </w:tc>
        <w:tc>
          <w:tcPr>
            <w:tcW w:w="1076" w:type="dxa"/>
            <w:tcBorders>
              <w:top w:val="nil"/>
              <w:left w:val="nil"/>
              <w:bottom w:val="nil"/>
              <w:right w:val="nil"/>
            </w:tcBorders>
            <w:noWrap/>
            <w:vAlign w:val="center"/>
            <w:hideMark/>
          </w:tcPr>
          <w:p w14:paraId="241D9950" w14:textId="77777777" w:rsidR="00205CBC" w:rsidRDefault="00000000">
            <w:r>
              <w:rPr>
                <w:color w:val="1F4E9E"/>
              </w:rPr>
              <w:t>21</w:t>
            </w:r>
          </w:p>
        </w:tc>
        <w:tc>
          <w:tcPr>
            <w:tcW w:w="961" w:type="dxa"/>
            <w:tcBorders>
              <w:top w:val="nil"/>
              <w:left w:val="nil"/>
              <w:bottom w:val="nil"/>
              <w:right w:val="nil"/>
            </w:tcBorders>
            <w:noWrap/>
            <w:vAlign w:val="center"/>
            <w:hideMark/>
          </w:tcPr>
          <w:p w14:paraId="1E8F5B92" w14:textId="77777777" w:rsidR="00205CBC" w:rsidRDefault="00000000">
            <w:r>
              <w:rPr>
                <w:color w:val="1F4E9E"/>
              </w:rPr>
              <w:t>11.740</w:t>
            </w:r>
          </w:p>
        </w:tc>
        <w:tc>
          <w:tcPr>
            <w:tcW w:w="1182" w:type="dxa"/>
            <w:tcBorders>
              <w:top w:val="nil"/>
              <w:left w:val="nil"/>
              <w:bottom w:val="nil"/>
              <w:right w:val="nil"/>
            </w:tcBorders>
            <w:noWrap/>
            <w:vAlign w:val="center"/>
            <w:hideMark/>
          </w:tcPr>
          <w:p w14:paraId="7CB8AAC8" w14:textId="77777777" w:rsidR="00205CBC" w:rsidRDefault="00000000">
            <w:r>
              <w:rPr>
                <w:color w:val="1F4E9E"/>
              </w:rPr>
              <w:t>p = .003</w:t>
            </w:r>
          </w:p>
        </w:tc>
        <w:tc>
          <w:tcPr>
            <w:tcW w:w="1124" w:type="dxa"/>
            <w:tcBorders>
              <w:top w:val="nil"/>
              <w:left w:val="nil"/>
              <w:bottom w:val="nil"/>
              <w:right w:val="nil"/>
            </w:tcBorders>
            <w:noWrap/>
            <w:vAlign w:val="center"/>
            <w:hideMark/>
          </w:tcPr>
          <w:p w14:paraId="537CA414" w14:textId="77777777" w:rsidR="00205CBC" w:rsidRDefault="00000000">
            <w:r>
              <w:rPr>
                <w:color w:val="1F4E9E"/>
              </w:rPr>
              <w:t>0.359</w:t>
            </w:r>
          </w:p>
        </w:tc>
      </w:tr>
      <w:tr w:rsidR="006B3BE7" w:rsidRPr="008B5651" w14:paraId="4DACDDAE" w14:textId="77777777" w:rsidTr="00947CFC">
        <w:trPr>
          <w:trHeight w:val="113"/>
        </w:trPr>
        <w:tc>
          <w:tcPr>
            <w:tcW w:w="1289" w:type="dxa"/>
            <w:vMerge/>
            <w:tcBorders>
              <w:top w:val="nil"/>
              <w:left w:val="nil"/>
              <w:bottom w:val="nil"/>
              <w:right w:val="nil"/>
            </w:tcBorders>
            <w:vAlign w:val="center"/>
            <w:hideMark/>
          </w:tcPr>
          <w:p w14:paraId="3B40D0B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093EE2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0623F05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BC7E67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1.62</w:t>
            </w:r>
          </w:p>
        </w:tc>
        <w:tc>
          <w:tcPr>
            <w:tcW w:w="1076" w:type="dxa"/>
            <w:tcBorders>
              <w:top w:val="nil"/>
              <w:left w:val="nil"/>
              <w:bottom w:val="nil"/>
              <w:right w:val="nil"/>
            </w:tcBorders>
            <w:noWrap/>
            <w:vAlign w:val="center"/>
            <w:hideMark/>
          </w:tcPr>
          <w:p w14:paraId="2EE21BA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34.00</w:t>
            </w:r>
          </w:p>
        </w:tc>
        <w:tc>
          <w:tcPr>
            <w:tcW w:w="961" w:type="dxa"/>
            <w:tcBorders>
              <w:top w:val="nil"/>
              <w:left w:val="nil"/>
              <w:bottom w:val="nil"/>
              <w:right w:val="nil"/>
            </w:tcBorders>
            <w:noWrap/>
            <w:vAlign w:val="center"/>
            <w:hideMark/>
          </w:tcPr>
          <w:p w14:paraId="334CCCF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0.755</w:t>
            </w:r>
          </w:p>
        </w:tc>
        <w:tc>
          <w:tcPr>
            <w:tcW w:w="1182" w:type="dxa"/>
            <w:tcBorders>
              <w:top w:val="nil"/>
              <w:left w:val="nil"/>
              <w:bottom w:val="nil"/>
              <w:right w:val="nil"/>
            </w:tcBorders>
            <w:noWrap/>
            <w:vAlign w:val="center"/>
            <w:hideMark/>
          </w:tcPr>
          <w:p w14:paraId="2460B32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.452</w:t>
            </w:r>
          </w:p>
        </w:tc>
        <w:tc>
          <w:tcPr>
            <w:tcW w:w="1124" w:type="dxa"/>
            <w:tcBorders>
              <w:top w:val="nil"/>
              <w:left w:val="nil"/>
              <w:bottom w:val="nil"/>
              <w:right w:val="nil"/>
            </w:tcBorders>
            <w:noWrap/>
            <w:vAlign w:val="bottom"/>
            <w:hideMark/>
          </w:tcPr>
          <w:p w14:paraId="2CC6475F"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0A48A33" w14:textId="77777777" w:rsidTr="00947CFC">
        <w:trPr>
          <w:trHeight w:val="113"/>
        </w:trPr>
        <w:tc>
          <w:tcPr>
            <w:tcW w:w="1289" w:type="dxa"/>
            <w:vMerge/>
            <w:tcBorders>
              <w:top w:val="nil"/>
              <w:left w:val="nil"/>
              <w:bottom w:val="nil"/>
              <w:right w:val="nil"/>
            </w:tcBorders>
            <w:vAlign w:val="center"/>
            <w:hideMark/>
          </w:tcPr>
          <w:p w14:paraId="7BC131B3"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D9CA9E5"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3E2E986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C9A4619" w14:textId="77777777" w:rsidR="00205CBC" w:rsidRDefault="00000000">
            <w:r>
              <w:rPr>
                <w:color w:val="1F4E9E"/>
              </w:rPr>
              <w:t>1</w:t>
            </w:r>
          </w:p>
        </w:tc>
        <w:tc>
          <w:tcPr>
            <w:tcW w:w="1076" w:type="dxa"/>
            <w:tcBorders>
              <w:top w:val="nil"/>
              <w:left w:val="nil"/>
              <w:bottom w:val="nil"/>
              <w:right w:val="nil"/>
            </w:tcBorders>
            <w:noWrap/>
            <w:vAlign w:val="center"/>
            <w:hideMark/>
          </w:tcPr>
          <w:p w14:paraId="657FDEE8" w14:textId="77777777" w:rsidR="00205CBC" w:rsidRDefault="00000000">
            <w:r>
              <w:rPr>
                <w:color w:val="1F4E9E"/>
              </w:rPr>
              <w:t>21</w:t>
            </w:r>
          </w:p>
        </w:tc>
        <w:tc>
          <w:tcPr>
            <w:tcW w:w="961" w:type="dxa"/>
            <w:tcBorders>
              <w:top w:val="nil"/>
              <w:left w:val="nil"/>
              <w:bottom w:val="nil"/>
              <w:right w:val="nil"/>
            </w:tcBorders>
            <w:noWrap/>
            <w:vAlign w:val="center"/>
            <w:hideMark/>
          </w:tcPr>
          <w:p w14:paraId="75976277" w14:textId="77777777" w:rsidR="00205CBC" w:rsidRDefault="00000000">
            <w:r>
              <w:rPr>
                <w:color w:val="1F4E9E"/>
              </w:rPr>
              <w:t>4.497</w:t>
            </w:r>
          </w:p>
        </w:tc>
        <w:tc>
          <w:tcPr>
            <w:tcW w:w="1182" w:type="dxa"/>
            <w:tcBorders>
              <w:top w:val="nil"/>
              <w:left w:val="nil"/>
              <w:bottom w:val="nil"/>
              <w:right w:val="nil"/>
            </w:tcBorders>
            <w:noWrap/>
            <w:vAlign w:val="center"/>
            <w:hideMark/>
          </w:tcPr>
          <w:p w14:paraId="4BA9568E" w14:textId="77777777" w:rsidR="00205CBC" w:rsidRDefault="00000000">
            <w:r>
              <w:rPr>
                <w:color w:val="1F4E9E"/>
              </w:rPr>
              <w:t>p = .046</w:t>
            </w:r>
          </w:p>
        </w:tc>
        <w:tc>
          <w:tcPr>
            <w:tcW w:w="1124" w:type="dxa"/>
            <w:tcBorders>
              <w:top w:val="nil"/>
              <w:left w:val="nil"/>
              <w:bottom w:val="nil"/>
              <w:right w:val="nil"/>
            </w:tcBorders>
            <w:noWrap/>
            <w:vAlign w:val="center"/>
            <w:hideMark/>
          </w:tcPr>
          <w:p w14:paraId="3A6A7202" w14:textId="77777777" w:rsidR="00205CBC" w:rsidRDefault="00000000">
            <w:r>
              <w:rPr>
                <w:color w:val="1F4E9E"/>
              </w:rPr>
              <w:t>0.176</w:t>
            </w:r>
          </w:p>
        </w:tc>
      </w:tr>
      <w:tr w:rsidR="006B3BE7" w:rsidRPr="008B5651" w14:paraId="584F1F11" w14:textId="77777777" w:rsidTr="00947CFC">
        <w:trPr>
          <w:trHeight w:val="113"/>
        </w:trPr>
        <w:tc>
          <w:tcPr>
            <w:tcW w:w="1289" w:type="dxa"/>
            <w:vMerge/>
            <w:tcBorders>
              <w:top w:val="nil"/>
              <w:left w:val="nil"/>
              <w:bottom w:val="nil"/>
              <w:right w:val="nil"/>
            </w:tcBorders>
            <w:vAlign w:val="center"/>
            <w:hideMark/>
          </w:tcPr>
          <w:p w14:paraId="6356875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992F305"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6581B53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C1129B6" w14:textId="77777777" w:rsidR="00205CBC" w:rsidRDefault="00000000">
            <w:r>
              <w:rPr>
                <w:color w:val="1F4E9E"/>
              </w:rPr>
              <w:t>1.95</w:t>
            </w:r>
          </w:p>
        </w:tc>
        <w:tc>
          <w:tcPr>
            <w:tcW w:w="1076" w:type="dxa"/>
            <w:tcBorders>
              <w:top w:val="nil"/>
              <w:left w:val="nil"/>
              <w:bottom w:val="nil"/>
              <w:right w:val="nil"/>
            </w:tcBorders>
            <w:noWrap/>
            <w:vAlign w:val="center"/>
            <w:hideMark/>
          </w:tcPr>
          <w:p w14:paraId="797A1031" w14:textId="77777777" w:rsidR="00205CBC" w:rsidRDefault="00000000">
            <w:r>
              <w:rPr>
                <w:color w:val="1F4E9E"/>
              </w:rPr>
              <w:t>40.99</w:t>
            </w:r>
          </w:p>
        </w:tc>
        <w:tc>
          <w:tcPr>
            <w:tcW w:w="961" w:type="dxa"/>
            <w:tcBorders>
              <w:top w:val="nil"/>
              <w:left w:val="nil"/>
              <w:bottom w:val="nil"/>
              <w:right w:val="nil"/>
            </w:tcBorders>
            <w:noWrap/>
            <w:vAlign w:val="center"/>
            <w:hideMark/>
          </w:tcPr>
          <w:p w14:paraId="5ACC2947" w14:textId="77777777" w:rsidR="00205CBC" w:rsidRDefault="00000000">
            <w:r>
              <w:rPr>
                <w:color w:val="1F4E9E"/>
              </w:rPr>
              <w:t>0.517</w:t>
            </w:r>
          </w:p>
        </w:tc>
        <w:tc>
          <w:tcPr>
            <w:tcW w:w="1182" w:type="dxa"/>
            <w:tcBorders>
              <w:top w:val="nil"/>
              <w:left w:val="nil"/>
              <w:bottom w:val="nil"/>
              <w:right w:val="nil"/>
            </w:tcBorders>
            <w:noWrap/>
            <w:vAlign w:val="center"/>
            <w:hideMark/>
          </w:tcPr>
          <w:p w14:paraId="65585DD6" w14:textId="77777777" w:rsidR="00205CBC" w:rsidRDefault="00000000">
            <w:r>
              <w:rPr>
                <w:color w:val="1F4E9E"/>
              </w:rPr>
              <w:t>p = .596</w:t>
            </w:r>
          </w:p>
        </w:tc>
        <w:tc>
          <w:tcPr>
            <w:tcW w:w="1124" w:type="dxa"/>
            <w:tcBorders>
              <w:top w:val="nil"/>
              <w:left w:val="nil"/>
              <w:bottom w:val="nil"/>
              <w:right w:val="nil"/>
            </w:tcBorders>
            <w:noWrap/>
            <w:vAlign w:val="center"/>
            <w:hideMark/>
          </w:tcPr>
          <w:p w14:paraId="0A14BACE" w14:textId="77777777" w:rsidR="00205CBC" w:rsidRDefault="00000000">
            <w:r>
              <w:rPr>
                <w:color w:val="1F4E9E"/>
              </w:rPr>
              <w:t>0.024</w:t>
            </w:r>
          </w:p>
        </w:tc>
      </w:tr>
      <w:tr w:rsidR="006B3BE7" w:rsidRPr="008B5651" w14:paraId="1609B6E5" w14:textId="77777777" w:rsidTr="00947CFC">
        <w:trPr>
          <w:trHeight w:val="113"/>
        </w:trPr>
        <w:tc>
          <w:tcPr>
            <w:tcW w:w="1289" w:type="dxa"/>
            <w:vMerge/>
            <w:tcBorders>
              <w:top w:val="nil"/>
              <w:left w:val="nil"/>
              <w:bottom w:val="nil"/>
              <w:right w:val="nil"/>
            </w:tcBorders>
            <w:vAlign w:val="center"/>
            <w:hideMark/>
          </w:tcPr>
          <w:p w14:paraId="6E67ABC9"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362B58"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2B29830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295200C" w14:textId="77777777" w:rsidR="00205CBC" w:rsidRDefault="00000000">
            <w:r>
              <w:rPr>
                <w:color w:val="1F4E9E"/>
              </w:rPr>
              <w:t>1.85</w:t>
            </w:r>
          </w:p>
        </w:tc>
        <w:tc>
          <w:tcPr>
            <w:tcW w:w="1076" w:type="dxa"/>
            <w:tcBorders>
              <w:top w:val="nil"/>
              <w:left w:val="nil"/>
              <w:bottom w:val="nil"/>
              <w:right w:val="nil"/>
            </w:tcBorders>
            <w:noWrap/>
            <w:vAlign w:val="center"/>
            <w:hideMark/>
          </w:tcPr>
          <w:p w14:paraId="5DFB7181" w14:textId="77777777" w:rsidR="00205CBC" w:rsidRDefault="00000000">
            <w:r>
              <w:rPr>
                <w:color w:val="1F4E9E"/>
              </w:rPr>
              <w:t>38.90</w:t>
            </w:r>
          </w:p>
        </w:tc>
        <w:tc>
          <w:tcPr>
            <w:tcW w:w="961" w:type="dxa"/>
            <w:tcBorders>
              <w:top w:val="nil"/>
              <w:left w:val="nil"/>
              <w:bottom w:val="nil"/>
              <w:right w:val="nil"/>
            </w:tcBorders>
            <w:noWrap/>
            <w:vAlign w:val="center"/>
            <w:hideMark/>
          </w:tcPr>
          <w:p w14:paraId="123E5987" w14:textId="77777777" w:rsidR="00205CBC" w:rsidRDefault="00000000">
            <w:r>
              <w:rPr>
                <w:color w:val="1F4E9E"/>
              </w:rPr>
              <w:t>0.021</w:t>
            </w:r>
          </w:p>
        </w:tc>
        <w:tc>
          <w:tcPr>
            <w:tcW w:w="1182" w:type="dxa"/>
            <w:tcBorders>
              <w:top w:val="nil"/>
              <w:left w:val="nil"/>
              <w:bottom w:val="nil"/>
              <w:right w:val="nil"/>
            </w:tcBorders>
            <w:noWrap/>
            <w:vAlign w:val="center"/>
            <w:hideMark/>
          </w:tcPr>
          <w:p w14:paraId="7CFD4696" w14:textId="77777777" w:rsidR="00205CBC" w:rsidRDefault="00000000">
            <w:r>
              <w:rPr>
                <w:color w:val="1F4E9E"/>
              </w:rPr>
              <w:t>p = .974</w:t>
            </w:r>
          </w:p>
        </w:tc>
        <w:tc>
          <w:tcPr>
            <w:tcW w:w="1124" w:type="dxa"/>
            <w:tcBorders>
              <w:top w:val="nil"/>
              <w:left w:val="nil"/>
              <w:bottom w:val="nil"/>
              <w:right w:val="nil"/>
            </w:tcBorders>
            <w:noWrap/>
            <w:vAlign w:val="center"/>
            <w:hideMark/>
          </w:tcPr>
          <w:p w14:paraId="1B89F1B0" w14:textId="77777777" w:rsidR="00205CBC" w:rsidRDefault="00000000">
            <w:r>
              <w:rPr>
                <w:color w:val="1F4E9E"/>
              </w:rPr>
              <w:t>0.001</w:t>
            </w:r>
          </w:p>
        </w:tc>
      </w:tr>
      <w:tr w:rsidR="006B3BE7" w:rsidRPr="008B5651" w14:paraId="7BB2370E" w14:textId="77777777" w:rsidTr="00947CFC">
        <w:trPr>
          <w:trHeight w:val="113"/>
        </w:trPr>
        <w:tc>
          <w:tcPr>
            <w:tcW w:w="1289" w:type="dxa"/>
            <w:vMerge/>
            <w:tcBorders>
              <w:top w:val="nil"/>
              <w:left w:val="nil"/>
              <w:bottom w:val="nil"/>
              <w:right w:val="nil"/>
            </w:tcBorders>
            <w:vAlign w:val="center"/>
            <w:hideMark/>
          </w:tcPr>
          <w:p w14:paraId="0DBA2D63"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A6BD94D"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567C2A8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4774DEF" w14:textId="77777777" w:rsidR="00205CBC" w:rsidRDefault="00000000">
            <w:r>
              <w:rPr>
                <w:color w:val="1F4E9E"/>
              </w:rPr>
              <w:t>1</w:t>
            </w:r>
          </w:p>
        </w:tc>
        <w:tc>
          <w:tcPr>
            <w:tcW w:w="1076" w:type="dxa"/>
            <w:tcBorders>
              <w:top w:val="nil"/>
              <w:left w:val="nil"/>
              <w:bottom w:val="nil"/>
              <w:right w:val="nil"/>
            </w:tcBorders>
            <w:noWrap/>
            <w:vAlign w:val="center"/>
            <w:hideMark/>
          </w:tcPr>
          <w:p w14:paraId="1FF5B712" w14:textId="77777777" w:rsidR="00205CBC" w:rsidRDefault="00000000">
            <w:r>
              <w:rPr>
                <w:color w:val="1F4E9E"/>
              </w:rPr>
              <w:t>21</w:t>
            </w:r>
          </w:p>
        </w:tc>
        <w:tc>
          <w:tcPr>
            <w:tcW w:w="961" w:type="dxa"/>
            <w:tcBorders>
              <w:top w:val="nil"/>
              <w:left w:val="nil"/>
              <w:bottom w:val="nil"/>
              <w:right w:val="nil"/>
            </w:tcBorders>
            <w:noWrap/>
            <w:vAlign w:val="center"/>
            <w:hideMark/>
          </w:tcPr>
          <w:p w14:paraId="307D00EF" w14:textId="77777777" w:rsidR="00205CBC" w:rsidRDefault="00000000">
            <w:r>
              <w:t>9.116</w:t>
            </w:r>
          </w:p>
        </w:tc>
        <w:tc>
          <w:tcPr>
            <w:tcW w:w="1182" w:type="dxa"/>
            <w:tcBorders>
              <w:top w:val="nil"/>
              <w:left w:val="nil"/>
              <w:bottom w:val="nil"/>
              <w:right w:val="nil"/>
            </w:tcBorders>
            <w:noWrap/>
            <w:vAlign w:val="center"/>
            <w:hideMark/>
          </w:tcPr>
          <w:p w14:paraId="4699B108" w14:textId="77777777" w:rsidR="00205CBC" w:rsidRDefault="00000000">
            <w:r>
              <w:t>p = .007</w:t>
            </w:r>
          </w:p>
        </w:tc>
        <w:tc>
          <w:tcPr>
            <w:tcW w:w="1124" w:type="dxa"/>
            <w:tcBorders>
              <w:top w:val="nil"/>
              <w:left w:val="nil"/>
              <w:bottom w:val="nil"/>
              <w:right w:val="nil"/>
            </w:tcBorders>
            <w:noWrap/>
            <w:vAlign w:val="center"/>
            <w:hideMark/>
          </w:tcPr>
          <w:p w14:paraId="11296271" w14:textId="77777777" w:rsidR="00205CBC" w:rsidRDefault="00000000">
            <w:r>
              <w:t>0.303</w:t>
            </w:r>
          </w:p>
        </w:tc>
      </w:tr>
      <w:tr w:rsidR="006B3BE7" w:rsidRPr="008B5651" w14:paraId="029A28F8" w14:textId="77777777" w:rsidTr="00947CFC">
        <w:trPr>
          <w:trHeight w:val="113"/>
        </w:trPr>
        <w:tc>
          <w:tcPr>
            <w:tcW w:w="1289" w:type="dxa"/>
            <w:vMerge/>
            <w:tcBorders>
              <w:top w:val="nil"/>
              <w:left w:val="nil"/>
              <w:bottom w:val="nil"/>
              <w:right w:val="nil"/>
            </w:tcBorders>
            <w:vAlign w:val="center"/>
            <w:hideMark/>
          </w:tcPr>
          <w:p w14:paraId="7EF7022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51A8BED"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4676E36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9FDE9BC" w14:textId="77777777" w:rsidR="00205CBC" w:rsidRDefault="00000000">
            <w:r>
              <w:rPr>
                <w:color w:val="1F4E9E"/>
              </w:rPr>
              <w:t>1</w:t>
            </w:r>
          </w:p>
        </w:tc>
        <w:tc>
          <w:tcPr>
            <w:tcW w:w="1076" w:type="dxa"/>
            <w:tcBorders>
              <w:top w:val="nil"/>
              <w:left w:val="nil"/>
              <w:bottom w:val="nil"/>
              <w:right w:val="nil"/>
            </w:tcBorders>
            <w:noWrap/>
            <w:vAlign w:val="center"/>
            <w:hideMark/>
          </w:tcPr>
          <w:p w14:paraId="7CFCC7E8" w14:textId="77777777" w:rsidR="00205CBC" w:rsidRDefault="00000000">
            <w:r>
              <w:rPr>
                <w:color w:val="1F4E9E"/>
              </w:rPr>
              <w:t>21</w:t>
            </w:r>
          </w:p>
        </w:tc>
        <w:tc>
          <w:tcPr>
            <w:tcW w:w="961" w:type="dxa"/>
            <w:tcBorders>
              <w:top w:val="nil"/>
              <w:left w:val="nil"/>
              <w:bottom w:val="nil"/>
              <w:right w:val="nil"/>
            </w:tcBorders>
            <w:noWrap/>
            <w:vAlign w:val="center"/>
            <w:hideMark/>
          </w:tcPr>
          <w:p w14:paraId="088DFDBB" w14:textId="77777777" w:rsidR="00205CBC" w:rsidRDefault="00000000">
            <w:r>
              <w:t>0.236</w:t>
            </w:r>
          </w:p>
        </w:tc>
        <w:tc>
          <w:tcPr>
            <w:tcW w:w="1182" w:type="dxa"/>
            <w:tcBorders>
              <w:top w:val="nil"/>
              <w:left w:val="nil"/>
              <w:bottom w:val="nil"/>
              <w:right w:val="nil"/>
            </w:tcBorders>
            <w:noWrap/>
            <w:vAlign w:val="center"/>
            <w:hideMark/>
          </w:tcPr>
          <w:p w14:paraId="4A4B985E" w14:textId="77777777" w:rsidR="00205CBC" w:rsidRDefault="00000000">
            <w:r>
              <w:t>p = .632</w:t>
            </w:r>
          </w:p>
        </w:tc>
        <w:tc>
          <w:tcPr>
            <w:tcW w:w="1124" w:type="dxa"/>
            <w:tcBorders>
              <w:top w:val="nil"/>
              <w:left w:val="nil"/>
              <w:bottom w:val="nil"/>
              <w:right w:val="nil"/>
            </w:tcBorders>
            <w:noWrap/>
            <w:vAlign w:val="center"/>
            <w:hideMark/>
          </w:tcPr>
          <w:p w14:paraId="51213925" w14:textId="77777777" w:rsidR="00205CBC" w:rsidRDefault="00000000">
            <w:r>
              <w:t>0.011</w:t>
            </w:r>
          </w:p>
        </w:tc>
      </w:tr>
      <w:tr w:rsidR="006B3BE7" w:rsidRPr="008B5651" w14:paraId="603AE66E" w14:textId="77777777" w:rsidTr="00947CFC">
        <w:trPr>
          <w:trHeight w:val="113"/>
        </w:trPr>
        <w:tc>
          <w:tcPr>
            <w:tcW w:w="1289" w:type="dxa"/>
            <w:vMerge/>
            <w:tcBorders>
              <w:top w:val="nil"/>
              <w:left w:val="nil"/>
              <w:bottom w:val="nil"/>
              <w:right w:val="nil"/>
            </w:tcBorders>
            <w:vAlign w:val="center"/>
            <w:hideMark/>
          </w:tcPr>
          <w:p w14:paraId="6F22747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7DB69FB"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577D7DC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44E181A" w14:textId="77777777" w:rsidR="00205CBC" w:rsidRDefault="00000000">
            <w:r>
              <w:t>1.66</w:t>
            </w:r>
          </w:p>
        </w:tc>
        <w:tc>
          <w:tcPr>
            <w:tcW w:w="1076" w:type="dxa"/>
            <w:tcBorders>
              <w:top w:val="nil"/>
              <w:left w:val="nil"/>
              <w:bottom w:val="nil"/>
              <w:right w:val="nil"/>
            </w:tcBorders>
            <w:noWrap/>
            <w:vAlign w:val="center"/>
            <w:hideMark/>
          </w:tcPr>
          <w:p w14:paraId="42FF5FC2" w14:textId="77777777" w:rsidR="00205CBC" w:rsidRDefault="00000000">
            <w:r>
              <w:t>34.89</w:t>
            </w:r>
          </w:p>
        </w:tc>
        <w:tc>
          <w:tcPr>
            <w:tcW w:w="961" w:type="dxa"/>
            <w:tcBorders>
              <w:top w:val="nil"/>
              <w:left w:val="nil"/>
              <w:bottom w:val="nil"/>
              <w:right w:val="nil"/>
            </w:tcBorders>
            <w:noWrap/>
            <w:vAlign w:val="center"/>
            <w:hideMark/>
          </w:tcPr>
          <w:p w14:paraId="5A0965CC" w14:textId="77777777" w:rsidR="00205CBC" w:rsidRDefault="00000000">
            <w:r>
              <w:t>1.936</w:t>
            </w:r>
          </w:p>
        </w:tc>
        <w:tc>
          <w:tcPr>
            <w:tcW w:w="1182" w:type="dxa"/>
            <w:tcBorders>
              <w:top w:val="nil"/>
              <w:left w:val="nil"/>
              <w:bottom w:val="nil"/>
              <w:right w:val="nil"/>
            </w:tcBorders>
            <w:noWrap/>
            <w:vAlign w:val="center"/>
            <w:hideMark/>
          </w:tcPr>
          <w:p w14:paraId="35933886" w14:textId="77777777" w:rsidR="00205CBC" w:rsidRDefault="00000000">
            <w:r>
              <w:t>p = .165</w:t>
            </w:r>
          </w:p>
        </w:tc>
        <w:tc>
          <w:tcPr>
            <w:tcW w:w="1124" w:type="dxa"/>
            <w:tcBorders>
              <w:top w:val="nil"/>
              <w:left w:val="nil"/>
              <w:bottom w:val="nil"/>
              <w:right w:val="nil"/>
            </w:tcBorders>
            <w:noWrap/>
            <w:vAlign w:val="center"/>
            <w:hideMark/>
          </w:tcPr>
          <w:p w14:paraId="6BEC385B" w14:textId="77777777" w:rsidR="00205CBC" w:rsidRDefault="00000000">
            <w:r>
              <w:t>0.084</w:t>
            </w:r>
          </w:p>
        </w:tc>
      </w:tr>
      <w:tr w:rsidR="006B3BE7" w:rsidRPr="008B5651" w14:paraId="379832B1" w14:textId="77777777" w:rsidTr="00947CFC">
        <w:trPr>
          <w:trHeight w:val="113"/>
        </w:trPr>
        <w:tc>
          <w:tcPr>
            <w:tcW w:w="1289" w:type="dxa"/>
            <w:vMerge/>
            <w:tcBorders>
              <w:top w:val="nil"/>
              <w:left w:val="nil"/>
              <w:bottom w:val="nil"/>
              <w:right w:val="nil"/>
            </w:tcBorders>
            <w:vAlign w:val="center"/>
            <w:hideMark/>
          </w:tcPr>
          <w:p w14:paraId="4EA6EF0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52D2DBE"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6140CD6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E15D519" w14:textId="77777777" w:rsidR="00205CBC" w:rsidRDefault="00000000">
            <w:r>
              <w:t>1.99</w:t>
            </w:r>
          </w:p>
        </w:tc>
        <w:tc>
          <w:tcPr>
            <w:tcW w:w="1076" w:type="dxa"/>
            <w:tcBorders>
              <w:top w:val="nil"/>
              <w:left w:val="nil"/>
              <w:bottom w:val="nil"/>
              <w:right w:val="nil"/>
            </w:tcBorders>
            <w:noWrap/>
            <w:vAlign w:val="center"/>
            <w:hideMark/>
          </w:tcPr>
          <w:p w14:paraId="769CD547" w14:textId="77777777" w:rsidR="00205CBC" w:rsidRDefault="00000000">
            <w:r>
              <w:t>41.79</w:t>
            </w:r>
          </w:p>
        </w:tc>
        <w:tc>
          <w:tcPr>
            <w:tcW w:w="961" w:type="dxa"/>
            <w:tcBorders>
              <w:top w:val="nil"/>
              <w:left w:val="nil"/>
              <w:bottom w:val="nil"/>
              <w:right w:val="nil"/>
            </w:tcBorders>
            <w:noWrap/>
            <w:vAlign w:val="center"/>
            <w:hideMark/>
          </w:tcPr>
          <w:p w14:paraId="79AF03A5" w14:textId="77777777" w:rsidR="00205CBC" w:rsidRDefault="00000000">
            <w:r>
              <w:t>1.302</w:t>
            </w:r>
          </w:p>
        </w:tc>
        <w:tc>
          <w:tcPr>
            <w:tcW w:w="1182" w:type="dxa"/>
            <w:tcBorders>
              <w:top w:val="nil"/>
              <w:left w:val="nil"/>
              <w:bottom w:val="nil"/>
              <w:right w:val="nil"/>
            </w:tcBorders>
            <w:noWrap/>
            <w:vAlign w:val="center"/>
            <w:hideMark/>
          </w:tcPr>
          <w:p w14:paraId="4A2BBEB6" w14:textId="77777777" w:rsidR="00205CBC" w:rsidRDefault="00000000">
            <w:r>
              <w:t>p = .283</w:t>
            </w:r>
          </w:p>
        </w:tc>
        <w:tc>
          <w:tcPr>
            <w:tcW w:w="1124" w:type="dxa"/>
            <w:tcBorders>
              <w:top w:val="nil"/>
              <w:left w:val="nil"/>
              <w:bottom w:val="nil"/>
              <w:right w:val="nil"/>
            </w:tcBorders>
            <w:noWrap/>
            <w:vAlign w:val="center"/>
            <w:hideMark/>
          </w:tcPr>
          <w:p w14:paraId="0B402A02" w14:textId="77777777" w:rsidR="00205CBC" w:rsidRDefault="00000000">
            <w:r>
              <w:t>0.058</w:t>
            </w:r>
          </w:p>
        </w:tc>
      </w:tr>
      <w:tr w:rsidR="006B3BE7" w:rsidRPr="008B5651" w14:paraId="4F4731A8" w14:textId="77777777" w:rsidTr="00947CFC">
        <w:trPr>
          <w:trHeight w:val="113"/>
        </w:trPr>
        <w:tc>
          <w:tcPr>
            <w:tcW w:w="1289" w:type="dxa"/>
            <w:tcBorders>
              <w:top w:val="nil"/>
              <w:left w:val="nil"/>
              <w:bottom w:val="nil"/>
              <w:right w:val="nil"/>
            </w:tcBorders>
            <w:noWrap/>
            <w:vAlign w:val="bottom"/>
            <w:hideMark/>
          </w:tcPr>
          <w:p w14:paraId="64DD9155"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231D4C56"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6064CA5"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2AB721C5"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4E975583"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EB85F5A"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222ED497"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799E76F9" w14:textId="77777777" w:rsidR="006B3BE7" w:rsidRPr="00F075B9" w:rsidRDefault="006B3BE7" w:rsidP="00947CFC">
            <w:pPr>
              <w:spacing w:after="0" w:line="240" w:lineRule="auto"/>
              <w:jc w:val="center"/>
              <w:rPr>
                <w:rFonts w:eastAsia="Times New Roman"/>
                <w:sz w:val="18"/>
                <w:szCs w:val="18"/>
              </w:rPr>
            </w:pPr>
          </w:p>
        </w:tc>
      </w:tr>
      <w:tr w:rsidR="006B3BE7" w:rsidRPr="008B5651" w14:paraId="31F8FACF" w14:textId="77777777" w:rsidTr="00947CFC">
        <w:trPr>
          <w:trHeight w:val="113"/>
        </w:trPr>
        <w:tc>
          <w:tcPr>
            <w:tcW w:w="1289" w:type="dxa"/>
            <w:vMerge w:val="restart"/>
            <w:tcBorders>
              <w:top w:val="single" w:sz="8" w:space="0" w:color="auto"/>
              <w:left w:val="nil"/>
              <w:bottom w:val="nil"/>
              <w:right w:val="nil"/>
            </w:tcBorders>
            <w:noWrap/>
            <w:vAlign w:val="center"/>
            <w:hideMark/>
          </w:tcPr>
          <w:p w14:paraId="7948D5F7" w14:textId="77777777" w:rsidR="006B3BE7" w:rsidRPr="00F075B9" w:rsidRDefault="006B3BE7" w:rsidP="00947CFC">
            <w:pPr>
              <w:spacing w:after="0" w:line="240" w:lineRule="auto"/>
              <w:jc w:val="center"/>
              <w:rPr>
                <w:rFonts w:eastAsia="Times New Roman"/>
                <w:bCs/>
                <w:color w:val="000000"/>
                <w:sz w:val="22"/>
                <w:szCs w:val="18"/>
              </w:rPr>
            </w:pPr>
            <w:r>
              <w:t>Delay</w:t>
            </w:r>
          </w:p>
        </w:tc>
        <w:tc>
          <w:tcPr>
            <w:tcW w:w="2280" w:type="dxa"/>
            <w:tcBorders>
              <w:top w:val="single" w:sz="8" w:space="0" w:color="auto"/>
              <w:left w:val="nil"/>
              <w:bottom w:val="nil"/>
              <w:right w:val="nil"/>
            </w:tcBorders>
            <w:vAlign w:val="center"/>
            <w:hideMark/>
          </w:tcPr>
          <w:p w14:paraId="7A4560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52831EE7"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0B455CB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7F026EF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1B6799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3.177</w:t>
            </w:r>
          </w:p>
        </w:tc>
        <w:tc>
          <w:tcPr>
            <w:tcW w:w="1182" w:type="dxa"/>
            <w:tcBorders>
              <w:top w:val="single" w:sz="8" w:space="0" w:color="auto"/>
              <w:left w:val="nil"/>
              <w:bottom w:val="nil"/>
              <w:right w:val="nil"/>
            </w:tcBorders>
            <w:noWrap/>
            <w:vAlign w:val="center"/>
            <w:hideMark/>
          </w:tcPr>
          <w:p w14:paraId="70813D9F"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.089</w:t>
            </w:r>
          </w:p>
        </w:tc>
        <w:tc>
          <w:tcPr>
            <w:tcW w:w="1124" w:type="dxa"/>
            <w:tcBorders>
              <w:top w:val="single" w:sz="8" w:space="0" w:color="auto"/>
              <w:left w:val="nil"/>
              <w:bottom w:val="nil"/>
              <w:right w:val="nil"/>
            </w:tcBorders>
            <w:noWrap/>
            <w:vAlign w:val="center"/>
            <w:hideMark/>
          </w:tcPr>
          <w:p w14:paraId="292600C9"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5F393C75" w14:textId="77777777" w:rsidTr="00947CFC">
        <w:trPr>
          <w:trHeight w:val="113"/>
        </w:trPr>
        <w:tc>
          <w:tcPr>
            <w:tcW w:w="1289" w:type="dxa"/>
            <w:vMerge/>
            <w:tcBorders>
              <w:top w:val="single" w:sz="8" w:space="0" w:color="auto"/>
              <w:left w:val="nil"/>
              <w:bottom w:val="nil"/>
              <w:right w:val="nil"/>
            </w:tcBorders>
            <w:vAlign w:val="center"/>
            <w:hideMark/>
          </w:tcPr>
          <w:p w14:paraId="37BA9E3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D551EC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158A1D2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E8DDDE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1.29</w:t>
            </w:r>
          </w:p>
        </w:tc>
        <w:tc>
          <w:tcPr>
            <w:tcW w:w="1076" w:type="dxa"/>
            <w:tcBorders>
              <w:top w:val="nil"/>
              <w:left w:val="nil"/>
              <w:bottom w:val="nil"/>
              <w:right w:val="nil"/>
            </w:tcBorders>
            <w:noWrap/>
            <w:vAlign w:val="center"/>
            <w:hideMark/>
          </w:tcPr>
          <w:p w14:paraId="5386B43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27.12</w:t>
            </w:r>
          </w:p>
        </w:tc>
        <w:tc>
          <w:tcPr>
            <w:tcW w:w="961" w:type="dxa"/>
            <w:tcBorders>
              <w:top w:val="nil"/>
              <w:left w:val="nil"/>
              <w:bottom w:val="nil"/>
              <w:right w:val="nil"/>
            </w:tcBorders>
            <w:noWrap/>
            <w:vAlign w:val="center"/>
            <w:hideMark/>
          </w:tcPr>
          <w:p w14:paraId="71BD99B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1.257</w:t>
            </w:r>
          </w:p>
        </w:tc>
        <w:tc>
          <w:tcPr>
            <w:tcW w:w="1182" w:type="dxa"/>
            <w:tcBorders>
              <w:top w:val="nil"/>
              <w:left w:val="nil"/>
              <w:bottom w:val="nil"/>
              <w:right w:val="nil"/>
            </w:tcBorders>
            <w:noWrap/>
            <w:vAlign w:val="center"/>
            <w:hideMark/>
          </w:tcPr>
          <w:p w14:paraId="11C00B75"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.285</w:t>
            </w:r>
          </w:p>
        </w:tc>
        <w:tc>
          <w:tcPr>
            <w:tcW w:w="1124" w:type="dxa"/>
            <w:tcBorders>
              <w:top w:val="nil"/>
              <w:left w:val="nil"/>
              <w:bottom w:val="nil"/>
              <w:right w:val="nil"/>
            </w:tcBorders>
            <w:noWrap/>
            <w:vAlign w:val="center"/>
            <w:hideMark/>
          </w:tcPr>
          <w:p w14:paraId="0F843D88"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4B58EFE" w14:textId="77777777" w:rsidTr="00947CFC">
        <w:trPr>
          <w:trHeight w:val="113"/>
        </w:trPr>
        <w:tc>
          <w:tcPr>
            <w:tcW w:w="1289" w:type="dxa"/>
            <w:vMerge/>
            <w:tcBorders>
              <w:top w:val="single" w:sz="8" w:space="0" w:color="auto"/>
              <w:left w:val="nil"/>
              <w:bottom w:val="nil"/>
              <w:right w:val="nil"/>
            </w:tcBorders>
            <w:vAlign w:val="center"/>
            <w:hideMark/>
          </w:tcPr>
          <w:p w14:paraId="31D13B3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2DA2166"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45400D2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545C632" w14:textId="77777777" w:rsidR="00205CBC" w:rsidRDefault="00000000">
            <w:r>
              <w:rPr>
                <w:color w:val="1F4E9E"/>
              </w:rPr>
              <w:t>1</w:t>
            </w:r>
          </w:p>
        </w:tc>
        <w:tc>
          <w:tcPr>
            <w:tcW w:w="1076" w:type="dxa"/>
            <w:tcBorders>
              <w:top w:val="nil"/>
              <w:left w:val="nil"/>
              <w:bottom w:val="nil"/>
              <w:right w:val="nil"/>
            </w:tcBorders>
            <w:noWrap/>
            <w:vAlign w:val="center"/>
            <w:hideMark/>
          </w:tcPr>
          <w:p w14:paraId="20D14003" w14:textId="77777777" w:rsidR="00205CBC" w:rsidRDefault="00000000">
            <w:r>
              <w:rPr>
                <w:color w:val="1F4E9E"/>
              </w:rPr>
              <w:t>21</w:t>
            </w:r>
          </w:p>
        </w:tc>
        <w:tc>
          <w:tcPr>
            <w:tcW w:w="961" w:type="dxa"/>
            <w:tcBorders>
              <w:top w:val="nil"/>
              <w:left w:val="nil"/>
              <w:bottom w:val="nil"/>
              <w:right w:val="nil"/>
            </w:tcBorders>
            <w:noWrap/>
            <w:vAlign w:val="center"/>
            <w:hideMark/>
          </w:tcPr>
          <w:p w14:paraId="16917062" w14:textId="77777777" w:rsidR="00205CBC" w:rsidRDefault="00000000">
            <w:r>
              <w:rPr>
                <w:color w:val="1F4E9E"/>
              </w:rPr>
              <w:t>7.107</w:t>
            </w:r>
          </w:p>
        </w:tc>
        <w:tc>
          <w:tcPr>
            <w:tcW w:w="1182" w:type="dxa"/>
            <w:tcBorders>
              <w:top w:val="nil"/>
              <w:left w:val="nil"/>
              <w:bottom w:val="nil"/>
              <w:right w:val="nil"/>
            </w:tcBorders>
            <w:noWrap/>
            <w:vAlign w:val="center"/>
            <w:hideMark/>
          </w:tcPr>
          <w:p w14:paraId="64912967" w14:textId="77777777" w:rsidR="00205CBC" w:rsidRDefault="00000000">
            <w:r>
              <w:rPr>
                <w:color w:val="1F4E9E"/>
              </w:rPr>
              <w:t>p = .014</w:t>
            </w:r>
          </w:p>
        </w:tc>
        <w:tc>
          <w:tcPr>
            <w:tcW w:w="1124" w:type="dxa"/>
            <w:tcBorders>
              <w:top w:val="nil"/>
              <w:left w:val="nil"/>
              <w:bottom w:val="nil"/>
              <w:right w:val="nil"/>
            </w:tcBorders>
            <w:noWrap/>
            <w:vAlign w:val="center"/>
            <w:hideMark/>
          </w:tcPr>
          <w:p w14:paraId="2FEE5166" w14:textId="77777777" w:rsidR="00205CBC" w:rsidRDefault="00000000">
            <w:r>
              <w:rPr>
                <w:color w:val="1F4E9E"/>
              </w:rPr>
              <w:t>0.253</w:t>
            </w:r>
          </w:p>
        </w:tc>
      </w:tr>
      <w:tr w:rsidR="006B3BE7" w:rsidRPr="008B5651" w14:paraId="7FC8438C" w14:textId="77777777" w:rsidTr="00947CFC">
        <w:trPr>
          <w:trHeight w:val="113"/>
        </w:trPr>
        <w:tc>
          <w:tcPr>
            <w:tcW w:w="1289" w:type="dxa"/>
            <w:vMerge/>
            <w:tcBorders>
              <w:top w:val="single" w:sz="8" w:space="0" w:color="auto"/>
              <w:left w:val="nil"/>
              <w:bottom w:val="nil"/>
              <w:right w:val="nil"/>
            </w:tcBorders>
            <w:vAlign w:val="center"/>
            <w:hideMark/>
          </w:tcPr>
          <w:p w14:paraId="243B976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D2CA1F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544F30A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D09D33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1.69</w:t>
            </w:r>
          </w:p>
        </w:tc>
        <w:tc>
          <w:tcPr>
            <w:tcW w:w="1076" w:type="dxa"/>
            <w:tcBorders>
              <w:top w:val="nil"/>
              <w:left w:val="nil"/>
              <w:bottom w:val="nil"/>
              <w:right w:val="nil"/>
            </w:tcBorders>
            <w:noWrap/>
            <w:vAlign w:val="center"/>
            <w:hideMark/>
          </w:tcPr>
          <w:p w14:paraId="7CF935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35.43</w:t>
            </w:r>
          </w:p>
        </w:tc>
        <w:tc>
          <w:tcPr>
            <w:tcW w:w="961" w:type="dxa"/>
            <w:tcBorders>
              <w:top w:val="nil"/>
              <w:left w:val="nil"/>
              <w:bottom w:val="nil"/>
              <w:right w:val="nil"/>
            </w:tcBorders>
            <w:noWrap/>
            <w:vAlign w:val="center"/>
            <w:hideMark/>
          </w:tcPr>
          <w:p w14:paraId="7F7823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1.586</w:t>
            </w:r>
          </w:p>
        </w:tc>
        <w:tc>
          <w:tcPr>
            <w:tcW w:w="1182" w:type="dxa"/>
            <w:tcBorders>
              <w:top w:val="nil"/>
              <w:left w:val="nil"/>
              <w:bottom w:val="nil"/>
              <w:right w:val="nil"/>
            </w:tcBorders>
            <w:noWrap/>
            <w:vAlign w:val="center"/>
            <w:hideMark/>
          </w:tcPr>
          <w:p w14:paraId="3F008B30"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.220</w:t>
            </w:r>
          </w:p>
        </w:tc>
        <w:tc>
          <w:tcPr>
            <w:tcW w:w="1124" w:type="dxa"/>
            <w:tcBorders>
              <w:top w:val="nil"/>
              <w:left w:val="nil"/>
              <w:bottom w:val="nil"/>
              <w:right w:val="nil"/>
            </w:tcBorders>
            <w:noWrap/>
            <w:vAlign w:val="center"/>
            <w:hideMark/>
          </w:tcPr>
          <w:p w14:paraId="12E895D2"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2A708B9" w14:textId="77777777" w:rsidTr="00947CFC">
        <w:trPr>
          <w:trHeight w:val="113"/>
        </w:trPr>
        <w:tc>
          <w:tcPr>
            <w:tcW w:w="1289" w:type="dxa"/>
            <w:vMerge/>
            <w:tcBorders>
              <w:top w:val="single" w:sz="8" w:space="0" w:color="auto"/>
              <w:left w:val="nil"/>
              <w:bottom w:val="nil"/>
              <w:right w:val="nil"/>
            </w:tcBorders>
            <w:vAlign w:val="center"/>
            <w:hideMark/>
          </w:tcPr>
          <w:p w14:paraId="40D43CC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92CA64A"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30F4325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33CC638" w14:textId="77777777" w:rsidR="00205CBC" w:rsidRDefault="00000000">
            <w:r>
              <w:rPr>
                <w:color w:val="1F4E9E"/>
              </w:rPr>
              <w:t>1</w:t>
            </w:r>
          </w:p>
        </w:tc>
        <w:tc>
          <w:tcPr>
            <w:tcW w:w="1076" w:type="dxa"/>
            <w:tcBorders>
              <w:top w:val="nil"/>
              <w:left w:val="nil"/>
              <w:bottom w:val="nil"/>
              <w:right w:val="nil"/>
            </w:tcBorders>
            <w:noWrap/>
            <w:vAlign w:val="center"/>
            <w:hideMark/>
          </w:tcPr>
          <w:p w14:paraId="6D8D212A" w14:textId="77777777" w:rsidR="00205CBC" w:rsidRDefault="00000000">
            <w:r>
              <w:rPr>
                <w:color w:val="1F4E9E"/>
              </w:rPr>
              <w:t>21</w:t>
            </w:r>
          </w:p>
        </w:tc>
        <w:tc>
          <w:tcPr>
            <w:tcW w:w="961" w:type="dxa"/>
            <w:tcBorders>
              <w:top w:val="nil"/>
              <w:left w:val="nil"/>
              <w:bottom w:val="nil"/>
              <w:right w:val="nil"/>
            </w:tcBorders>
            <w:noWrap/>
            <w:vAlign w:val="center"/>
            <w:hideMark/>
          </w:tcPr>
          <w:p w14:paraId="5A3E4BC1" w14:textId="77777777" w:rsidR="00205CBC" w:rsidRDefault="00000000">
            <w:r>
              <w:rPr>
                <w:color w:val="1F4E9E"/>
              </w:rPr>
              <w:t>0.019</w:t>
            </w:r>
          </w:p>
        </w:tc>
        <w:tc>
          <w:tcPr>
            <w:tcW w:w="1182" w:type="dxa"/>
            <w:tcBorders>
              <w:top w:val="nil"/>
              <w:left w:val="nil"/>
              <w:bottom w:val="nil"/>
              <w:right w:val="nil"/>
            </w:tcBorders>
            <w:noWrap/>
            <w:vAlign w:val="center"/>
            <w:hideMark/>
          </w:tcPr>
          <w:p w14:paraId="22ED22ED" w14:textId="77777777" w:rsidR="00205CBC" w:rsidRDefault="00000000">
            <w:r>
              <w:rPr>
                <w:color w:val="1F4E9E"/>
              </w:rPr>
              <w:t>p = .893</w:t>
            </w:r>
          </w:p>
        </w:tc>
        <w:tc>
          <w:tcPr>
            <w:tcW w:w="1124" w:type="dxa"/>
            <w:tcBorders>
              <w:top w:val="nil"/>
              <w:left w:val="nil"/>
              <w:bottom w:val="nil"/>
              <w:right w:val="nil"/>
            </w:tcBorders>
            <w:noWrap/>
            <w:vAlign w:val="center"/>
            <w:hideMark/>
          </w:tcPr>
          <w:p w14:paraId="7E61A294" w14:textId="77777777" w:rsidR="00205CBC" w:rsidRDefault="00000000">
            <w:r>
              <w:rPr>
                <w:color w:val="1F4E9E"/>
              </w:rPr>
              <w:t>0.001</w:t>
            </w:r>
          </w:p>
        </w:tc>
      </w:tr>
      <w:tr w:rsidR="006B3BE7" w:rsidRPr="008B5651" w14:paraId="0759A70C" w14:textId="77777777" w:rsidTr="00947CFC">
        <w:trPr>
          <w:trHeight w:val="113"/>
        </w:trPr>
        <w:tc>
          <w:tcPr>
            <w:tcW w:w="1289" w:type="dxa"/>
            <w:vMerge/>
            <w:tcBorders>
              <w:top w:val="single" w:sz="8" w:space="0" w:color="auto"/>
              <w:left w:val="nil"/>
              <w:bottom w:val="nil"/>
              <w:right w:val="nil"/>
            </w:tcBorders>
            <w:vAlign w:val="center"/>
            <w:hideMark/>
          </w:tcPr>
          <w:p w14:paraId="5D06458C"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4A6E95F"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2253C65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2EDCA5C" w14:textId="77777777" w:rsidR="00205CBC" w:rsidRDefault="00000000">
            <w:r>
              <w:rPr>
                <w:color w:val="1F4E9E"/>
              </w:rPr>
              <w:t>1.78</w:t>
            </w:r>
          </w:p>
        </w:tc>
        <w:tc>
          <w:tcPr>
            <w:tcW w:w="1076" w:type="dxa"/>
            <w:tcBorders>
              <w:top w:val="nil"/>
              <w:left w:val="nil"/>
              <w:bottom w:val="nil"/>
              <w:right w:val="nil"/>
            </w:tcBorders>
            <w:noWrap/>
            <w:vAlign w:val="center"/>
            <w:hideMark/>
          </w:tcPr>
          <w:p w14:paraId="7778E676" w14:textId="77777777" w:rsidR="00205CBC" w:rsidRDefault="00000000">
            <w:r>
              <w:rPr>
                <w:color w:val="1F4E9E"/>
              </w:rPr>
              <w:t>37.43</w:t>
            </w:r>
          </w:p>
        </w:tc>
        <w:tc>
          <w:tcPr>
            <w:tcW w:w="961" w:type="dxa"/>
            <w:tcBorders>
              <w:top w:val="nil"/>
              <w:left w:val="nil"/>
              <w:bottom w:val="nil"/>
              <w:right w:val="nil"/>
            </w:tcBorders>
            <w:noWrap/>
            <w:vAlign w:val="center"/>
            <w:hideMark/>
          </w:tcPr>
          <w:p w14:paraId="742E422A" w14:textId="77777777" w:rsidR="00205CBC" w:rsidRDefault="00000000">
            <w:r>
              <w:rPr>
                <w:color w:val="1F4E9E"/>
              </w:rPr>
              <w:t>1.371</w:t>
            </w:r>
          </w:p>
        </w:tc>
        <w:tc>
          <w:tcPr>
            <w:tcW w:w="1182" w:type="dxa"/>
            <w:tcBorders>
              <w:top w:val="nil"/>
              <w:left w:val="nil"/>
              <w:bottom w:val="nil"/>
              <w:right w:val="nil"/>
            </w:tcBorders>
            <w:noWrap/>
            <w:vAlign w:val="center"/>
            <w:hideMark/>
          </w:tcPr>
          <w:p w14:paraId="2DAD3B6C" w14:textId="77777777" w:rsidR="00205CBC" w:rsidRDefault="00000000">
            <w:r>
              <w:rPr>
                <w:color w:val="1F4E9E"/>
              </w:rPr>
              <w:t>p = .265</w:t>
            </w:r>
          </w:p>
        </w:tc>
        <w:tc>
          <w:tcPr>
            <w:tcW w:w="1124" w:type="dxa"/>
            <w:tcBorders>
              <w:top w:val="nil"/>
              <w:left w:val="nil"/>
              <w:bottom w:val="nil"/>
              <w:right w:val="nil"/>
            </w:tcBorders>
            <w:noWrap/>
            <w:vAlign w:val="bottom"/>
            <w:hideMark/>
          </w:tcPr>
          <w:p w14:paraId="69CD62F1" w14:textId="77777777" w:rsidR="00205CBC" w:rsidRDefault="00000000">
            <w:r>
              <w:rPr>
                <w:color w:val="1F4E9E"/>
              </w:rPr>
              <w:t>0.061</w:t>
            </w:r>
          </w:p>
        </w:tc>
      </w:tr>
      <w:tr w:rsidR="006B3BE7" w:rsidRPr="008B5651" w14:paraId="7C9B87E5" w14:textId="77777777" w:rsidTr="00947CFC">
        <w:trPr>
          <w:trHeight w:val="113"/>
        </w:trPr>
        <w:tc>
          <w:tcPr>
            <w:tcW w:w="1289" w:type="dxa"/>
            <w:vMerge/>
            <w:tcBorders>
              <w:top w:val="single" w:sz="8" w:space="0" w:color="auto"/>
              <w:left w:val="nil"/>
              <w:bottom w:val="nil"/>
              <w:right w:val="nil"/>
            </w:tcBorders>
            <w:vAlign w:val="center"/>
            <w:hideMark/>
          </w:tcPr>
          <w:p w14:paraId="156A35A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69812CB"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3315BD2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4065EFA" w14:textId="77777777" w:rsidR="00205CBC" w:rsidRDefault="00000000">
            <w:r>
              <w:rPr>
                <w:color w:val="1F4E9E"/>
              </w:rPr>
              <w:t>1.81</w:t>
            </w:r>
          </w:p>
        </w:tc>
        <w:tc>
          <w:tcPr>
            <w:tcW w:w="1076" w:type="dxa"/>
            <w:tcBorders>
              <w:top w:val="nil"/>
              <w:left w:val="nil"/>
              <w:bottom w:val="nil"/>
              <w:right w:val="nil"/>
            </w:tcBorders>
            <w:noWrap/>
            <w:vAlign w:val="center"/>
            <w:hideMark/>
          </w:tcPr>
          <w:p w14:paraId="6376868B" w14:textId="77777777" w:rsidR="00205CBC" w:rsidRDefault="00000000">
            <w:r>
              <w:rPr>
                <w:color w:val="1F4E9E"/>
              </w:rPr>
              <w:t>37.91</w:t>
            </w:r>
          </w:p>
        </w:tc>
        <w:tc>
          <w:tcPr>
            <w:tcW w:w="961" w:type="dxa"/>
            <w:tcBorders>
              <w:top w:val="nil"/>
              <w:left w:val="nil"/>
              <w:bottom w:val="nil"/>
              <w:right w:val="nil"/>
            </w:tcBorders>
            <w:noWrap/>
            <w:vAlign w:val="center"/>
            <w:hideMark/>
          </w:tcPr>
          <w:p w14:paraId="551467A6" w14:textId="77777777" w:rsidR="00205CBC" w:rsidRDefault="00000000">
            <w:r>
              <w:rPr>
                <w:color w:val="1F4E9E"/>
              </w:rPr>
              <w:t>2.687</w:t>
            </w:r>
          </w:p>
        </w:tc>
        <w:tc>
          <w:tcPr>
            <w:tcW w:w="1182" w:type="dxa"/>
            <w:tcBorders>
              <w:top w:val="nil"/>
              <w:left w:val="nil"/>
              <w:bottom w:val="nil"/>
              <w:right w:val="nil"/>
            </w:tcBorders>
            <w:noWrap/>
            <w:vAlign w:val="center"/>
            <w:hideMark/>
          </w:tcPr>
          <w:p w14:paraId="0AD92D64" w14:textId="77777777" w:rsidR="00205CBC" w:rsidRDefault="00000000">
            <w:r>
              <w:rPr>
                <w:color w:val="1F4E9E"/>
              </w:rPr>
              <w:t>p = .086</w:t>
            </w:r>
          </w:p>
        </w:tc>
        <w:tc>
          <w:tcPr>
            <w:tcW w:w="1124" w:type="dxa"/>
            <w:tcBorders>
              <w:top w:val="nil"/>
              <w:left w:val="nil"/>
              <w:bottom w:val="nil"/>
              <w:right w:val="nil"/>
            </w:tcBorders>
            <w:noWrap/>
            <w:vAlign w:val="center"/>
            <w:hideMark/>
          </w:tcPr>
          <w:p w14:paraId="48AEFFE3" w14:textId="77777777" w:rsidR="00205CBC" w:rsidRDefault="00000000">
            <w:r>
              <w:rPr>
                <w:color w:val="1F4E9E"/>
              </w:rPr>
              <w:t>0.113</w:t>
            </w:r>
          </w:p>
        </w:tc>
      </w:tr>
      <w:tr w:rsidR="006B3BE7" w:rsidRPr="008B5651" w14:paraId="104FD1C1" w14:textId="77777777" w:rsidTr="00947CFC">
        <w:trPr>
          <w:trHeight w:val="113"/>
        </w:trPr>
        <w:tc>
          <w:tcPr>
            <w:tcW w:w="1289" w:type="dxa"/>
            <w:vMerge/>
            <w:tcBorders>
              <w:top w:val="single" w:sz="8" w:space="0" w:color="auto"/>
              <w:left w:val="nil"/>
              <w:bottom w:val="nil"/>
              <w:right w:val="nil"/>
            </w:tcBorders>
            <w:vAlign w:val="center"/>
            <w:hideMark/>
          </w:tcPr>
          <w:p w14:paraId="75B953A0"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1CA0F7E"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1FC1440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45C29B8" w14:textId="77777777" w:rsidR="00205CBC" w:rsidRDefault="00000000">
            <w:r>
              <w:rPr>
                <w:color w:val="1F4E9E"/>
              </w:rPr>
              <w:t>1</w:t>
            </w:r>
          </w:p>
        </w:tc>
        <w:tc>
          <w:tcPr>
            <w:tcW w:w="1076" w:type="dxa"/>
            <w:tcBorders>
              <w:top w:val="nil"/>
              <w:left w:val="nil"/>
              <w:bottom w:val="nil"/>
              <w:right w:val="nil"/>
            </w:tcBorders>
            <w:noWrap/>
            <w:vAlign w:val="center"/>
            <w:hideMark/>
          </w:tcPr>
          <w:p w14:paraId="6EB95BDF" w14:textId="77777777" w:rsidR="00205CBC" w:rsidRDefault="00000000">
            <w:r>
              <w:rPr>
                <w:color w:val="1F4E9E"/>
              </w:rPr>
              <w:t>21</w:t>
            </w:r>
          </w:p>
        </w:tc>
        <w:tc>
          <w:tcPr>
            <w:tcW w:w="961" w:type="dxa"/>
            <w:tcBorders>
              <w:top w:val="nil"/>
              <w:left w:val="nil"/>
              <w:bottom w:val="nil"/>
              <w:right w:val="nil"/>
            </w:tcBorders>
            <w:noWrap/>
            <w:vAlign w:val="center"/>
            <w:hideMark/>
          </w:tcPr>
          <w:p w14:paraId="580666A8" w14:textId="77777777" w:rsidR="00205CBC" w:rsidRDefault="00000000">
            <w:r>
              <w:t>3.290</w:t>
            </w:r>
          </w:p>
        </w:tc>
        <w:tc>
          <w:tcPr>
            <w:tcW w:w="1182" w:type="dxa"/>
            <w:tcBorders>
              <w:top w:val="nil"/>
              <w:left w:val="nil"/>
              <w:bottom w:val="nil"/>
              <w:right w:val="nil"/>
            </w:tcBorders>
            <w:noWrap/>
            <w:vAlign w:val="center"/>
            <w:hideMark/>
          </w:tcPr>
          <w:p w14:paraId="089D2369" w14:textId="77777777" w:rsidR="00205CBC" w:rsidRDefault="00000000">
            <w:r>
              <w:t>p = .084</w:t>
            </w:r>
          </w:p>
        </w:tc>
        <w:tc>
          <w:tcPr>
            <w:tcW w:w="1124" w:type="dxa"/>
            <w:tcBorders>
              <w:top w:val="nil"/>
              <w:left w:val="nil"/>
              <w:bottom w:val="nil"/>
              <w:right w:val="nil"/>
            </w:tcBorders>
            <w:noWrap/>
            <w:vAlign w:val="center"/>
            <w:hideMark/>
          </w:tcPr>
          <w:p w14:paraId="0F642799" w14:textId="77777777" w:rsidR="00205CBC" w:rsidRDefault="00000000">
            <w:r>
              <w:t>0.135</w:t>
            </w:r>
          </w:p>
        </w:tc>
      </w:tr>
      <w:tr w:rsidR="006B3BE7" w:rsidRPr="008B5651" w14:paraId="52639421" w14:textId="77777777" w:rsidTr="00947CFC">
        <w:trPr>
          <w:trHeight w:val="113"/>
        </w:trPr>
        <w:tc>
          <w:tcPr>
            <w:tcW w:w="1289" w:type="dxa"/>
            <w:vMerge/>
            <w:tcBorders>
              <w:top w:val="single" w:sz="8" w:space="0" w:color="auto"/>
              <w:left w:val="nil"/>
              <w:bottom w:val="nil"/>
              <w:right w:val="nil"/>
            </w:tcBorders>
            <w:vAlign w:val="center"/>
            <w:hideMark/>
          </w:tcPr>
          <w:p w14:paraId="612EA34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53B4757"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5E2CBF4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5B3DFFC" w14:textId="77777777" w:rsidR="00205CBC" w:rsidRDefault="00000000">
            <w:r>
              <w:rPr>
                <w:color w:val="1F4E9E"/>
              </w:rPr>
              <w:t>1</w:t>
            </w:r>
          </w:p>
        </w:tc>
        <w:tc>
          <w:tcPr>
            <w:tcW w:w="1076" w:type="dxa"/>
            <w:tcBorders>
              <w:top w:val="nil"/>
              <w:left w:val="nil"/>
              <w:bottom w:val="nil"/>
              <w:right w:val="nil"/>
            </w:tcBorders>
            <w:noWrap/>
            <w:vAlign w:val="center"/>
            <w:hideMark/>
          </w:tcPr>
          <w:p w14:paraId="10A4BFC9" w14:textId="77777777" w:rsidR="00205CBC" w:rsidRDefault="00000000">
            <w:r>
              <w:rPr>
                <w:color w:val="1F4E9E"/>
              </w:rPr>
              <w:t>21</w:t>
            </w:r>
          </w:p>
        </w:tc>
        <w:tc>
          <w:tcPr>
            <w:tcW w:w="961" w:type="dxa"/>
            <w:tcBorders>
              <w:top w:val="nil"/>
              <w:left w:val="nil"/>
              <w:bottom w:val="nil"/>
              <w:right w:val="nil"/>
            </w:tcBorders>
            <w:noWrap/>
            <w:vAlign w:val="center"/>
            <w:hideMark/>
          </w:tcPr>
          <w:p w14:paraId="1B5E3174" w14:textId="77777777" w:rsidR="00205CBC" w:rsidRDefault="00000000">
            <w:r>
              <w:t>3.741</w:t>
            </w:r>
          </w:p>
        </w:tc>
        <w:tc>
          <w:tcPr>
            <w:tcW w:w="1182" w:type="dxa"/>
            <w:tcBorders>
              <w:top w:val="nil"/>
              <w:left w:val="nil"/>
              <w:bottom w:val="nil"/>
              <w:right w:val="nil"/>
            </w:tcBorders>
            <w:noWrap/>
            <w:vAlign w:val="center"/>
            <w:hideMark/>
          </w:tcPr>
          <w:p w14:paraId="079BE1CC" w14:textId="77777777" w:rsidR="00205CBC" w:rsidRDefault="00000000">
            <w:r>
              <w:t>p = .067</w:t>
            </w:r>
          </w:p>
        </w:tc>
        <w:tc>
          <w:tcPr>
            <w:tcW w:w="1124" w:type="dxa"/>
            <w:tcBorders>
              <w:top w:val="nil"/>
              <w:left w:val="nil"/>
              <w:bottom w:val="nil"/>
              <w:right w:val="nil"/>
            </w:tcBorders>
            <w:noWrap/>
            <w:vAlign w:val="center"/>
            <w:hideMark/>
          </w:tcPr>
          <w:p w14:paraId="0231FA7F" w14:textId="77777777" w:rsidR="00205CBC" w:rsidRDefault="00000000">
            <w:r>
              <w:t>0.151</w:t>
            </w:r>
          </w:p>
        </w:tc>
      </w:tr>
      <w:tr w:rsidR="006B3BE7" w:rsidRPr="008B5651" w14:paraId="7F6E6674" w14:textId="77777777" w:rsidTr="00947CFC">
        <w:trPr>
          <w:trHeight w:val="113"/>
        </w:trPr>
        <w:tc>
          <w:tcPr>
            <w:tcW w:w="1289" w:type="dxa"/>
            <w:vMerge/>
            <w:tcBorders>
              <w:top w:val="single" w:sz="8" w:space="0" w:color="auto"/>
              <w:left w:val="nil"/>
              <w:bottom w:val="nil"/>
              <w:right w:val="nil"/>
            </w:tcBorders>
            <w:vAlign w:val="center"/>
            <w:hideMark/>
          </w:tcPr>
          <w:p w14:paraId="5136A675"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89CB9A3"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6F8A619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ACF4469" w14:textId="77777777" w:rsidR="00205CBC" w:rsidRDefault="00000000">
            <w:r>
              <w:t>1.96</w:t>
            </w:r>
          </w:p>
        </w:tc>
        <w:tc>
          <w:tcPr>
            <w:tcW w:w="1076" w:type="dxa"/>
            <w:tcBorders>
              <w:top w:val="nil"/>
              <w:left w:val="nil"/>
              <w:bottom w:val="nil"/>
              <w:right w:val="nil"/>
            </w:tcBorders>
            <w:noWrap/>
            <w:vAlign w:val="center"/>
            <w:hideMark/>
          </w:tcPr>
          <w:p w14:paraId="6C804689" w14:textId="77777777" w:rsidR="00205CBC" w:rsidRDefault="00000000">
            <w:r>
              <w:t>41.11</w:t>
            </w:r>
          </w:p>
        </w:tc>
        <w:tc>
          <w:tcPr>
            <w:tcW w:w="961" w:type="dxa"/>
            <w:tcBorders>
              <w:top w:val="nil"/>
              <w:left w:val="nil"/>
              <w:bottom w:val="nil"/>
              <w:right w:val="nil"/>
            </w:tcBorders>
            <w:noWrap/>
            <w:vAlign w:val="center"/>
            <w:hideMark/>
          </w:tcPr>
          <w:p w14:paraId="101EE02C" w14:textId="77777777" w:rsidR="00205CBC" w:rsidRDefault="00000000">
            <w:r>
              <w:t>3.147</w:t>
            </w:r>
          </w:p>
        </w:tc>
        <w:tc>
          <w:tcPr>
            <w:tcW w:w="1182" w:type="dxa"/>
            <w:tcBorders>
              <w:top w:val="nil"/>
              <w:left w:val="nil"/>
              <w:bottom w:val="nil"/>
              <w:right w:val="nil"/>
            </w:tcBorders>
            <w:noWrap/>
            <w:vAlign w:val="center"/>
            <w:hideMark/>
          </w:tcPr>
          <w:p w14:paraId="0B8AA8C4" w14:textId="77777777" w:rsidR="00205CBC" w:rsidRDefault="00000000">
            <w:r>
              <w:t>p = .054</w:t>
            </w:r>
          </w:p>
        </w:tc>
        <w:tc>
          <w:tcPr>
            <w:tcW w:w="1124" w:type="dxa"/>
            <w:tcBorders>
              <w:top w:val="nil"/>
              <w:left w:val="nil"/>
              <w:bottom w:val="nil"/>
              <w:right w:val="nil"/>
            </w:tcBorders>
            <w:noWrap/>
            <w:vAlign w:val="center"/>
            <w:hideMark/>
          </w:tcPr>
          <w:p w14:paraId="61792431" w14:textId="77777777" w:rsidR="00205CBC" w:rsidRDefault="00000000">
            <w:r>
              <w:t>0.130</w:t>
            </w:r>
          </w:p>
        </w:tc>
      </w:tr>
      <w:tr w:rsidR="006B3BE7" w:rsidRPr="008B5651" w14:paraId="776B8DFB" w14:textId="77777777" w:rsidTr="00947CFC">
        <w:trPr>
          <w:trHeight w:val="113"/>
        </w:trPr>
        <w:tc>
          <w:tcPr>
            <w:tcW w:w="1289" w:type="dxa"/>
            <w:vMerge/>
            <w:tcBorders>
              <w:top w:val="single" w:sz="8" w:space="0" w:color="auto"/>
              <w:left w:val="nil"/>
              <w:bottom w:val="nil"/>
              <w:right w:val="nil"/>
            </w:tcBorders>
            <w:vAlign w:val="center"/>
            <w:hideMark/>
          </w:tcPr>
          <w:p w14:paraId="495D7D9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2A87AC1"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3479F09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510A135" w14:textId="77777777" w:rsidR="00205CBC" w:rsidRDefault="00000000">
            <w:r>
              <w:t>1.29</w:t>
            </w:r>
          </w:p>
        </w:tc>
        <w:tc>
          <w:tcPr>
            <w:tcW w:w="1076" w:type="dxa"/>
            <w:tcBorders>
              <w:top w:val="nil"/>
              <w:left w:val="nil"/>
              <w:bottom w:val="nil"/>
              <w:right w:val="nil"/>
            </w:tcBorders>
            <w:noWrap/>
            <w:vAlign w:val="center"/>
            <w:hideMark/>
          </w:tcPr>
          <w:p w14:paraId="2A0556DB" w14:textId="77777777" w:rsidR="00205CBC" w:rsidRDefault="00000000">
            <w:r>
              <w:t>27.01</w:t>
            </w:r>
          </w:p>
        </w:tc>
        <w:tc>
          <w:tcPr>
            <w:tcW w:w="961" w:type="dxa"/>
            <w:tcBorders>
              <w:top w:val="nil"/>
              <w:left w:val="nil"/>
              <w:bottom w:val="nil"/>
              <w:right w:val="nil"/>
            </w:tcBorders>
            <w:noWrap/>
            <w:vAlign w:val="center"/>
            <w:hideMark/>
          </w:tcPr>
          <w:p w14:paraId="29E1D8EA" w14:textId="77777777" w:rsidR="00205CBC" w:rsidRDefault="00000000">
            <w:r>
              <w:t>0.565</w:t>
            </w:r>
          </w:p>
        </w:tc>
        <w:tc>
          <w:tcPr>
            <w:tcW w:w="1182" w:type="dxa"/>
            <w:tcBorders>
              <w:top w:val="nil"/>
              <w:left w:val="nil"/>
              <w:bottom w:val="nil"/>
              <w:right w:val="nil"/>
            </w:tcBorders>
            <w:noWrap/>
            <w:vAlign w:val="center"/>
            <w:hideMark/>
          </w:tcPr>
          <w:p w14:paraId="584B5C2D" w14:textId="77777777" w:rsidR="00205CBC" w:rsidRDefault="00000000">
            <w:r>
              <w:t>p = .501</w:t>
            </w:r>
          </w:p>
        </w:tc>
        <w:tc>
          <w:tcPr>
            <w:tcW w:w="1124" w:type="dxa"/>
            <w:tcBorders>
              <w:top w:val="nil"/>
              <w:left w:val="nil"/>
              <w:bottom w:val="nil"/>
              <w:right w:val="nil"/>
            </w:tcBorders>
            <w:noWrap/>
            <w:vAlign w:val="center"/>
            <w:hideMark/>
          </w:tcPr>
          <w:p w14:paraId="5E1C1C03" w14:textId="77777777" w:rsidR="00205CBC" w:rsidRDefault="00000000">
            <w:r>
              <w:t>0.026</w:t>
            </w:r>
          </w:p>
        </w:tc>
      </w:tr>
      <w:tr w:rsidR="006B3BE7" w:rsidRPr="008B5651" w14:paraId="55D3DFC2" w14:textId="77777777" w:rsidTr="00947CFC">
        <w:trPr>
          <w:trHeight w:val="113"/>
        </w:trPr>
        <w:tc>
          <w:tcPr>
            <w:tcW w:w="1289" w:type="dxa"/>
            <w:tcBorders>
              <w:top w:val="nil"/>
              <w:left w:val="nil"/>
              <w:bottom w:val="nil"/>
              <w:right w:val="nil"/>
            </w:tcBorders>
            <w:noWrap/>
            <w:vAlign w:val="bottom"/>
            <w:hideMark/>
          </w:tcPr>
          <w:p w14:paraId="7432CFCA"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C5A7117"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14B1712D"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764F7B73"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623FDC24"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46ED4A89"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18515478"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03224C40" w14:textId="77777777" w:rsidR="006B3BE7" w:rsidRPr="00F075B9" w:rsidRDefault="006B3BE7" w:rsidP="00947CFC">
            <w:pPr>
              <w:spacing w:after="0" w:line="240" w:lineRule="auto"/>
              <w:jc w:val="center"/>
              <w:rPr>
                <w:rFonts w:eastAsia="Times New Roman"/>
                <w:sz w:val="18"/>
                <w:szCs w:val="18"/>
              </w:rPr>
            </w:pPr>
          </w:p>
        </w:tc>
      </w:tr>
      <w:tr w:rsidR="006B3BE7" w:rsidRPr="008B5651" w14:paraId="440584C0" w14:textId="77777777" w:rsidTr="00947CFC">
        <w:trPr>
          <w:trHeight w:val="113"/>
        </w:trPr>
        <w:tc>
          <w:tcPr>
            <w:tcW w:w="1289" w:type="dxa"/>
            <w:vMerge w:val="restart"/>
            <w:tcBorders>
              <w:top w:val="single" w:sz="8" w:space="0" w:color="auto"/>
              <w:left w:val="nil"/>
              <w:bottom w:val="nil"/>
              <w:right w:val="nil"/>
            </w:tcBorders>
            <w:noWrap/>
            <w:vAlign w:val="center"/>
            <w:hideMark/>
          </w:tcPr>
          <w:p w14:paraId="3C3BEB46"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sz w:val="22"/>
                <w:szCs w:val="18"/>
              </w:rPr>
              <w:t>esponse signal</w:t>
            </w:r>
          </w:p>
        </w:tc>
        <w:tc>
          <w:tcPr>
            <w:tcW w:w="2280" w:type="dxa"/>
            <w:tcBorders>
              <w:top w:val="single" w:sz="8" w:space="0" w:color="auto"/>
              <w:left w:val="nil"/>
              <w:bottom w:val="nil"/>
              <w:right w:val="nil"/>
            </w:tcBorders>
            <w:vAlign w:val="center"/>
            <w:hideMark/>
          </w:tcPr>
          <w:p w14:paraId="61BDA61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439962AC"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6E6B41A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23C307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0BF6285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3.039</w:t>
            </w:r>
          </w:p>
        </w:tc>
        <w:tc>
          <w:tcPr>
            <w:tcW w:w="1182" w:type="dxa"/>
            <w:tcBorders>
              <w:top w:val="single" w:sz="8" w:space="0" w:color="auto"/>
              <w:left w:val="nil"/>
              <w:bottom w:val="nil"/>
              <w:right w:val="nil"/>
            </w:tcBorders>
            <w:noWrap/>
            <w:vAlign w:val="center"/>
            <w:hideMark/>
          </w:tcPr>
          <w:p w14:paraId="7D75EB17"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.096</w:t>
            </w:r>
          </w:p>
        </w:tc>
        <w:tc>
          <w:tcPr>
            <w:tcW w:w="1124" w:type="dxa"/>
            <w:tcBorders>
              <w:top w:val="single" w:sz="8" w:space="0" w:color="auto"/>
              <w:left w:val="nil"/>
              <w:bottom w:val="nil"/>
              <w:right w:val="nil"/>
            </w:tcBorders>
            <w:noWrap/>
            <w:vAlign w:val="center"/>
            <w:hideMark/>
          </w:tcPr>
          <w:p w14:paraId="2FC8C39F"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63611CD2" w14:textId="77777777" w:rsidTr="00947CFC">
        <w:trPr>
          <w:trHeight w:val="113"/>
        </w:trPr>
        <w:tc>
          <w:tcPr>
            <w:tcW w:w="1289" w:type="dxa"/>
            <w:vMerge/>
            <w:tcBorders>
              <w:top w:val="single" w:sz="8" w:space="0" w:color="auto"/>
              <w:left w:val="nil"/>
              <w:bottom w:val="nil"/>
              <w:right w:val="nil"/>
            </w:tcBorders>
            <w:vAlign w:val="center"/>
            <w:hideMark/>
          </w:tcPr>
          <w:p w14:paraId="22C2995C"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E822F9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0367C30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EB1352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1.90</w:t>
            </w:r>
          </w:p>
        </w:tc>
        <w:tc>
          <w:tcPr>
            <w:tcW w:w="1076" w:type="dxa"/>
            <w:tcBorders>
              <w:top w:val="nil"/>
              <w:left w:val="nil"/>
              <w:bottom w:val="nil"/>
              <w:right w:val="nil"/>
            </w:tcBorders>
            <w:noWrap/>
            <w:vAlign w:val="center"/>
            <w:hideMark/>
          </w:tcPr>
          <w:p w14:paraId="2F51556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39.94</w:t>
            </w:r>
          </w:p>
        </w:tc>
        <w:tc>
          <w:tcPr>
            <w:tcW w:w="961" w:type="dxa"/>
            <w:tcBorders>
              <w:top w:val="nil"/>
              <w:left w:val="nil"/>
              <w:bottom w:val="nil"/>
              <w:right w:val="nil"/>
            </w:tcBorders>
            <w:noWrap/>
            <w:vAlign w:val="center"/>
            <w:hideMark/>
          </w:tcPr>
          <w:p w14:paraId="5E459B9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0.160</w:t>
            </w:r>
          </w:p>
        </w:tc>
        <w:tc>
          <w:tcPr>
            <w:tcW w:w="1182" w:type="dxa"/>
            <w:tcBorders>
              <w:top w:val="nil"/>
              <w:left w:val="nil"/>
              <w:bottom w:val="nil"/>
              <w:right w:val="nil"/>
            </w:tcBorders>
            <w:noWrap/>
            <w:vAlign w:val="center"/>
            <w:hideMark/>
          </w:tcPr>
          <w:p w14:paraId="2F6EEDE3"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.843</w:t>
            </w:r>
          </w:p>
        </w:tc>
        <w:tc>
          <w:tcPr>
            <w:tcW w:w="1124" w:type="dxa"/>
            <w:tcBorders>
              <w:top w:val="nil"/>
              <w:left w:val="nil"/>
              <w:bottom w:val="nil"/>
              <w:right w:val="nil"/>
            </w:tcBorders>
            <w:noWrap/>
            <w:vAlign w:val="bottom"/>
            <w:hideMark/>
          </w:tcPr>
          <w:p w14:paraId="4DA8E4DF"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6A83C52" w14:textId="77777777" w:rsidTr="00947CFC">
        <w:trPr>
          <w:trHeight w:val="113"/>
        </w:trPr>
        <w:tc>
          <w:tcPr>
            <w:tcW w:w="1289" w:type="dxa"/>
            <w:vMerge/>
            <w:tcBorders>
              <w:top w:val="single" w:sz="8" w:space="0" w:color="auto"/>
              <w:left w:val="nil"/>
              <w:bottom w:val="nil"/>
              <w:right w:val="nil"/>
            </w:tcBorders>
            <w:vAlign w:val="center"/>
            <w:hideMark/>
          </w:tcPr>
          <w:p w14:paraId="1F9B8E0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DA3EE3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04F7A29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B25E53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7D7E8D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610D5DB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58D14A36"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.810</w:t>
            </w:r>
          </w:p>
        </w:tc>
        <w:tc>
          <w:tcPr>
            <w:tcW w:w="1124" w:type="dxa"/>
            <w:tcBorders>
              <w:top w:val="nil"/>
              <w:left w:val="nil"/>
              <w:bottom w:val="nil"/>
              <w:right w:val="nil"/>
            </w:tcBorders>
            <w:noWrap/>
            <w:vAlign w:val="center"/>
            <w:hideMark/>
          </w:tcPr>
          <w:p w14:paraId="7018E8CF"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61BCB77" w14:textId="77777777" w:rsidTr="00947CFC">
        <w:trPr>
          <w:trHeight w:val="113"/>
        </w:trPr>
        <w:tc>
          <w:tcPr>
            <w:tcW w:w="1289" w:type="dxa"/>
            <w:vMerge/>
            <w:tcBorders>
              <w:top w:val="single" w:sz="8" w:space="0" w:color="auto"/>
              <w:left w:val="nil"/>
              <w:bottom w:val="nil"/>
              <w:right w:val="nil"/>
            </w:tcBorders>
            <w:vAlign w:val="center"/>
            <w:hideMark/>
          </w:tcPr>
          <w:p w14:paraId="7F1ED7A6"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D43EE8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1223324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B4C70D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2.00</w:t>
            </w:r>
          </w:p>
        </w:tc>
        <w:tc>
          <w:tcPr>
            <w:tcW w:w="1076" w:type="dxa"/>
            <w:tcBorders>
              <w:top w:val="nil"/>
              <w:left w:val="nil"/>
              <w:bottom w:val="nil"/>
              <w:right w:val="nil"/>
            </w:tcBorders>
            <w:noWrap/>
            <w:vAlign w:val="center"/>
            <w:hideMark/>
          </w:tcPr>
          <w:p w14:paraId="6E9282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41.96</w:t>
            </w:r>
          </w:p>
        </w:tc>
        <w:tc>
          <w:tcPr>
            <w:tcW w:w="961" w:type="dxa"/>
            <w:tcBorders>
              <w:top w:val="nil"/>
              <w:left w:val="nil"/>
              <w:bottom w:val="nil"/>
              <w:right w:val="nil"/>
            </w:tcBorders>
            <w:noWrap/>
            <w:vAlign w:val="center"/>
            <w:hideMark/>
          </w:tcPr>
          <w:p w14:paraId="0594671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1.216</w:t>
            </w:r>
          </w:p>
        </w:tc>
        <w:tc>
          <w:tcPr>
            <w:tcW w:w="1182" w:type="dxa"/>
            <w:tcBorders>
              <w:top w:val="nil"/>
              <w:left w:val="nil"/>
              <w:bottom w:val="nil"/>
              <w:right w:val="nil"/>
            </w:tcBorders>
            <w:noWrap/>
            <w:vAlign w:val="center"/>
            <w:hideMark/>
          </w:tcPr>
          <w:p w14:paraId="2942ED7D"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.307</w:t>
            </w:r>
          </w:p>
        </w:tc>
        <w:tc>
          <w:tcPr>
            <w:tcW w:w="1124" w:type="dxa"/>
            <w:tcBorders>
              <w:top w:val="nil"/>
              <w:left w:val="nil"/>
              <w:bottom w:val="nil"/>
              <w:right w:val="nil"/>
            </w:tcBorders>
            <w:noWrap/>
            <w:vAlign w:val="bottom"/>
            <w:hideMark/>
          </w:tcPr>
          <w:p w14:paraId="079DA6FC"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2883361" w14:textId="77777777" w:rsidTr="00947CFC">
        <w:trPr>
          <w:trHeight w:val="113"/>
        </w:trPr>
        <w:tc>
          <w:tcPr>
            <w:tcW w:w="1289" w:type="dxa"/>
            <w:vMerge/>
            <w:tcBorders>
              <w:top w:val="single" w:sz="8" w:space="0" w:color="auto"/>
              <w:left w:val="nil"/>
              <w:bottom w:val="nil"/>
              <w:right w:val="nil"/>
            </w:tcBorders>
            <w:vAlign w:val="center"/>
            <w:hideMark/>
          </w:tcPr>
          <w:p w14:paraId="33597DB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B393F2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2E39B628"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0DEC5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C303D8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11B4B31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1.509</w:t>
            </w:r>
          </w:p>
        </w:tc>
        <w:tc>
          <w:tcPr>
            <w:tcW w:w="1182" w:type="dxa"/>
            <w:tcBorders>
              <w:top w:val="nil"/>
              <w:left w:val="nil"/>
              <w:bottom w:val="nil"/>
              <w:right w:val="nil"/>
            </w:tcBorders>
            <w:noWrap/>
            <w:vAlign w:val="center"/>
            <w:hideMark/>
          </w:tcPr>
          <w:p w14:paraId="5C48485C"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.233</w:t>
            </w:r>
          </w:p>
        </w:tc>
        <w:tc>
          <w:tcPr>
            <w:tcW w:w="1124" w:type="dxa"/>
            <w:tcBorders>
              <w:top w:val="nil"/>
              <w:left w:val="nil"/>
              <w:bottom w:val="nil"/>
              <w:right w:val="nil"/>
            </w:tcBorders>
            <w:noWrap/>
            <w:vAlign w:val="center"/>
            <w:hideMark/>
          </w:tcPr>
          <w:p w14:paraId="5C0CCFAE"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5B8585D5" w14:textId="77777777" w:rsidTr="00947CFC">
        <w:trPr>
          <w:trHeight w:val="113"/>
        </w:trPr>
        <w:tc>
          <w:tcPr>
            <w:tcW w:w="1289" w:type="dxa"/>
            <w:vMerge/>
            <w:tcBorders>
              <w:top w:val="single" w:sz="8" w:space="0" w:color="auto"/>
              <w:left w:val="nil"/>
              <w:bottom w:val="nil"/>
              <w:right w:val="nil"/>
            </w:tcBorders>
            <w:vAlign w:val="center"/>
            <w:hideMark/>
          </w:tcPr>
          <w:p w14:paraId="6E280307"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00907E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457FD83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497A16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1.99</w:t>
            </w:r>
          </w:p>
        </w:tc>
        <w:tc>
          <w:tcPr>
            <w:tcW w:w="1076" w:type="dxa"/>
            <w:tcBorders>
              <w:top w:val="nil"/>
              <w:left w:val="nil"/>
              <w:bottom w:val="nil"/>
              <w:right w:val="nil"/>
            </w:tcBorders>
            <w:noWrap/>
            <w:vAlign w:val="center"/>
            <w:hideMark/>
          </w:tcPr>
          <w:p w14:paraId="581704C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41.73</w:t>
            </w:r>
          </w:p>
        </w:tc>
        <w:tc>
          <w:tcPr>
            <w:tcW w:w="961" w:type="dxa"/>
            <w:tcBorders>
              <w:top w:val="nil"/>
              <w:left w:val="nil"/>
              <w:bottom w:val="nil"/>
              <w:right w:val="nil"/>
            </w:tcBorders>
            <w:noWrap/>
            <w:vAlign w:val="center"/>
            <w:hideMark/>
          </w:tcPr>
          <w:p w14:paraId="061FB19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0.024</w:t>
            </w:r>
          </w:p>
        </w:tc>
        <w:tc>
          <w:tcPr>
            <w:tcW w:w="1182" w:type="dxa"/>
            <w:tcBorders>
              <w:top w:val="nil"/>
              <w:left w:val="nil"/>
              <w:bottom w:val="nil"/>
              <w:right w:val="nil"/>
            </w:tcBorders>
            <w:noWrap/>
            <w:vAlign w:val="center"/>
            <w:hideMark/>
          </w:tcPr>
          <w:p w14:paraId="08EBEF01"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.976</w:t>
            </w:r>
          </w:p>
        </w:tc>
        <w:tc>
          <w:tcPr>
            <w:tcW w:w="1124" w:type="dxa"/>
            <w:tcBorders>
              <w:top w:val="nil"/>
              <w:left w:val="nil"/>
              <w:bottom w:val="nil"/>
              <w:right w:val="nil"/>
            </w:tcBorders>
            <w:noWrap/>
            <w:vAlign w:val="bottom"/>
            <w:hideMark/>
          </w:tcPr>
          <w:p w14:paraId="5E3CBF58"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EC9248A" w14:textId="77777777" w:rsidTr="00947CFC">
        <w:trPr>
          <w:trHeight w:val="113"/>
        </w:trPr>
        <w:tc>
          <w:tcPr>
            <w:tcW w:w="1289" w:type="dxa"/>
            <w:vMerge/>
            <w:tcBorders>
              <w:top w:val="single" w:sz="8" w:space="0" w:color="auto"/>
              <w:left w:val="nil"/>
              <w:bottom w:val="nil"/>
              <w:right w:val="nil"/>
            </w:tcBorders>
            <w:vAlign w:val="center"/>
            <w:hideMark/>
          </w:tcPr>
          <w:p w14:paraId="2C6C27AE"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C3AF5E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nil"/>
              <w:right w:val="nil"/>
            </w:tcBorders>
            <w:noWrap/>
            <w:vAlign w:val="center"/>
            <w:hideMark/>
          </w:tcPr>
          <w:p w14:paraId="0CF7B75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64269F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1.66</w:t>
            </w:r>
          </w:p>
        </w:tc>
        <w:tc>
          <w:tcPr>
            <w:tcW w:w="1076" w:type="dxa"/>
            <w:tcBorders>
              <w:top w:val="nil"/>
              <w:left w:val="nil"/>
              <w:bottom w:val="nil"/>
              <w:right w:val="nil"/>
            </w:tcBorders>
            <w:noWrap/>
            <w:vAlign w:val="center"/>
            <w:hideMark/>
          </w:tcPr>
          <w:p w14:paraId="0CE6FF6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34.93</w:t>
            </w:r>
          </w:p>
        </w:tc>
        <w:tc>
          <w:tcPr>
            <w:tcW w:w="961" w:type="dxa"/>
            <w:tcBorders>
              <w:top w:val="nil"/>
              <w:left w:val="nil"/>
              <w:bottom w:val="nil"/>
              <w:right w:val="nil"/>
            </w:tcBorders>
            <w:noWrap/>
            <w:vAlign w:val="center"/>
            <w:hideMark/>
          </w:tcPr>
          <w:p w14:paraId="14E08C0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1.458</w:t>
            </w:r>
          </w:p>
        </w:tc>
        <w:tc>
          <w:tcPr>
            <w:tcW w:w="1182" w:type="dxa"/>
            <w:tcBorders>
              <w:top w:val="nil"/>
              <w:left w:val="nil"/>
              <w:bottom w:val="nil"/>
              <w:right w:val="nil"/>
            </w:tcBorders>
            <w:noWrap/>
            <w:vAlign w:val="center"/>
            <w:hideMark/>
          </w:tcPr>
          <w:p w14:paraId="056997B5"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.246</w:t>
            </w:r>
          </w:p>
        </w:tc>
        <w:tc>
          <w:tcPr>
            <w:tcW w:w="1124" w:type="dxa"/>
            <w:tcBorders>
              <w:top w:val="nil"/>
              <w:left w:val="nil"/>
              <w:bottom w:val="nil"/>
              <w:right w:val="nil"/>
            </w:tcBorders>
            <w:noWrap/>
            <w:vAlign w:val="center"/>
            <w:hideMark/>
          </w:tcPr>
          <w:p w14:paraId="3EEDAB1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A1D27C6" w14:textId="77777777" w:rsidTr="00947CFC">
        <w:trPr>
          <w:trHeight w:val="113"/>
        </w:trPr>
        <w:tc>
          <w:tcPr>
            <w:tcW w:w="1289" w:type="dxa"/>
            <w:tcBorders>
              <w:top w:val="nil"/>
              <w:left w:val="nil"/>
              <w:bottom w:val="nil"/>
              <w:right w:val="nil"/>
            </w:tcBorders>
            <w:noWrap/>
            <w:vAlign w:val="bottom"/>
            <w:hideMark/>
          </w:tcPr>
          <w:p w14:paraId="458B88CA"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150B923D"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77F5F45D"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31AC9B8E"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45D87585"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C214E7A"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4CC6C05"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7158E384" w14:textId="77777777" w:rsidR="006B3BE7" w:rsidRPr="00F075B9" w:rsidRDefault="006B3BE7" w:rsidP="00947CFC">
            <w:pPr>
              <w:spacing w:after="0" w:line="240" w:lineRule="auto"/>
              <w:jc w:val="center"/>
              <w:rPr>
                <w:rFonts w:eastAsia="Times New Roman"/>
                <w:sz w:val="18"/>
                <w:szCs w:val="18"/>
              </w:rPr>
            </w:pPr>
          </w:p>
        </w:tc>
      </w:tr>
      <w:tr w:rsidR="006B3BE7" w:rsidRPr="008B5651" w14:paraId="58294999"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4B8BDBA1"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sz w:val="22"/>
                <w:szCs w:val="18"/>
              </w:rPr>
              <w:t>Response</w:t>
            </w:r>
          </w:p>
        </w:tc>
        <w:tc>
          <w:tcPr>
            <w:tcW w:w="2280" w:type="dxa"/>
            <w:tcBorders>
              <w:top w:val="single" w:sz="8" w:space="0" w:color="auto"/>
              <w:left w:val="nil"/>
              <w:bottom w:val="nil"/>
              <w:right w:val="nil"/>
            </w:tcBorders>
            <w:vAlign w:val="center"/>
            <w:hideMark/>
          </w:tcPr>
          <w:p w14:paraId="4F757D5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695641E1"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2D2A355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474C69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59839D3C"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2933F6BE"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98D98BC"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7EAAEB6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2F9629A"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7448769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1AFBB94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600D5C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1.95</w:t>
            </w:r>
          </w:p>
        </w:tc>
        <w:tc>
          <w:tcPr>
            <w:tcW w:w="1076" w:type="dxa"/>
            <w:tcBorders>
              <w:top w:val="nil"/>
              <w:left w:val="nil"/>
              <w:bottom w:val="nil"/>
              <w:right w:val="nil"/>
            </w:tcBorders>
            <w:noWrap/>
            <w:vAlign w:val="center"/>
            <w:hideMark/>
          </w:tcPr>
          <w:p w14:paraId="29170BF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40.91</w:t>
            </w:r>
          </w:p>
        </w:tc>
        <w:tc>
          <w:tcPr>
            <w:tcW w:w="961" w:type="dxa"/>
            <w:tcBorders>
              <w:top w:val="nil"/>
              <w:left w:val="nil"/>
              <w:bottom w:val="nil"/>
              <w:right w:val="nil"/>
            </w:tcBorders>
            <w:noWrap/>
            <w:vAlign w:val="center"/>
            <w:hideMark/>
          </w:tcPr>
          <w:p w14:paraId="7432CB2F"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5BA9BCB7"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.692</w:t>
            </w:r>
          </w:p>
        </w:tc>
        <w:tc>
          <w:tcPr>
            <w:tcW w:w="1124" w:type="dxa"/>
            <w:tcBorders>
              <w:top w:val="nil"/>
              <w:left w:val="nil"/>
              <w:bottom w:val="nil"/>
              <w:right w:val="nil"/>
            </w:tcBorders>
            <w:noWrap/>
            <w:vAlign w:val="bottom"/>
            <w:hideMark/>
          </w:tcPr>
          <w:p w14:paraId="19B98EE0"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493E9344"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7E15F248"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2AFCBDF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3D0FEE9E"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741E6F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2647253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126C913F" w14:textId="77777777" w:rsidR="006B3BE7" w:rsidRPr="000A420D" w:rsidRDefault="006B3BE7" w:rsidP="00947CFC">
            <w:pPr>
              <w:spacing w:after="0" w:line="240" w:lineRule="auto"/>
              <w:jc w:val="center"/>
              <w:rPr>
                <w:rFonts w:eastAsia="Times New Roman"/>
                <w:sz w:val="18"/>
                <w:szCs w:val="18"/>
              </w:rPr>
            </w:pPr>
            <w:r w:rsidRPr="000A420D">
              <w:rPr>
                <w:rFonts w:eastAsia="Times New Roman"/>
                <w:color w:val="1F4E9E"/>
                <w:sz w:val="18"/>
                <w:szCs w:val="18"/>
              </w:rPr>
              <w:t>11.658</w:t>
            </w:r>
          </w:p>
        </w:tc>
        <w:tc>
          <w:tcPr>
            <w:tcW w:w="1182" w:type="dxa"/>
            <w:tcBorders>
              <w:top w:val="nil"/>
              <w:left w:val="nil"/>
              <w:bottom w:val="nil"/>
              <w:right w:val="nil"/>
            </w:tcBorders>
            <w:noWrap/>
            <w:vAlign w:val="center"/>
            <w:hideMark/>
          </w:tcPr>
          <w:p w14:paraId="6A0CC991"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079DBBE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2591005B"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0A46555"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3DD0284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75A4E5D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21205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1.65</w:t>
            </w:r>
          </w:p>
        </w:tc>
        <w:tc>
          <w:tcPr>
            <w:tcW w:w="1076" w:type="dxa"/>
            <w:tcBorders>
              <w:top w:val="nil"/>
              <w:left w:val="nil"/>
              <w:bottom w:val="nil"/>
              <w:right w:val="nil"/>
            </w:tcBorders>
            <w:noWrap/>
            <w:vAlign w:val="center"/>
            <w:hideMark/>
          </w:tcPr>
          <w:p w14:paraId="1872993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34.56</w:t>
            </w:r>
          </w:p>
        </w:tc>
        <w:tc>
          <w:tcPr>
            <w:tcW w:w="961" w:type="dxa"/>
            <w:tcBorders>
              <w:top w:val="nil"/>
              <w:left w:val="nil"/>
              <w:bottom w:val="nil"/>
              <w:right w:val="nil"/>
            </w:tcBorders>
            <w:noWrap/>
            <w:vAlign w:val="center"/>
            <w:hideMark/>
          </w:tcPr>
          <w:p w14:paraId="7F6DD635"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3BFA4AB"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.811</w:t>
            </w:r>
          </w:p>
        </w:tc>
        <w:tc>
          <w:tcPr>
            <w:tcW w:w="1124" w:type="dxa"/>
            <w:tcBorders>
              <w:top w:val="nil"/>
              <w:left w:val="nil"/>
              <w:bottom w:val="nil"/>
              <w:right w:val="nil"/>
            </w:tcBorders>
            <w:noWrap/>
            <w:vAlign w:val="bottom"/>
            <w:hideMark/>
          </w:tcPr>
          <w:p w14:paraId="5A1CFFDF"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412C0974"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6C75D94"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695DCB4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4E4C852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89D675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7992283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71E3F0A" w14:textId="77777777"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5E655A24"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71400C7D"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63E41E7B"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1736C26"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5408D2C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718C2357"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834C02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1.98</w:t>
            </w:r>
          </w:p>
        </w:tc>
        <w:tc>
          <w:tcPr>
            <w:tcW w:w="1076" w:type="dxa"/>
            <w:tcBorders>
              <w:top w:val="nil"/>
              <w:left w:val="nil"/>
              <w:bottom w:val="nil"/>
              <w:right w:val="nil"/>
            </w:tcBorders>
            <w:noWrap/>
            <w:vAlign w:val="center"/>
            <w:hideMark/>
          </w:tcPr>
          <w:p w14:paraId="0ABBB80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41.51</w:t>
            </w:r>
          </w:p>
        </w:tc>
        <w:tc>
          <w:tcPr>
            <w:tcW w:w="961" w:type="dxa"/>
            <w:tcBorders>
              <w:top w:val="nil"/>
              <w:left w:val="nil"/>
              <w:bottom w:val="nil"/>
              <w:right w:val="nil"/>
            </w:tcBorders>
            <w:noWrap/>
            <w:vAlign w:val="center"/>
            <w:hideMark/>
          </w:tcPr>
          <w:p w14:paraId="5E900962"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56C4E5D1"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.776</w:t>
            </w:r>
          </w:p>
        </w:tc>
        <w:tc>
          <w:tcPr>
            <w:tcW w:w="1124" w:type="dxa"/>
            <w:tcBorders>
              <w:top w:val="nil"/>
              <w:left w:val="nil"/>
              <w:bottom w:val="nil"/>
              <w:right w:val="nil"/>
            </w:tcBorders>
            <w:noWrap/>
            <w:vAlign w:val="bottom"/>
            <w:hideMark/>
          </w:tcPr>
          <w:p w14:paraId="5AB16E5F"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1FBBD636"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1724B12"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58B6CB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single" w:sz="12" w:space="0" w:color="auto"/>
              <w:right w:val="nil"/>
            </w:tcBorders>
            <w:noWrap/>
            <w:vAlign w:val="center"/>
            <w:hideMark/>
          </w:tcPr>
          <w:p w14:paraId="77999A6D"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5AC63178"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1.72</w:t>
            </w:r>
          </w:p>
        </w:tc>
        <w:tc>
          <w:tcPr>
            <w:tcW w:w="1076" w:type="dxa"/>
            <w:tcBorders>
              <w:top w:val="nil"/>
              <w:left w:val="nil"/>
              <w:bottom w:val="single" w:sz="12" w:space="0" w:color="auto"/>
              <w:right w:val="nil"/>
            </w:tcBorders>
            <w:noWrap/>
            <w:vAlign w:val="center"/>
            <w:hideMark/>
          </w:tcPr>
          <w:p w14:paraId="0064BBC3"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36.21</w:t>
            </w:r>
          </w:p>
        </w:tc>
        <w:tc>
          <w:tcPr>
            <w:tcW w:w="961" w:type="dxa"/>
            <w:tcBorders>
              <w:top w:val="nil"/>
              <w:left w:val="nil"/>
              <w:bottom w:val="single" w:sz="12" w:space="0" w:color="auto"/>
              <w:right w:val="nil"/>
            </w:tcBorders>
            <w:noWrap/>
            <w:vAlign w:val="center"/>
            <w:hideMark/>
          </w:tcPr>
          <w:p w14:paraId="3383E24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658CD812"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.475</w:t>
            </w:r>
          </w:p>
        </w:tc>
        <w:tc>
          <w:tcPr>
            <w:tcW w:w="1124" w:type="dxa"/>
            <w:tcBorders>
              <w:top w:val="nil"/>
              <w:left w:val="nil"/>
              <w:bottom w:val="single" w:sz="8" w:space="0" w:color="auto"/>
              <w:right w:val="nil"/>
            </w:tcBorders>
            <w:noWrap/>
            <w:vAlign w:val="center"/>
            <w:hideMark/>
          </w:tcPr>
          <w:p w14:paraId="674A12B0"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04159B28" w14:textId="77777777"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One stimulus-period effect (coherence × time, linear) is significant on the omnibus test but not as a full-window linear trend, because the effect is confined to the first half of the stimulus period (Results; Table S4). One other (duration × time, linear) is significant as a linear trend but was not significant on the omnibus test. The RS and Response periods are unaffected (two time bins each, so the omnibus and trend tests coincide exactly, and no quadratic contrast exists).</w:t>
      </w:r>
    </w:p>
    <w:p w14:paraId="4BEDF039" w14:textId="77777777" w:rsidR="00DE7105" w:rsidRDefault="00000000">
      <w:r>
        <w:rPr>
          <w:b/>
        </w:rPr>
        <w:lastRenderedPageBreak/>
        <w:t>Table S4. Mu–beta lateralization, stimulus period: split-half trend analysis.</w:t>
      </w:r>
    </w:p>
    <w:p w14:paraId="0225985F" w14:textId="77777777" w:rsidR="00205CBC" w:rsidRDefault="00000000">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w="0" w:type="auto"/>
        <w:tblLook w:val="04A0" w:firstRow="1" w:lastRow="0" w:firstColumn="1" w:lastColumn="0" w:noHBand="0" w:noVBand="1"/>
      </w:tblPr>
      <w:tblGrid>
        <w:gridCol w:w="2778"/>
        <w:gridCol w:w="946"/>
        <w:gridCol w:w="938"/>
        <w:gridCol w:w="1189"/>
        <w:gridCol w:w="1189"/>
        <w:gridCol w:w="1016"/>
        <w:gridCol w:w="1016"/>
      </w:tblGrid>
      <w:tr w:rsidR="00205CBC" w14:paraId="7A6D1187" w14:textId="77777777">
        <w:tc>
          <w:tcPr>
            <w:tcW w:w="3149" w:type="dxa"/>
          </w:tcPr>
          <w:p w14:paraId="775329EF" w14:textId="77777777" w:rsidR="00205CBC" w:rsidRDefault="00000000">
            <w:r>
              <w:rPr>
                <w:color w:val="1F4E9E"/>
              </w:rPr>
              <w:t>Window</w:t>
            </w:r>
          </w:p>
        </w:tc>
        <w:tc>
          <w:tcPr>
            <w:tcW w:w="987" w:type="dxa"/>
          </w:tcPr>
          <w:p w14:paraId="4C7CA339" w14:textId="77777777" w:rsidR="00205CBC" w:rsidRDefault="00000000">
            <w:r>
              <w:rPr>
                <w:color w:val="1F4E9E"/>
              </w:rPr>
              <w:t>trend F</w:t>
            </w:r>
          </w:p>
        </w:tc>
        <w:tc>
          <w:tcPr>
            <w:tcW w:w="987" w:type="dxa"/>
          </w:tcPr>
          <w:p w14:paraId="648E939A" w14:textId="77777777" w:rsidR="00205CBC" w:rsidRDefault="00000000">
            <w:r>
              <w:rPr>
                <w:color w:val="1F4E9E"/>
              </w:rPr>
              <w:t>trend p</w:t>
            </w:r>
          </w:p>
        </w:tc>
        <w:tc>
          <w:tcPr>
            <w:tcW w:w="987" w:type="dxa"/>
          </w:tcPr>
          <w:p w14:paraId="4CC1693D" w14:textId="77777777" w:rsidR="00205CBC" w:rsidRDefault="00000000">
            <w:r>
              <w:rPr>
                <w:color w:val="1F4E9E"/>
              </w:rPr>
              <w:t>trend × coherence F</w:t>
            </w:r>
          </w:p>
        </w:tc>
        <w:tc>
          <w:tcPr>
            <w:tcW w:w="987" w:type="dxa"/>
          </w:tcPr>
          <w:p w14:paraId="32EF3163" w14:textId="77777777" w:rsidR="00205CBC" w:rsidRDefault="00000000">
            <w:r>
              <w:rPr>
                <w:color w:val="1F4E9E"/>
              </w:rPr>
              <w:t>trend × coherence p</w:t>
            </w:r>
          </w:p>
        </w:tc>
        <w:tc>
          <w:tcPr>
            <w:tcW w:w="987" w:type="dxa"/>
          </w:tcPr>
          <w:p w14:paraId="1D466FD8" w14:textId="77777777" w:rsidR="00205CBC" w:rsidRDefault="00000000">
            <w:r>
              <w:rPr>
                <w:color w:val="1F4E9E"/>
              </w:rPr>
              <w:t>trend × duration F</w:t>
            </w:r>
          </w:p>
        </w:tc>
        <w:tc>
          <w:tcPr>
            <w:tcW w:w="987" w:type="dxa"/>
          </w:tcPr>
          <w:p w14:paraId="323D72E2" w14:textId="77777777" w:rsidR="00205CBC" w:rsidRDefault="00000000">
            <w:r>
              <w:rPr>
                <w:color w:val="1F4E9E"/>
              </w:rPr>
              <w:t>trend × duration p</w:t>
            </w:r>
          </w:p>
        </w:tc>
      </w:tr>
      <w:tr w:rsidR="00205CBC" w14:paraId="2401EFA0" w14:textId="77777777">
        <w:tc>
          <w:tcPr>
            <w:tcW w:w="3149" w:type="dxa"/>
          </w:tcPr>
          <w:p w14:paraId="4546688C" w14:textId="77777777" w:rsidR="00205CBC" w:rsidRDefault="00000000">
            <w:r>
              <w:rPr>
                <w:color w:val="1F4E9E"/>
              </w:rPr>
              <w:t>first half (0–1 s)</w:t>
            </w:r>
          </w:p>
        </w:tc>
        <w:tc>
          <w:tcPr>
            <w:tcW w:w="987" w:type="dxa"/>
          </w:tcPr>
          <w:p w14:paraId="39258A1E" w14:textId="77777777" w:rsidR="00205CBC" w:rsidRDefault="00000000">
            <w:r>
              <w:rPr>
                <w:color w:val="1F4E9E"/>
              </w:rPr>
              <w:t>11.19</w:t>
            </w:r>
          </w:p>
        </w:tc>
        <w:tc>
          <w:tcPr>
            <w:tcW w:w="987" w:type="dxa"/>
          </w:tcPr>
          <w:p w14:paraId="703070C5" w14:textId="77777777" w:rsidR="00205CBC" w:rsidRDefault="00000000">
            <w:r>
              <w:rPr>
                <w:color w:val="1F4E9E"/>
              </w:rPr>
              <w:t>.003</w:t>
            </w:r>
          </w:p>
        </w:tc>
        <w:tc>
          <w:tcPr>
            <w:tcW w:w="987" w:type="dxa"/>
          </w:tcPr>
          <w:p w14:paraId="0D632789" w14:textId="77777777" w:rsidR="00205CBC" w:rsidRDefault="00000000">
            <w:r>
              <w:rPr>
                <w:color w:val="1F4E9E"/>
              </w:rPr>
              <w:t>5.76</w:t>
            </w:r>
          </w:p>
        </w:tc>
        <w:tc>
          <w:tcPr>
            <w:tcW w:w="987" w:type="dxa"/>
          </w:tcPr>
          <w:p w14:paraId="2FF070E3" w14:textId="77777777" w:rsidR="00205CBC" w:rsidRDefault="00000000">
            <w:r>
              <w:rPr>
                <w:color w:val="1F4E9E"/>
              </w:rPr>
              <w:t>.018</w:t>
            </w:r>
          </w:p>
        </w:tc>
        <w:tc>
          <w:tcPr>
            <w:tcW w:w="987" w:type="dxa"/>
          </w:tcPr>
          <w:p w14:paraId="36277E32" w14:textId="77777777" w:rsidR="00205CBC" w:rsidRDefault="00000000">
            <w:r>
              <w:rPr>
                <w:color w:val="1F4E9E"/>
              </w:rPr>
              <w:t>5.67</w:t>
            </w:r>
          </w:p>
        </w:tc>
        <w:tc>
          <w:tcPr>
            <w:tcW w:w="987" w:type="dxa"/>
          </w:tcPr>
          <w:p w14:paraId="242113D1" w14:textId="77777777" w:rsidR="00205CBC" w:rsidRDefault="00000000">
            <w:r>
              <w:rPr>
                <w:color w:val="1F4E9E"/>
              </w:rPr>
              <w:t>.027</w:t>
            </w:r>
          </w:p>
        </w:tc>
      </w:tr>
      <w:tr w:rsidR="00205CBC" w14:paraId="79C1C9E0" w14:textId="77777777">
        <w:tc>
          <w:tcPr>
            <w:tcW w:w="3149" w:type="dxa"/>
          </w:tcPr>
          <w:p w14:paraId="79529787" w14:textId="77777777" w:rsidR="00205CBC" w:rsidRDefault="00000000">
            <w:r>
              <w:rPr>
                <w:color w:val="1F4E9E"/>
              </w:rPr>
              <w:t>second half (1–2 s)</w:t>
            </w:r>
          </w:p>
        </w:tc>
        <w:tc>
          <w:tcPr>
            <w:tcW w:w="987" w:type="dxa"/>
          </w:tcPr>
          <w:p w14:paraId="708BFE0A" w14:textId="77777777" w:rsidR="00205CBC" w:rsidRDefault="00000000">
            <w:r>
              <w:rPr>
                <w:color w:val="1F4E9E"/>
              </w:rPr>
              <w:t>2.22</w:t>
            </w:r>
          </w:p>
        </w:tc>
        <w:tc>
          <w:tcPr>
            <w:tcW w:w="987" w:type="dxa"/>
          </w:tcPr>
          <w:p w14:paraId="459DCA55" w14:textId="77777777" w:rsidR="00205CBC" w:rsidRDefault="00000000">
            <w:r>
              <w:rPr>
                <w:color w:val="1F4E9E"/>
              </w:rPr>
              <w:t>.151</w:t>
            </w:r>
          </w:p>
        </w:tc>
        <w:tc>
          <w:tcPr>
            <w:tcW w:w="987" w:type="dxa"/>
          </w:tcPr>
          <w:p w14:paraId="5167ECBB" w14:textId="77777777" w:rsidR="00205CBC" w:rsidRDefault="00000000">
            <w:r>
              <w:rPr>
                <w:color w:val="1F4E9E"/>
              </w:rPr>
              <w:t>0.37</w:t>
            </w:r>
          </w:p>
        </w:tc>
        <w:tc>
          <w:tcPr>
            <w:tcW w:w="987" w:type="dxa"/>
          </w:tcPr>
          <w:p w14:paraId="1AF19136" w14:textId="77777777" w:rsidR="00205CBC" w:rsidRDefault="00000000">
            <w:r>
              <w:rPr>
                <w:color w:val="1F4E9E"/>
              </w:rPr>
              <w:t>.658</w:t>
            </w:r>
          </w:p>
        </w:tc>
        <w:tc>
          <w:tcPr>
            <w:tcW w:w="987" w:type="dxa"/>
          </w:tcPr>
          <w:p w14:paraId="405C7ED6" w14:textId="77777777" w:rsidR="00205CBC" w:rsidRDefault="00000000">
            <w:r>
              <w:rPr>
                <w:color w:val="1F4E9E"/>
              </w:rPr>
              <w:t>5.34</w:t>
            </w:r>
          </w:p>
        </w:tc>
        <w:tc>
          <w:tcPr>
            <w:tcW w:w="987" w:type="dxa"/>
          </w:tcPr>
          <w:p w14:paraId="377AB6C1" w14:textId="77777777" w:rsidR="00205CBC" w:rsidRDefault="00000000">
            <w:r>
              <w:rPr>
                <w:color w:val="1F4E9E"/>
              </w:rPr>
              <w:t>.031</w:t>
            </w:r>
          </w:p>
        </w:tc>
      </w:tr>
    </w:tbl>
    <w:p w14:paraId="1A6A8652" w14:textId="77777777" w:rsidR="00205CBC" w:rsidRDefault="00000000">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Table S3 above, which averages across both halves, accordingly shows neither a significant linear nor quadratic coherence × time trend.</w:t>
      </w:r>
    </w:p>
    <w:p w14:paraId="03AFB981" w14:textId="77777777" w:rsidR="00DE7105" w:rsidRDefault="00000000">
      <w:r>
        <w:rPr>
          <w:b/>
        </w:rPr>
        <w:t>Table S5. Delay-period partial-activation rate: an unbinned point-process analysis.</w:t>
      </w:r>
    </w:p>
    <w:p w14:paraId="076C48CF" w14:textId="77777777" w:rsidR="00205CBC" w:rsidRDefault="00000000">
      <w:r>
        <w:rPr>
          <w:color w:val="1F4E9E"/>
        </w:rPr>
        <w:t xml:space="preserve">To avoid the arbitrary time-bin factor altogether (Materials and Methods), the coherence-dependent ramp in delay-period partial-activation rate was additionally tested with no binning at all, using the exact onset time of each partial activation. Writing the log-intensity as a linear function of time, </w:t>
      </w:r>
      <m:oMath>
        <m:r>
          <m:rPr>
            <m:nor/>
          </m:rPr>
          <w:rPr>
            <w:rFonts w:ascii="Cambria Math" w:hAnsi="Cambria Math"/>
            <w:color w:val="1F4E9E"/>
          </w:rPr>
          <m:t>ln</m:t>
        </m:r>
        <m:r>
          <m:rPr>
            <m:sty m:val="p"/>
          </m:rPr>
          <w:rPr>
            <w:rFonts w:ascii="Cambria Math" w:hAnsi="Cambria Math"/>
            <w:color w:val="1F4E9E"/>
          </w:rPr>
          <m:t>ν</m:t>
        </m:r>
        <m:d>
          <m:dPr>
            <m:ctrlPr>
              <w:rPr>
                <w:rFonts w:ascii="Cambria Math" w:hAnsi="Cambria Math"/>
              </w:rPr>
            </m:ctrlPr>
          </m:dPr>
          <m:e>
            <m:r>
              <m:rPr>
                <m:sty m:val="p"/>
              </m:rPr>
              <w:rPr>
                <w:rFonts w:ascii="Cambria Math" w:hAnsi="Cambria Math"/>
                <w:color w:val="1F4E9E"/>
              </w:rPr>
              <m:t>t</m:t>
            </m:r>
          </m:e>
        </m:d>
        <m:r>
          <m:rPr>
            <m:nor/>
          </m:rPr>
          <w:rPr>
            <w:rFonts w:ascii="Cambria Math" w:hAnsi="Cambria Math"/>
            <w:color w:val="1F4E9E"/>
          </w:rPr>
          <m:t>=</m:t>
        </m:r>
        <m:sSub>
          <m:sSubPr>
            <m:ctrlPr>
              <w:rPr>
                <w:rFonts w:ascii="Cambria Math" w:hAnsi="Cambria Math"/>
              </w:rPr>
            </m:ctrlPr>
          </m:sSubPr>
          <m:e>
            <m:r>
              <m:rPr>
                <m:sty m:val="p"/>
              </m:rPr>
              <w:rPr>
                <w:rFonts w:ascii="Cambria Math" w:hAnsi="Cambria Math"/>
                <w:color w:val="1F4E9E"/>
              </w:rPr>
              <m:t>c</m:t>
            </m:r>
          </m:e>
          <m:sub>
            <m:r>
              <m:rPr>
                <m:nor/>
              </m:rPr>
              <w:rPr>
                <w:rFonts w:ascii="Cambria Math" w:hAnsi="Cambria Math"/>
                <w:color w:val="1F4E9E"/>
              </w:rPr>
              <m:t>0</m:t>
            </m:r>
          </m:sub>
        </m:sSub>
        <m:r>
          <m:rPr>
            <m:nor/>
          </m:rPr>
          <w:rPr>
            <w:rFonts w:ascii="Cambria Math" w:hAnsi="Cambria Math"/>
            <w:color w:val="1F4E9E"/>
          </w:rPr>
          <m:t>+</m:t>
        </m:r>
        <m:sSub>
          <m:sSubPr>
            <m:ctrlPr>
              <w:rPr>
                <w:rFonts w:ascii="Cambria Math" w:hAnsi="Cambria Math"/>
              </w:rPr>
            </m:ctrlPr>
          </m:sSubPr>
          <m:e>
            <m:r>
              <m:rPr>
                <m:sty m:val="p"/>
              </m:rPr>
              <w:rPr>
                <w:rFonts w:ascii="Cambria Math" w:hAnsi="Cambria Math"/>
                <w:color w:val="1F4E9E"/>
              </w:rPr>
              <m:t>c</m:t>
            </m:r>
          </m:e>
          <m:sub>
            <m:r>
              <m:rPr>
                <m:nor/>
              </m:rPr>
              <w:rPr>
                <w:rFonts w:ascii="Cambria Math" w:hAnsi="Cambria Math"/>
                <w:color w:val="1F4E9E"/>
              </w:rPr>
              <m:t>1</m:t>
            </m:r>
          </m:sub>
        </m:sSub>
        <m:r>
          <m:rPr>
            <m:sty m:val="p"/>
          </m:rPr>
          <w:rPr>
            <w:rFonts w:ascii="Cambria Math" w:hAnsi="Cambria Math"/>
            <w:color w:val="1F4E9E"/>
          </w:rPr>
          <m:t>t</m:t>
        </m:r>
      </m:oMath>
      <w:r>
        <w:rPr>
          <w:color w:val="1F4E9E"/>
        </w:rPr>
        <w:t xml:space="preserve">, the log-rate slope </w:t>
      </w:r>
      <m:oMath>
        <m:sSub>
          <m:sSubPr>
            <m:ctrlPr>
              <w:rPr>
                <w:rFonts w:ascii="Cambria Math" w:hAnsi="Cambria Math"/>
              </w:rPr>
            </m:ctrlPr>
          </m:sSubPr>
          <m:e>
            <m:r>
              <m:rPr>
                <m:sty m:val="p"/>
              </m:rPr>
              <w:rPr>
                <w:rFonts w:ascii="Cambria Math" w:hAnsi="Cambria Math"/>
                <w:color w:val="1F4E9E"/>
              </w:rPr>
              <m:t>c</m:t>
            </m:r>
          </m:e>
          <m:sub>
            <m:r>
              <m:rPr>
                <m:nor/>
              </m:rPr>
              <w:rPr>
                <w:rFonts w:ascii="Cambria Math" w:hAnsi="Cambria Math"/>
                <w:color w:val="1F4E9E"/>
              </w:rPr>
              <m:t>1</m:t>
            </m:r>
          </m:sub>
        </m:sSub>
      </m:oMath>
      <w:r>
        <w:rPr>
          <w:color w:val="1F4E9E"/>
        </w:rPr>
        <w:t xml:space="preserve"> was estimated per participant and per </w:t>
      </w:r>
      <w:r>
        <w:rPr>
          <w:color w:val="1F4E9E"/>
        </w:rPr>
        <w:lastRenderedPageBreak/>
        <w:t>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 This is a different estimator from the binned one the frontier of Appendix C is compared against (Remark C.8), which must match the binning of the published analysis; the two agree on the sign and the approximate size of the slope.</w:t>
      </w:r>
    </w:p>
    <w:tbl>
      <w:tblPr>
        <w:tblW w:w="0" w:type="auto"/>
        <w:tblLook w:val="04A0" w:firstRow="1" w:lastRow="0" w:firstColumn="1" w:lastColumn="0" w:noHBand="0" w:noVBand="1"/>
      </w:tblPr>
      <w:tblGrid>
        <w:gridCol w:w="2219"/>
        <w:gridCol w:w="3797"/>
        <w:gridCol w:w="3056"/>
      </w:tblGrid>
      <w:tr w:rsidR="00205CBC" w14:paraId="30E11B42" w14:textId="77777777">
        <w:tc>
          <w:tcPr>
            <w:tcW w:w="2519" w:type="dxa"/>
          </w:tcPr>
          <w:p w14:paraId="6031D07D" w14:textId="77777777" w:rsidR="00205CBC" w:rsidRDefault="00205CBC"/>
        </w:tc>
        <w:tc>
          <w:tcPr>
            <w:tcW w:w="4457" w:type="dxa"/>
          </w:tcPr>
          <w:p w14:paraId="72183A73" w14:textId="77777777" w:rsidR="00205CBC" w:rsidRDefault="00000000">
            <w:r>
              <w:rPr>
                <w:color w:val="1F4E9E"/>
              </w:rPr>
              <w:t>two-stage</w:t>
            </w:r>
          </w:p>
        </w:tc>
        <w:tc>
          <w:tcPr>
            <w:tcW w:w="3669" w:type="dxa"/>
          </w:tcPr>
          <w:p w14:paraId="26875553" w14:textId="77777777" w:rsidR="00205CBC" w:rsidRDefault="00000000">
            <w:r>
              <w:rPr>
                <w:color w:val="1F4E9E"/>
              </w:rPr>
              <w:t>one-stage, robust</w:t>
            </w:r>
          </w:p>
        </w:tc>
      </w:tr>
      <w:tr w:rsidR="00205CBC" w14:paraId="5F43EE93" w14:textId="77777777">
        <w:tc>
          <w:tcPr>
            <w:tcW w:w="2519" w:type="dxa"/>
          </w:tcPr>
          <w:p w14:paraId="46DF7F1B" w14:textId="77777777" w:rsidR="00205CBC" w:rsidRDefault="00000000">
            <w:r>
              <w:rPr>
                <w:color w:val="1F4E9E"/>
              </w:rPr>
              <w:t>log-rate slope</w:t>
            </w:r>
          </w:p>
        </w:tc>
        <w:tc>
          <w:tcPr>
            <w:tcW w:w="4457" w:type="dxa"/>
          </w:tcPr>
          <w:p w14:paraId="071BF745" w14:textId="77777777" w:rsidR="00205CBC" w:rsidRDefault="00000000">
            <w:r>
              <w:rPr>
                <w:color w:val="1F4E9E"/>
              </w:rPr>
              <w:t>+0.929, F(1,21) = 102.95, p &lt; .001</w:t>
            </w:r>
          </w:p>
        </w:tc>
        <w:tc>
          <w:tcPr>
            <w:tcW w:w="3669" w:type="dxa"/>
          </w:tcPr>
          <w:p w14:paraId="56E9B7FB" w14:textId="77777777" w:rsidR="00205CBC" w:rsidRDefault="00000000">
            <w:r>
              <w:rPr>
                <w:color w:val="1F4E9E"/>
              </w:rPr>
              <w:t>+0.841, z = 11.23, p &lt; .001</w:t>
            </w:r>
          </w:p>
        </w:tc>
      </w:tr>
      <w:tr w:rsidR="00205CBC" w14:paraId="60069C9F" w14:textId="77777777">
        <w:tc>
          <w:tcPr>
            <w:tcW w:w="2519" w:type="dxa"/>
          </w:tcPr>
          <w:p w14:paraId="4C2467CD" w14:textId="77777777" w:rsidR="00205CBC" w:rsidRDefault="00000000">
            <w:r>
              <w:rPr>
                <w:color w:val="1F4E9E"/>
              </w:rPr>
              <w:t>slope × duration</w:t>
            </w:r>
          </w:p>
        </w:tc>
        <w:tc>
          <w:tcPr>
            <w:tcW w:w="4457" w:type="dxa"/>
          </w:tcPr>
          <w:p w14:paraId="2BAEFA9E" w14:textId="77777777" w:rsidR="00205CBC" w:rsidRDefault="00000000">
            <w:r>
              <w:rPr>
                <w:color w:val="1F4E9E"/>
              </w:rPr>
              <w:t>F(1,21) = 4.78, p = .040</w:t>
            </w:r>
          </w:p>
        </w:tc>
        <w:tc>
          <w:tcPr>
            <w:tcW w:w="3669" w:type="dxa"/>
          </w:tcPr>
          <w:p w14:paraId="72D13C63" w14:textId="77777777" w:rsidR="00205CBC" w:rsidRDefault="00000000">
            <w:r>
              <w:rPr>
                <w:color w:val="1F4E9E"/>
              </w:rPr>
              <w:t>−0.179, z = −3.17, p = .002</w:t>
            </w:r>
          </w:p>
        </w:tc>
      </w:tr>
      <w:tr w:rsidR="00205CBC" w14:paraId="2CAC0FB4" w14:textId="77777777">
        <w:tc>
          <w:tcPr>
            <w:tcW w:w="2519" w:type="dxa"/>
          </w:tcPr>
          <w:p w14:paraId="78B366EF" w14:textId="77777777" w:rsidR="00205CBC" w:rsidRDefault="00000000">
            <w:r>
              <w:rPr>
                <w:color w:val="1F4E9E"/>
              </w:rPr>
              <w:t>slope × coherence</w:t>
            </w:r>
          </w:p>
        </w:tc>
        <w:tc>
          <w:tcPr>
            <w:tcW w:w="4457" w:type="dxa"/>
          </w:tcPr>
          <w:p w14:paraId="1580E39A" w14:textId="77777777" w:rsidR="00205CBC" w:rsidRDefault="00000000">
            <w:r>
              <w:rPr>
                <w:color w:val="1F4E9E"/>
              </w:rPr>
              <w:t>F(1.38,29.04) = 4.20, p = .038</w:t>
            </w:r>
          </w:p>
        </w:tc>
        <w:tc>
          <w:tcPr>
            <w:tcW w:w="3669" w:type="dxa"/>
          </w:tcPr>
          <w:p w14:paraId="0CA83954" w14:textId="77777777" w:rsidR="00205CBC" w:rsidRDefault="00000000">
            <w:r>
              <w:rPr>
                <w:color w:val="1F4E9E"/>
              </w:rPr>
              <w:t>−0.263, z = −5.02, p &lt; .001</w:t>
            </w:r>
          </w:p>
        </w:tc>
      </w:tr>
      <w:tr w:rsidR="00205CBC" w14:paraId="4133495A" w14:textId="77777777">
        <w:tc>
          <w:tcPr>
            <w:tcW w:w="2519" w:type="dxa"/>
          </w:tcPr>
          <w:p w14:paraId="5FE32B1B" w14:textId="77777777" w:rsidR="00205CBC" w:rsidRDefault="00000000">
            <w:r>
              <w:rPr>
                <w:color w:val="1F4E9E"/>
              </w:rPr>
              <w:t>slope × duration × coherence</w:t>
            </w:r>
          </w:p>
        </w:tc>
        <w:tc>
          <w:tcPr>
            <w:tcW w:w="4457" w:type="dxa"/>
          </w:tcPr>
          <w:p w14:paraId="28F985EC" w14:textId="77777777" w:rsidR="00205CBC" w:rsidRDefault="00000000">
            <w:r>
              <w:rPr>
                <w:color w:val="1F4E9E"/>
              </w:rPr>
              <w:t>F(1.87,39.23) = 0.39, p = .663</w:t>
            </w:r>
          </w:p>
        </w:tc>
        <w:tc>
          <w:tcPr>
            <w:tcW w:w="3669" w:type="dxa"/>
          </w:tcPr>
          <w:p w14:paraId="079383C8" w14:textId="77777777" w:rsidR="00205CBC" w:rsidRDefault="00000000">
            <w:r>
              <w:rPr>
                <w:color w:val="1F4E9E"/>
              </w:rPr>
              <w:t>—</w:t>
            </w:r>
          </w:p>
        </w:tc>
      </w:tr>
    </w:tbl>
    <w:p w14:paraId="6791D64A" w14:textId="77777777" w:rsidR="00205CBC" w:rsidRDefault="00000000">
      <w:r>
        <w:rPr>
          <w:color w:val="1F4E9E"/>
        </w:rPr>
        <w:t>The log-rate slope was positive and shallower both after a long stimulus and at high coherence — the pattern expected under accumulation to an internal threshold, since either factor raises the maintained level and thereby reduces the distance to the gate (Equation (24)). The two estimators agree on sign throughout and differ in magnitude by about a tenth, consistent with the two-stage estimator weighting participants equally and the one-stage estimator weighting them by precision.</w:t>
      </w:r>
    </w:p>
    <w:sectPr w:rsidR="00205C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E894" w14:textId="77777777" w:rsidR="00FD71ED" w:rsidRDefault="00FD71ED" w:rsidP="00C05580">
      <w:pPr>
        <w:spacing w:after="0" w:line="240" w:lineRule="auto"/>
      </w:pPr>
      <w:r>
        <w:separator/>
      </w:r>
    </w:p>
  </w:endnote>
  <w:endnote w:type="continuationSeparator" w:id="0">
    <w:p w14:paraId="781A9BBF" w14:textId="77777777" w:rsidR="00FD71ED" w:rsidRDefault="00FD71ED"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4778"/>
      <w:docPartObj>
        <w:docPartGallery w:val="Page Numbers (Bottom of Page)"/>
        <w:docPartUnique/>
      </w:docPartObj>
    </w:sdtPr>
    <w:sdtContent>
      <w:p w14:paraId="70EDCD74" w14:textId="77777777"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6DEFCE74"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E07B" w14:textId="77777777" w:rsidR="00FD71ED" w:rsidRDefault="00FD71ED" w:rsidP="00C05580">
      <w:pPr>
        <w:spacing w:after="0" w:line="240" w:lineRule="auto"/>
      </w:pPr>
      <w:r>
        <w:separator/>
      </w:r>
    </w:p>
  </w:footnote>
  <w:footnote w:type="continuationSeparator" w:id="0">
    <w:p w14:paraId="75FBCE47" w14:textId="77777777" w:rsidR="00FD71ED" w:rsidRDefault="00FD71ED" w:rsidP="00C05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8640">
    <w:abstractNumId w:val="5"/>
  </w:num>
  <w:num w:numId="2" w16cid:durableId="595866472">
    <w:abstractNumId w:val="3"/>
  </w:num>
  <w:num w:numId="3" w16cid:durableId="1250041188">
    <w:abstractNumId w:val="4"/>
  </w:num>
  <w:num w:numId="4" w16cid:durableId="743650823">
    <w:abstractNumId w:val="0"/>
  </w:num>
  <w:num w:numId="5" w16cid:durableId="1097210592">
    <w:abstractNumId w:val="1"/>
  </w:num>
  <w:num w:numId="6" w16cid:durableId="153199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2A83"/>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5CBC"/>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8E8"/>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77FD8"/>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6F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3EC4"/>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E63A5"/>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51F"/>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05"/>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1ED"/>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8D02B"/>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Mentionnonrsolue1">
    <w:name w:val="Mention non résolue1"/>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tif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customXml/itemProps3.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customXml/itemProps4.xml><?xml version="1.0" encoding="utf-8"?>
<ds:datastoreItem xmlns:ds="http://schemas.openxmlformats.org/officeDocument/2006/customXml" ds:itemID="{CC3D6755-A844-47E5-A987-07A548F45A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45604</Words>
  <Characters>250827</Characters>
  <Application>Microsoft Office Word</Application>
  <DocSecurity>0</DocSecurity>
  <Lines>2090</Lines>
  <Paragraphs>591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GAJDOS PREUSS Thibault</cp:lastModifiedBy>
  <cp:revision>4</cp:revision>
  <cp:lastPrinted>2026-09-02T08:48:00Z</cp:lastPrinted>
  <dcterms:created xsi:type="dcterms:W3CDTF">2026-09-02T08:48:00Z</dcterms:created>
  <dcterms:modified xsi:type="dcterms:W3CDTF">2026-09-02T15:05:00Z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