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w:t>
      </w:r>
    </w:p>
    <w:p>
      <w:pPr>
        <w:spacing w:after="160"/>
      </w:pPr>
      <w:r>
        <w:rPr>
          <w:b w:val="0"/>
          <w:i/>
        </w:rPr>
        <w:t>Achard, Gajdos Preuss &amp; Servant — “Graded Motor-Preparatory Dynamics Preserve Perceptual Decisions over Short Delays” (Journal of Neuroscience, R1)</w:t>
      </w:r>
    </w:p>
    <w:p>
      <w:pPr>
        <w:spacing w:after="160"/>
      </w:pPr>
      <w:r>
        <w:rPr>
          <w:b/>
          <w:i w:val="0"/>
        </w:rPr>
        <w:t>DRAFT — internal working copy, not yet formatted for submission.</w:t>
      </w:r>
    </w:p>
    <w:p>
      <w:pPr>
        <w:pStyle w:val="Heading1"/>
      </w:pPr>
      <w:r>
        <w:t>Note pour les auteurs — à lire avant envoi</w:t>
      </w:r>
    </w:p>
    <w:p>
      <w:r>
        <w:rPr>
          <w:b w:val="0"/>
          <w:i w:val="0"/>
        </w:rPr>
        <w:t>Ce document est un brouillon complet de la lettre de réponse, point par point. Chaque réponse ci-dessous est rédigée comme si elle allait être envoyée aux rapporteurs. Il a été remis à jour le 5 septembre 2026 contre le texte courant du manuscrit (manuscript/latex/delay.tex), qui en est désormais la seule source. Les points suivants ne sont PAS pleinement traités et méritent une décision avant l'envoi — ils sont aussi repérés en couleur directement à l'endroit concerné dans la lettre (« NOTE INTERNE »).</w:t>
      </w:r>
    </w:p>
    <w:p>
      <w:pPr>
        <w:pStyle w:val="ListBullet"/>
      </w:pPr>
      <w:r>
        <w:rPr>
          <w:b/>
          <w:i w:val="0"/>
          <w:color w:val="1F4E9E"/>
        </w:rPr>
        <w:t xml:space="preserve">C1.2 (organisation des Résultats) — </w:t>
      </w:r>
      <w:r>
        <w:rPr>
          <w:b w:val="0"/>
          <w:i w:val="0"/>
          <w:color w:val="1F4E9E"/>
        </w:rPr>
        <w:t>Traité depuis. La section Résultats a été entièrement réorganisée par fenêtre d’analyse (Behavior, Stimulus-locked, Delay-locked, RS-locked, Response-locked), chaque fenêtre étant scindée en « Theoretical predictions », « Empirical results » et, lorsqu’elle existe, « Simulation validation ». Cette puce, qui indiquait un traitement partiel, était périmée et a été mise à jour ; le drapeau NOTE INTERNE correspondant a été retiré du corps de la lettre.</w:t>
      </w:r>
    </w:p>
    <w:p>
      <w:pPr>
        <w:pStyle w:val="ListBullet"/>
      </w:pPr>
      <w:r>
        <w:rPr>
          <w:b w:val="0"/>
          <w:i w:val="0"/>
        </w:rPr>
        <w:t>C2.2 (ordre spécifique de la Fig. 1) — Traité, mais sur une autre base. Les chiffres du calibrage (0.0702 / 0.0694 contre θ = 0.0707) ont disparu avec le calibrage lui-même. La réponse repose maintenant sur la saturation du niveau maintenu, démontrée (Proposition A.2) et testée dans les Résultats.</w:t>
      </w:r>
    </w:p>
    <w:p>
      <w:pPr>
        <w:pStyle w:val="ListBullet"/>
      </w:pPr>
      <w:r>
        <w:rPr>
          <w:b/>
          <w:color w:val="1F4E9E"/>
        </w:rPr>
        <w:t xml:space="preserve">C2.4 (renommer « second accumulation phase ») — </w:t>
      </w:r>
      <w:r>
        <w:rPr>
          <w:color w:val="1F4E9E"/>
        </w:rPr>
        <w:t>Volontairement NON traité, sur votre décision explicite : vous jugez le rapporteur dans l'erreur sur ce point (il faut bien accumuler le signal de réponse perceptif, littérature à l'appui). La lettre de réponse ci-dessous défend donc la formulation actuelle plutôt que de la changer — à relire pour vérifier que l'argumentaire vous convient avant envoi.</w:t>
      </w:r>
    </w:p>
    <w:p>
      <w:pPr>
        <w:pStyle w:val="ListBullet"/>
      </w:pPr>
      <w:r>
        <w:rPr>
          <w:b w:val="0"/>
          <w:i w:val="0"/>
        </w:rPr>
        <w:t>C2.6 (abréviations et emplacement du raisonnement) — Traité intégralement depuis. Les définitions au premier usage sont corrigées (RS, PMA, LRP, MBL), et le déplacement du raisonnement hors des Méthodes, qui restait à faire, est fait : chaque fenêtre d'analyse des Résultats s'ouvre sur une sous-section « Theoretical predictions » qui dérive les prédictions juste avant les données qui les testent.</w:t>
      </w:r>
    </w:p>
    <w:p>
      <w:pPr>
        <w:pStyle w:val="ListBullet"/>
      </w:pPr>
      <w:r>
        <w:rPr>
          <w:b/>
          <w:color w:val="1F4E9E"/>
        </w:rPr>
        <w:t xml:space="preserve">C2.7 (autres formats sensoriels) — </w:t>
      </w:r>
      <w:r>
        <w:rPr>
          <w:color w:val="1F4E9E"/>
        </w:rPr>
        <w:t>Traitement partiel : le volet « animal work » est couvert (Cisek &amp; Kalaska, 2005, décisions d'atteinte chez le singe). Le volet « autres formats sensoriels » (accumulation de preuves auditives, tactiles, etc.) n'est PAS traité — aucune référence identifiée dans le temps imparti.</w:t>
      </w:r>
    </w:p>
    <w:p>
      <w:pPr>
        <w:pStyle w:val="ListBullet"/>
      </w:pPr>
      <w:r>
        <w:rPr>
          <w:b/>
          <w:color w:val="1F4E9E"/>
        </w:rPr>
        <w:t xml:space="preserve">C1.7 (détail « α fonction du délai ») — </w:t>
      </w:r>
      <w:r>
        <w:rPr>
          <w:color w:val="1F4E9E"/>
        </w:rPr>
        <w:t>La demande principale (montrer le build-up pour différents délais) est traitée par la citation à Achard et al. (2025). Le point plus fin de la note — que cela fait du taux de préparation une fonction de la longueur du délai, à énoncer explicitement comme condition de portée — n'est pas formulé dans ces termes précis.</w:t>
      </w:r>
    </w:p>
    <w:p>
      <w:pPr>
        <w:pStyle w:val="ListBullet"/>
      </w:pPr>
      <w:r>
        <w:rPr>
          <w:b/>
          <w:color w:val="1F4E9E"/>
        </w:rPr>
      </w:r>
      <w:r>
        <w:rPr>
          <w:b/>
          <w:color w:val="1F4E9E"/>
        </w:rPr>
        <w:t xml:space="preserve">Table S6 (compléments techniques de _estim_body.tex) — </w:t>
      </w:r>
      <w:r>
        <w:rPr>
          <w:color w:val="1F4E9E"/>
        </w:rPr>
        <w:t>Non repris : la distinction des trois estimandes (contraste linéaire brut vs régression de Poisson log-linéaire vs vraisemblance du processus ponctuel, avec le désaccord d'échelle en période stimulus) et la mise en garde sur le biais du facteur de rétention des clusters. Ce sont des approfondissements de robustesse statistique, pas des points soulevés par les rapporteurs — à ajouter seulement si un rapporteur statisticien insiste.</w:t>
      </w:r>
    </w:p>
    <w:p>
      <w:pPr>
        <w:pStyle w:val="ListBullet"/>
      </w:pPr>
      <w:r>
        <w:rPr>
          <w:b w:val="0"/>
          <w:i w:val="0"/>
        </w:rPr>
        <w:t>Mise à jour (5 septembre) — L'évaluation sur l'espace des paramètres est de retour dans le manuscrit (1200 tirages en hypercube latin, 4000 essais par cellule, écran d'admissibilité ; Figure 7), et le calibrage a disparu : aucun paramètre n'est estimé sur ces données. C1.8, C2.1, C2.2 et C2.3 ont été réécrits en conséquence, et les renvois aux « Appendices A–E » remplacés par l'annexe unique (Corollaire A.1 à Remarque A.5). Les tables ont été renumérotées : l'ancienne Table 2 est la Table S1, et la Table 1 est celle des paramètres. L'ancien point « Volunteered 3 » (tension de direction) est intégré à la réponse C2.1 et n'apparaît plus séparément.</w:t>
      </w:r>
    </w:p>
    <w:p>
      <w:pPr>
        <w:pStyle w:val="ListBullet"/>
      </w:pPr>
      <w:r>
        <w:rPr>
          <w:b w:val="0"/>
          <w:i w:val="0"/>
        </w:rPr>
        <w:t>C2.3 (leak) — Traité, et vérifié numériquement le 5 septembre. L'évaluation a été rejouée à γ = 0.25, 0.50 et 1.00 s⁻¹ sur les 222 tirages admissibles à fuite nulle : aucune prédiction directionnelle ne change, et Model 1 reste exclu à tous les taux. Seule l'admissibilité s'érode un peu (164 → 144 et 148 → 131). Rien de tout cela ne va dans l'article : la frontière maximise déjà sur la distance à la porte, donc la question est close par construction, et une phrase à ce sujet serait un trait de construction pour un lecteur qui n'a pas lu C2.3.</w:t>
      </w:r>
    </w:p>
    <w:p>
      <w:pPr>
        <w:spacing w:after="160"/>
      </w:pPr>
    </w:p>
    <w:p>
      <w:r>
        <w:rPr>
          <w:b w:val="0"/>
          <w:i w:val="0"/>
        </w:rPr>
        <w:t>Tout le reste des commentaires C1.1–C1.9, C2.1–C2.7, la note éditoriale et les points volontaires est traité intégralement dans le manuscrit, vérifié passage par passage contre le texte courant de delay.tex.</w:t>
      </w:r>
    </w:p>
    <w:p>
      <w:r>
        <w:br w:type="page"/>
      </w:r>
    </w:p>
    <w:p>
      <w:pPr>
        <w:pStyle w:val="Heading1"/>
      </w:pPr>
      <w:r>
        <w:t>Reviewer 1</w:t>
      </w:r>
    </w:p>
    <w:p>
      <w:pPr>
        <w:spacing w:after="80"/>
      </w:pPr>
      <w:r>
        <w:rPr>
          <w:b/>
          <w:i w:val="0"/>
        </w:rPr>
        <w:t>C1.1 — Slopes rather than bins.</w:t>
      </w:r>
    </w:p>
    <w:p>
      <w:pPr>
        <w:spacing w:after="160"/>
        <w:ind w:left="504"/>
      </w:pPr>
      <w:r>
        <w:rPr>
          <w:i/>
        </w:rPr>
        <w:t>“Although there is a nice cartoon figure for the hypotheses, the authors use a repeated measures ANOVA for their tests. I would prefer tests on the different slopes in the EMG and EEG instead of the arbitrary 0.1s bins. [...] Ln 324: ‘slope of this ramping activity’ → that is not what you ANOVA tested.”</w:t>
      </w:r>
    </w:p>
    <w:p>
      <w:pPr>
        <w:spacing w:after="80"/>
      </w:pPr>
      <w:r>
        <w:rPr>
          <w:b/>
          <w:i w:val="0"/>
        </w:rPr>
        <w:t xml:space="preserve">Response. </w:t>
      </w:r>
      <w:r>
        <w:rPr>
          <w:b w:val="0"/>
          <w:i w:val="0"/>
        </w:rPr>
        <w:t>We agree that the earlier phrasing overstated what an omnibus ANOVA on a nineteen-degree-of-freedom time-bin factor establishes, and have gone beyond correcting the language. We now decompose the time-bin factor into orthogonal polynomial contrasts — the standard within-subjects contrast analysis — and report those as the primary statistics in the Results text for every measure and period where the decomposition applies (stimulus- and delay-period bins for PMA rate, MBL and LRP); Tables S1–S4 report them as primary as well. The linear contrast is reported throughout as the ordinary-least-squares slope against time, in units of the measure per second, which is the same contrast rescaled so that the coefficient reads as a rate of change; where a period’s profile is not monotone a quadratic contrast is reported alongside it. Each contrast is tested against its own error term rather than against an error term pooled across components, which is what makes a sphericity correction unnecessary for the time-bin component; Greenhouse–Geisser correction is applied throughout to the three-level coherence factor. No signal was reprocessed: the contrasts are weighted sums of the bin means already computed. We should add that the omnibus time-bin test the comment objects to is not merely uninformative about slope but poorly behaved here in its own right — its Greenhouse–Geisser epsilon is 0.14 on 19 degrees of freedom. The analysis script that produces the tables is deposited with the data. Two periods need no substitution: the response-signal period has only two time bins, so the omnibus and linear-trend tests coincide exactly, and the response period is analyzed on a single bin, so no trend decomposition applies there.</w:t>
        <w:br/>
        <w:t>Two consequences of the change are worth stating explicitly rather than leaving to be discovered, and they run in opposite directions. Mu–beta lateralization’s stimulus-period coherence × time effect is significant on the omnibus test but null as a full-window linear trend (p = .596), because the measure rises over roughly the first second and then flattens; Results now says so, and an a priori first-half/second-half split (Table S5) locates the coherence-dependent trend in the first half. Conversely, mu–beta lateralization’s stimulus-period duration × time effect was not significant on the omnibus test (p = .136) but is significant as a linear trend (p = .046) — a newly significant effect created by the change of criterion. Both are stated in the Results text and reported in full in Table S4.</w:t>
        <w:br/>
        <w:t>Separately, for delay-period partial-activation rate — the one period where the theory predicts a genuine parametric ramp — we additionally estimated the log-rate slope directly from the exact onset time of each partial activation, via an unbinned, inhomogeneous-Poisson point-process analysis that removes the bin factor entirely (Table S6). Materials and Methods now explains why this unbinned analysis is restricted to the delay period, where the theory predicts a time-homogeneous intensity, and does not extend to the onset-locked (stimulus-period) rate, whose intensity is not stationary on the theory’s own terms.</w:t>
        <w:br/>
        <w:t>One point of interpretation needs stating precisely, because the binned and unbinned analyses appear at first to disagree about coherence during the delay: the raw-rate slope × coherence contrast is null (p = .567), whereas the log-rate slope × coherence effect is significant (p = .038). These are tests of different quantities, and the model predicts exactly this pattern. Equation (11) makes the log-rate slope proportional to the standardized distance from the maintained level to the gate, so a cell with a higher rate necessarily has a shallower log-rate slope. The residual coherence dependence therefore runs in the direction saturation predicts — shallower at high coherence — and not in the direction continued motion-evidence accumulation would predict, so neither test implies that accumulation is still under way during the delay. Results now states this explicitly, and the Abstract’s delay-period claim has been made scale-specific accordingly (“no longer at a coherence-dependent build-up rate”).</w:t>
      </w:r>
    </w:p>
    <w:p>
      <w:pPr>
        <w:spacing w:after="280"/>
      </w:pPr>
      <w:r>
        <w:rPr>
          <w:b/>
          <w:i/>
        </w:rPr>
        <w:t xml:space="preserve">Manuscript location: </w:t>
      </w:r>
      <w:r>
        <w:rPr>
          <w:b w:val="0"/>
          <w:i/>
        </w:rPr>
        <w:t>Materials and Methods (“Statistical Analysis”); Results, Stimulus-locked and Delay-locked subsections (trend statistics now primary); Tables S1–S4 (trend statistics primary there too); Table S5 (MBL first-/second-half split); Table S6 (unbinned point-process analysis); Abstract (delay-period claim).</w:t>
      </w:r>
    </w:p>
    <w:p>
      <w:pPr>
        <w:spacing w:after="80"/>
      </w:pPr>
      <w:r>
        <w:rPr>
          <w:b/>
          <w:i w:val="0"/>
        </w:rPr>
        <w:t>C1.2 — Clearer statement of the hypotheses and of what each measure does.</w:t>
      </w:r>
    </w:p>
    <w:p>
      <w:pPr>
        <w:spacing w:after="160"/>
        <w:ind w:left="504"/>
      </w:pPr>
      <w:r>
        <w:rPr>
          <w:i/>
        </w:rPr>
        <w:t>“I would like a much clearer description of the hypotheses and how the different measures help unraveling. Now the EEG results are a bit of a hotch-potch.”</w:t>
      </w:r>
    </w:p>
    <w:p>
      <w:pPr>
        <w:spacing w:after="80"/>
      </w:pPr>
      <w:r>
        <w:rPr>
          <w:b/>
        </w:rPr>
        <w:t xml:space="preserve">Response. </w:t>
      </w:r>
      <w:r>
        <w:t>Results has since been restructured further, by analysis window rather than by measure: Behavior, then Stimulus-locked, Delay-locked, RS-locked, and Response-locked, each split into “Theoretical predictions,” “Empirical results” (PMA rate, then MBL, then LRP), and, where available, “Simulation validation.” Within every window, the model-specific predictions are stated explicitly before any data are shown, rather than after. For the delay period — the window carrying the paper's central discriminating prediction — “Theoretical predictions” derives what each model implies for the partial-activation rate (Model 1: a flat log-rate slope; Model 2: a positive, coherence-independent ramp), the corresponding predictions for LRP and MBL amplitude are stated where those measures are reported, and “Simulation validation” reports the discrimination over the models' admissible parameter space (see C1.8 and C2.1).</w:t>
      </w:r>
    </w:p>
    <w:p>
      <w:pPr>
        <w:spacing w:after="280"/>
      </w:pPr>
      <w:r>
        <w:rPr>
          <w:b/>
          <w:i/>
          <w:color w:val="1F4E9E"/>
        </w:rPr>
        <w:t>Manuscript location: Results, the five window subsections (Behavior, Stimulus-locked, Delay-locked, RS-locked, Response-locked), each split into “Theoretical predictions,” “Empirical results,” and “Simulation validation”; Delay-locked &gt; Simulation validation specifically for the model-discriminating claim.</w:t>
      </w:r>
    </w:p>
    <w:p>
      <w:pPr>
        <w:spacing w:after="80"/>
      </w:pPr>
      <w:r>
        <w:rPr>
          <w:b/>
          <w:i w:val="0"/>
        </w:rPr>
        <w:t>C1.3 — Muscle-activation onset procedure.</w:t>
      </w:r>
    </w:p>
    <w:p>
      <w:pPr>
        <w:spacing w:after="160"/>
        <w:ind w:left="504"/>
      </w:pPr>
      <w:r>
        <w:rPr>
          <w:i/>
        </w:rPr>
        <w:t>“Ln 119: please be more explicit about the EMG onset procedure. [...] p. 10, ll. 157-159: PMA should be more precisely defined. Specifically, how is it decided that a muscle activation detected by EMG does not ‘culminate in an overt response’?”</w:t>
      </w:r>
    </w:p>
    <w:p>
      <w:pPr>
        <w:spacing w:after="80"/>
      </w:pPr>
      <w:r>
        <w:rPr>
          <w:b/>
        </w:rPr>
        <w:t xml:space="preserve">Response. </w:t>
      </w:r>
      <w:r>
        <w:t xml:space="preserve">Materials and Methods now gives the full procedure: candidate bursts were detected at a threshold of seven baseline standard deviations on the rectified signal, with threshold-defined periods separated by less than 25 ms merged into a single candidate burst, an adaptive minimum-sample criterion applied to reject noise-driven detections, and burst boundaries refined with the integrated-profile method (Liu &amp; Liu, 2016; Santello &amp; McDonagh, 1998). We also state the procedure’s two consequences for how partial activations are counted: 27% of consecutive activation pairs in the exported event list remain separated by less than 25 ms despite the merge rule (this does not affect reported counts, since the refinement relocates but does not remove interval boundaries), and a partial muscle activation is defined as any detected interval other than the one immediately preceding the response — so </w:t>
      </w:r>
      <w:r>
        <w:t>18.5% of trials contain an activation ending within 25 ms of the response-related burst, and in 9.3% of trials that activation would be absorbed into the response burst under strict application of the merge rule</w:t>
      </w:r>
      <w:r>
        <w:t>. We note that response-period results should be read with this possibility of segmentation in mind.</w:t>
      </w:r>
    </w:p>
    <w:p>
      <w:pPr>
        <w:spacing w:after="280"/>
      </w:pPr>
      <w:r>
        <w:rPr>
          <w:b/>
          <w:i/>
        </w:rPr>
        <w:t xml:space="preserve">Manuscript location: </w:t>
      </w:r>
      <w:r>
        <w:rPr>
          <w:i/>
          <w:color w:val="1F4E9E"/>
        </w:rPr>
        <w:t xml:space="preserve">Materials and Methods, “EMG acquisition and preprocessing” </w:t>
      </w:r>
      <w:r>
        <w:rPr>
          <w:i/>
          <w:color w:val="1F4E9E"/>
        </w:rPr>
        <w:t>(now three paragraphs)</w:t>
      </w:r>
      <w:r>
        <w:rPr>
          <w:i/>
          <w:color w:val="1F4E9E"/>
        </w:rPr>
        <w:t>.</w:t>
      </w:r>
    </w:p>
    <w:p>
      <w:pPr>
        <w:spacing w:after="80"/>
      </w:pPr>
      <w:r>
        <w:rPr>
          <w:b/>
          <w:i w:val="0"/>
        </w:rPr>
        <w:t>C1.4 — Coherence range used by others.</w:t>
      </w:r>
    </w:p>
    <w:p>
      <w:pPr>
        <w:spacing w:after="160"/>
        <w:ind w:left="504"/>
      </w:pPr>
      <w:r>
        <w:rPr>
          <w:i/>
        </w:rPr>
        <w:t>“Ln 242: make explicit what range of coherences others have used.”</w:t>
      </w:r>
    </w:p>
    <w:p>
      <w:pPr>
        <w:spacing w:after="80"/>
      </w:pPr>
      <w:r>
        <w:rPr>
          <w:b/>
        </w:rPr>
        <w:t xml:space="preserve">Response. </w:t>
      </w:r>
      <w:r>
        <w:t>Added as a scope condition in the Discussion: our three-level coherence range (0%, 12%, 50%) is coarser than the five- or six-level logarithmic series more commonly used to characterize psychometric and chronometric functions in random-dot-motion studies (e.g., 3.2–51.2%: Roitman &amp; Shadlen, 2002; 6.4–51.2%: Kiani et al., 2008); sufficient to establish the coherence-dependent effects reported here, though not their full functional form.</w:t>
      </w:r>
    </w:p>
    <w:p>
      <w:pPr>
        <w:spacing w:after="280"/>
      </w:pPr>
      <w:r>
        <w:rPr>
          <w:b/>
          <w:i/>
        </w:rPr>
        <w:t xml:space="preserve">Manuscript location: </w:t>
      </w:r>
      <w:r>
        <w:rPr>
          <w:i/>
        </w:rPr>
        <w:t>Discussion, scope-conditions paragraph.</w:t>
      </w:r>
    </w:p>
    <w:p>
      <w:pPr>
        <w:spacing w:after="80"/>
      </w:pPr>
      <w:r>
        <w:rPr>
          <w:b/>
          <w:i w:val="0"/>
        </w:rPr>
        <w:t>C1.5 — Error bars and individual data.</w:t>
      </w:r>
    </w:p>
    <w:p>
      <w:pPr>
        <w:spacing w:after="160"/>
        <w:ind w:left="504"/>
      </w:pPr>
      <w:r>
        <w:rPr>
          <w:i/>
        </w:rPr>
        <w:t>“Fig 3: SEM is not a good measure on data constrained between 0 and 1 [...] In modern research it is custom to also show individual participant datapoints.”</w:t>
      </w:r>
    </w:p>
    <w:p>
      <w:pPr>
        <w:spacing w:after="80"/>
      </w:pPr>
      <w:r>
        <w:rPr>
          <w:b/>
          <w:i w:val="0"/>
        </w:rPr>
        <w:t xml:space="preserve">Response. </w:t>
      </w:r>
      <w:r>
        <w:rPr>
          <w:b w:val="0"/>
          <w:i w:val="0"/>
        </w:rPr>
        <w:t>Figure 3 has been regenerated. Each participant’s data now appear as faint connected points behind the group means in all four panels. For accuracy specifically — bounded in [0,1], where a symmetric standard error is not appropriate — the interval is now a 95% percentile bootstrap interval computed on the Cousineau–Morey-normalized values (10,000 resamples over participants, Morey-scaled), which is both a within-subjects interval, comparable to the ±1 within-subjects SEM shown for RT, PMET, and MET, and asymmetric where the data approach the bounds.</w:t>
      </w:r>
      <w:r>
        <w:rPr>
          <w:b w:val="0"/>
          <w:i w:val="0"/>
        </w:rPr>
      </w:r>
      <w:r>
        <w:rPr>
          <w:b w:val="0"/>
          <w:i w:val="0"/>
        </w:rPr>
        <w:t xml:space="preserve"> The figure legend describes both intervals.</w:t>
      </w:r>
    </w:p>
    <w:p>
      <w:pPr>
        <w:spacing w:after="280"/>
      </w:pPr>
      <w:r>
        <w:rPr>
          <w:b/>
          <w:i/>
        </w:rPr>
        <w:t xml:space="preserve">Manuscript location: </w:t>
      </w:r>
      <w:r>
        <w:rPr>
          <w:i/>
        </w:rPr>
        <w:t>Figure 3 and its legend.</w:t>
      </w:r>
    </w:p>
    <w:p>
      <w:pPr>
        <w:spacing w:after="80"/>
      </w:pPr>
      <w:r>
        <w:rPr>
          <w:b/>
          <w:i w:val="0"/>
        </w:rPr>
        <w:t>C1.6 — Reminder of MET and PMET.</w:t>
      </w:r>
    </w:p>
    <w:p>
      <w:pPr>
        <w:spacing w:after="160"/>
        <w:ind w:left="504"/>
      </w:pPr>
      <w:r>
        <w:rPr>
          <w:i/>
        </w:rPr>
        <w:t>“Ln 308: please refer back to fig 2 to reiterate what MET and PMET are.”</w:t>
      </w:r>
    </w:p>
    <w:p>
      <w:pPr>
        <w:spacing w:after="80"/>
      </w:pPr>
      <w:r>
        <w:rPr>
          <w:b/>
        </w:rPr>
        <w:t xml:space="preserve">Response. </w:t>
      </w:r>
      <w:r>
        <w:t>A cross-reference to Figure 2 is given at first mention of mean PMET and MET in the Results.</w:t>
      </w:r>
    </w:p>
    <w:p>
      <w:pPr>
        <w:spacing w:after="280"/>
      </w:pPr>
      <w:r>
        <w:rPr>
          <w:b/>
          <w:i/>
        </w:rPr>
        <w:t xml:space="preserve">Manuscript location: </w:t>
      </w:r>
      <w:r>
        <w:rPr>
          <w:i/>
        </w:rPr>
        <w:t>Results, “Motion coherence and duration both modulate mean PMET but not mean MET” (opening sentence).</w:t>
      </w:r>
    </w:p>
    <w:p>
      <w:pPr>
        <w:spacing w:after="80"/>
      </w:pPr>
      <w:r>
        <w:rPr>
          <w:b/>
          <w:i w:val="0"/>
        </w:rPr>
        <w:t>C1.7 — Different delays, to show build-up.</w:t>
      </w:r>
    </w:p>
    <w:p>
      <w:pPr>
        <w:spacing w:after="160"/>
        <w:ind w:left="504"/>
      </w:pPr>
      <w:r>
        <w:rPr>
          <w:i/>
        </w:rPr>
        <w:t>“Ln 485 [...] If you really want to hammer in this point, you should show build-up for different delays (even within the same trial, where the RS can come at for example 1.5 or 3.0 sec).”</w:t>
      </w:r>
    </w:p>
    <w:p>
      <w:pPr>
        <w:spacing w:after="80"/>
      </w:pPr>
      <w:r>
        <w:rPr>
          <w:b/>
        </w:rPr>
        <w:t xml:space="preserve">Response. </w:t>
      </w:r>
      <w:r>
        <w:t>Added as a second scope condition in the Discussion, citing a companion study (Achard et al., 2025) that directly manipulates delay length: the same delay-period build-up is preserved across 3–7 s delays when the response mapping is known in advance, but is largely absent when it is revealed only at the response signal.</w:t>
      </w:r>
    </w:p>
    <w:p>
      <w:pPr>
        <w:spacing w:after="280"/>
      </w:pPr>
      <w:r>
        <w:rPr>
          <w:b/>
          <w:i/>
        </w:rPr>
        <w:t xml:space="preserve">Manuscript location: </w:t>
      </w:r>
      <w:r>
        <w:rPr>
          <w:i/>
        </w:rPr>
        <w:t>Discussion, scope-conditions paragraph.</w:t>
      </w:r>
    </w:p>
    <w:p>
      <w:pPr>
        <w:spacing w:after="280"/>
        <w:ind w:left="216"/>
      </w:pPr>
      <w:r>
        <w:rPr>
          <w:b/>
          <w:color w:val="C05000"/>
        </w:rPr>
        <w:t xml:space="preserve">[NOTE INTERNE — ne pas envoyer telle quelle] </w:t>
      </w:r>
      <w:r>
        <w:rPr>
          <w:color w:val="C05000"/>
        </w:rPr>
        <w:t>Le point plus fin de la note (« cela fait de α une fonction du délai, à énoncer comme condition de portée ») n'est pas formulé dans ces termes précis — voir « Note pour les auteurs ».</w:t>
      </w:r>
    </w:p>
    <w:p>
      <w:pPr>
        <w:spacing w:after="80"/>
      </w:pPr>
      <w:r>
        <w:rPr>
          <w:b/>
          <w:i w:val="0"/>
        </w:rPr>
        <w:t>C1.8 — A quantitative model.</w:t>
      </w:r>
    </w:p>
    <w:p>
      <w:pPr>
        <w:spacing w:after="160"/>
        <w:ind w:left="504"/>
      </w:pPr>
      <w:r>
        <w:rPr>
          <w:i/>
        </w:rPr>
        <w:t>“Ln 505-506: here you hint at a quantitative model, which I believe would strengthen your data better. Now you use ANOVAs, and thus significances to rule out hypotheses that are only expressed in words or cartoons, but are never quantified based on the data.”</w:t>
      </w:r>
    </w:p>
    <w:p>
      <w:pPr>
        <w:spacing w:after="80"/>
      </w:pPr>
      <w:r>
        <w:rPr>
          <w:b/>
          <w:i w:val="0"/>
        </w:rPr>
        <w:t xml:space="preserve">Response. </w:t>
      </w:r>
      <w:r>
        <w:rPr>
          <w:i w:val="0"/>
        </w:rPr>
        <w:t>We agree that the paper needed a quantitative model, and it now has one. It works in two stages, and we have tried to be careful about what each of them establishes.</w:t>
        <w:br/>
        <w:br/>
        <w:t>The first is derivation. Every prediction the paper tests is derived from the model equations at the point where it is used, in the Results, with the heavier proofs collected in a single Appendix. That is what replaces the verbal and cartoon arguments the comment objects to: the claims are no longer stated in words and then adjudicated by an ANOVA, they follow from the architecture, and the ANOVAs test them. Three examples. Because the drift of the second accumulation is the same in every condition (Equation 8), coherence and duration can act on response time only through the level maintained at the end of the first stage. Because that level is capped at the internal threshold (Equation 4), the coherence effect on response time is larger after a short stimulus than after a long one. And because the temporal-preparation ramp is anchored to stimulus offset while the response signal follows it at a fixed interval, stimulus duration cancels from the ramp: it contributes the same amount in all six coherence × duration cells, so no behavioral effect whatever can separate the two models.</w:t>
        <w:br/>
        <w:br/>
        <w:t>The second stage is an evaluation over the models' parameter space, which supplies what a derivation cannot, namely the size of each effect. We do not fit. No parameter is estimated from these data, no parameter value is interpreted, and no comparison between the models rests on a goodness-of-fit statistic. Fitting would be the wrong instrument here for three reasons, which the Discussion states: the models are deliberately reduced, so several parameters are close to unidentifiable from behavior and a fitted value would describe the objective's shape rather than a participant; Model 2 contains Model 1 as the special case β = 0, so a better fit for Model 2 is guaranteed and therefore uninformative; and the predictions the paper tests are ordinal, so nothing about them turns on which setting is optimal. What we do instead is sample the parameter space — 1200 Latin-hypercube draws over the ranges of Table 1, 4000 trials per cell per model per draw — screen those draws against behavioral admissibility criteria stated in Materials and Methods (164 draws admissible for Model 1, 148 for Model 2), and report, for every effect, the range of magnitudes each model can produce over its admissible draws and the fraction of draws at which it produces the observed sign. The observed value and its between-participant interval are read against that range (Figure 7).</w:t>
        <w:br/>
        <w:br/>
        <w:t>The result is that behavior does not separate the two models and the muscle does. Every behavioral effect falls inside both models' ranges, and the two ranges are barely distinguishable from one another — the expected consequence of the derivation above. The delay-period partial-activation rate separates them: over its admissible draws Model 1's log-rate slope is centred near zero (median −0.02 s⁻¹) and Model 2's is positive (median +0.27), and no draw of Model 1 reaches the observed slope at any rate a participant showed. That is a property of Model 1 rather than an unlucky parameter setting, and the Appendix shows why in closed form: with no ramp, the delay-period rate can rise only as the variance of the maintenance fluctuation fills in, and the quantity that makes the rate rise is the same one that makes it small, so ramp and rate trade off against each other.</w:t>
      </w:r>
    </w:p>
    <w:p>
      <w:pPr>
        <w:spacing w:after="280"/>
      </w:pPr>
      <w:r>
        <w:rPr>
          <w:b/>
          <w:i/>
        </w:rPr>
        <w:t xml:space="preserve">Manuscript location: </w:t>
      </w:r>
      <w:r>
        <w:rPr>
          <w:b w:val="0"/>
          <w:i/>
        </w:rPr>
        <w:t>Results, the “Theoretical predictions” subsection of each window (the derivations, stated where they are used); Appendix, Corollary A.1 to Remark A.5 (the proofs); Materials and Methods, “Evaluation over the parameter space”; Results, the “Simulation validation” subsections; Figures 5–7; Discussion, the paragraph on what the modeling does and does not establish.</w:t>
      </w:r>
    </w:p>
    <w:p>
      <w:pPr>
        <w:spacing w:after="80"/>
      </w:pPr>
      <w:r>
        <w:rPr>
          <w:b/>
          <w:i w:val="0"/>
        </w:rPr>
        <w:t>C1.9 — Statistics in the text.</w:t>
      </w:r>
    </w:p>
    <w:p>
      <w:pPr>
        <w:spacing w:after="160"/>
        <w:ind w:left="504"/>
      </w:pPr>
      <w:r>
        <w:rPr>
          <w:i/>
        </w:rPr>
        <w:t>“In J Neurosci it is customary to present statistics in the results text instead of everything in a table.”</w:t>
      </w:r>
    </w:p>
    <w:p>
      <w:pPr>
        <w:spacing w:after="80"/>
      </w:pPr>
      <w:r>
        <w:rPr>
          <w:b/>
        </w:rPr>
        <w:t xml:space="preserve">Response. </w:t>
      </w:r>
      <w:r>
        <w:t>Exact test statistics (F, df, p, ηp²) are now reported inline in the Results text throughout, in addition to the summary tables.</w:t>
      </w:r>
    </w:p>
    <w:p>
      <w:pPr>
        <w:spacing w:after="280"/>
      </w:pPr>
      <w:r>
        <w:rPr>
          <w:b/>
          <w:i/>
        </w:rPr>
        <w:t xml:space="preserve">Manuscript location: </w:t>
      </w:r>
      <w:r>
        <w:rPr>
          <w:i/>
        </w:rPr>
        <w:t>Results, throughout.</w:t>
      </w:r>
    </w:p>
    <w:p>
      <w:r>
        <w:br w:type="page"/>
      </w:r>
    </w:p>
    <w:p>
      <w:pPr>
        <w:pStyle w:val="Heading1"/>
      </w:pPr>
      <w:r>
        <w:t>Reviewer 2</w:t>
      </w:r>
    </w:p>
    <w:p>
      <w:pPr>
        <w:spacing w:after="80"/>
      </w:pPr>
      <w:r>
        <w:rPr>
          <w:b/>
          <w:i w:val="0"/>
        </w:rPr>
        <w:t>C2.1 — Simulate the model; show the predictions hold across parameters.</w:t>
      </w:r>
    </w:p>
    <w:p>
      <w:pPr>
        <w:spacing w:after="160"/>
        <w:ind w:left="504"/>
      </w:pPr>
      <w:r>
        <w:rPr>
          <w:i/>
        </w:rPr>
        <w:t>“the predictions in Fig. 1 are qualitative rather than quantitative and seem to be based on simple drawings of hypothetical scenarios rather than simulations of actual models. This does not hold up to the standards of the field of decision neuroscience. The authors should implement and simulate their extended model and show that the main qualitative predictions hold across a range of parameters.”</w:t>
      </w:r>
    </w:p>
    <w:p>
      <w:pPr>
        <w:spacing w:after="80"/>
      </w:pPr>
      <w:r>
        <w:rPr>
          <w:b/>
          <w:i w:val="0"/>
        </w:rPr>
        <w:t xml:space="preserve">Response. </w:t>
      </w:r>
      <w:r>
        <w:rPr>
          <w:i w:val="0"/>
        </w:rPr>
        <w:t>Figure 1 no longer schematizes the hypotheses: it shows simulated dynamics of the two models. On the second half of the comment — that the qualitative predictions should be shown to hold across a range of parameters — the manuscript now does both halves of what the reviewer asks, in the order that lets each carry its own weight.</w:t>
        <w:br/>
        <w:br/>
        <w:t>Each prediction is first derived from the model equations, in the Results where it is used, with the heavier proofs in the Appendix. A derivation establishes an ordering at every parameter setting for which its premises hold, which is more than a demonstration that the ordering held at a sample of settings, and it makes visible which structural feature the prediction depends on.</w:t>
        <w:br/>
        <w:br/>
        <w:t>The predictions are then evaluated over the parameter space, which supplies the size a derivation cannot. We draw 1200 parameter vectors by Latin-hypercube sampling over the ranges of Table 1, simulate 4000 trials per cell per model per draw, and retain the draws that meet behavioral admissibility criteria (164 for Model 1, 148 for Model 2). For every effect we report the range of magnitudes each model produces over its admissible draws, and the fraction of draws at which it produces the observed sign, against the observed value and its between-participant interval (Figure 7).</w:t>
        <w:br/>
        <w:br/>
        <w:t>On three effects the evaluation is the substance of the answer rather than a confirmation. The stimulus-period duration effect on partial-activation rate is +0.057 ± 0.015 s⁻¹ in the data; Model 1 produces the opposite sign at 95% of its admissible draws and the observed sign at none, which excludes it on the stimulus period alone. The delay-period ramp and the rate at which partial activations occur have to be produced together; sixteen draws of Model 2 do so and no draw of Model 1 does, and the Appendix computes the frontier that explains why. And on one effect the evaluation shows both models to be wrong: the coherence × duration interaction on delay-period rate is +0.107 ± 0.051 s⁻¹ in the data, and runs in the observed direction at 4% of Model 1's admissible draws and 7% of Model 2's, against the opposite direction at 85% and 87%. We report that as a disagreement between the model and the data rather than as a parameter choice some other setting would repair. It also resolves a tension the original submission carried without remarking on it: coherence-related differences in the maintained level were said to shrink after a long stimulus in the Results, for PMET and RT, and to grow after a long stimulus in the Discussion, for delay-period rate. The saturation of the maintained level predicts the first; we have withdrawn the second, and no longer read that interaction as evidence for Model 2 over Model 1.</w:t>
        <w:br/>
        <w:br/>
        <w:t>We have also tried to be exact about the scope of each derivation. Some results are exact (accuracy is exactly one half at zero coherence whatever the duration; the final response-locked bin is empty by definition). The saturation result is conditional, and we state the condition. After the response signal the response criterion becomes an absorbing barrier and the Gaussian structure the delay-period derivation relies on is destroyed, so that window is constrained through the two components of response time rather than through a simulated rate curve; we say so rather than implying more.</w:t>
      </w:r>
    </w:p>
    <w:p>
      <w:pPr>
        <w:spacing w:after="280"/>
      </w:pPr>
      <w:r>
        <w:rPr>
          <w:b/>
          <w:i/>
        </w:rPr>
        <w:t xml:space="preserve">Manuscript location: </w:t>
      </w:r>
      <w:r>
        <w:rPr>
          <w:b w:val="0"/>
          <w:i/>
        </w:rPr>
        <w:t>Figure 1; Results, the “Theoretical predictions” and “Simulation validation” subsections of each window; Appendix; Materials and Methods, “Evaluation over the parameter space”; Figures 5–7.</w:t>
      </w:r>
    </w:p>
    <w:p>
      <w:pPr>
        <w:spacing w:after="80"/>
      </w:pPr>
      <w:r>
        <w:rPr>
          <w:b/>
          <w:i w:val="0"/>
        </w:rPr>
        <w:t>C2.2 — The specific ordering in Fig. 1.</w:t>
      </w:r>
    </w:p>
    <w:p>
      <w:pPr>
        <w:spacing w:after="160"/>
        <w:ind w:left="504"/>
      </w:pPr>
      <w:r>
        <w:rPr>
          <w:i/>
        </w:rPr>
        <w:t>“the slopes of the accumulator dynamics for the two motion coherence conditions are unknown, only their ordering can be safely assumed. Thus, it is not clear whether a long low-coherence stimulus yields a larger cumulative signal than a short high-coherence stimulus, as indicated in Fig. 1.”</w:t>
      </w:r>
    </w:p>
    <w:p>
      <w:pPr>
        <w:spacing w:after="80"/>
      </w:pPr>
      <w:r>
        <w:rPr>
          <w:b/>
          <w:i w:val="0"/>
        </w:rPr>
        <w:t xml:space="preserve">Response. </w:t>
      </w:r>
      <w:r>
        <w:rPr>
          <w:b w:val="0"/>
          <w:i w:val="0"/>
        </w:rPr>
        <w:t>Figure 1 has been replaced: it now shows the two models' simulated trajectories at a representative admissible parameter vector rather than a schematic ordering. But replacing a drawing with a simulation only relocates the assumption into one parameter vector, so the quantitative answer is better given directly. The reviewer's premise is right — the ordering between a long low-coherence stimulus and a short high-coherence one cannot be assumed — and the account does not need it. The maintained level is capped at the internal threshold θ (Equation 4): a trial whose first accumulation reaches θ holds θ for the rest of the delay whatever its coherence or duration, and a longer stimulus raises the proportion of such trials at every coherence. The two conditions the reviewer contrasts are therefore both near the cap, and their ordering is close to a tie. What the paper rests on is that saturation, which is itself testable: it predicts a coherence effect on response time larger after a short stimulus than after a long one, which the data show, and a coherence effect on delay-period partial-activation rate that shrinks after a long stimulus, which they do not (see C2.1). Nothing in the paper's conclusions depends on the ordering the reviewer questioned.</w:t>
      </w:r>
    </w:p>
    <w:p>
      <w:pPr>
        <w:spacing w:after="280"/>
      </w:pPr>
      <w:r>
        <w:rPr>
          <w:b/>
          <w:i/>
        </w:rPr>
        <w:t xml:space="preserve">Manuscript location: </w:t>
      </w:r>
      <w:r>
        <w:rPr>
          <w:b w:val="0"/>
          <w:i/>
        </w:rPr>
        <w:t>Figure 1 and its legend; Results, Behavior &gt; Theoretical predictions and Delay-locked &gt; Theoretical predictions; Appendix, Proposition A.2.</w:t>
      </w:r>
    </w:p>
    <w:p>
      <w:pPr>
        <w:spacing w:after="280"/>
        <w:ind w:left="216"/>
      </w:pPr>
      <w:r>
        <w:rPr>
          <w:b w:val="0"/>
          <w:i/>
        </w:rPr>
        <w:t>[NOTE INTERNE — ne pas envoyer telle quelle] Les chiffres du calibrage (0.0702 / 0.0694 contre θ = 0.0707) ont été retirés : il n'y a plus de calibrage dans le manuscrit, et ils ne correspondent à rien qu'un lecteur puisse retrouver. L'argument repose désormais sur la saturation seule, qui est démontrée.</w:t>
      </w:r>
    </w:p>
    <w:p>
      <w:pPr>
        <w:spacing w:after="80"/>
      </w:pPr>
      <w:r>
        <w:rPr>
          <w:b/>
          <w:i w:val="0"/>
        </w:rPr>
        <w:t>C2.3 — Leak.</w:t>
      </w:r>
    </w:p>
    <w:p>
      <w:pPr>
        <w:spacing w:after="160"/>
        <w:ind w:left="504"/>
      </w:pPr>
      <w:r>
        <w:rPr>
          <w:i/>
        </w:rPr>
        <w:t>“This is even more true once a non-zero leak is introduced in the integrator, as in generalized diffusion models.”</w:t>
      </w:r>
    </w:p>
    <w:p>
      <w:pPr>
        <w:spacing w:after="80"/>
      </w:pPr>
      <w:r>
        <w:rPr>
          <w:b/>
          <w:i w:val="0"/>
        </w:rPr>
        <w:t xml:space="preserve">Response. </w:t>
      </w:r>
      <w:r>
        <w:rPr>
          <w:i w:val="0"/>
        </w:rPr>
        <w:t>The reviewer is right, and we have answered the point in two ways, because they answer different halves of it.</w:t>
        <w:br/>
        <w:br/>
        <w:t>Structurally, adding a leak to the decision variable changes none of the derivations, since none of them uses leak-freeness. Two are worth spelling out. Discriminability at the end of a stimulus of length t is, under a leaky accumulator with leak γ, equal to (kc/σ)√(2/γ)·√(u/(2−u)) with u = 1 − e^(−γt); this increases in coherence, increases in duration through u, is exactly one half at c = 0 by symmetry, and reduces to kc√t/σ as γ → 0. So the accuracy predictions are leak-proof for any leak rate. The response-time predictions require only that the drift of the second accumulation be the same in every condition (Equation 8), so that coherence and duration act on response time through the maintained level alone, and that the maintained level be capped at the internal threshold (Equation 4); a leak alters the mapping from coherence to the maintained level but leaves both properties intact. The delay-period results are untouched for a third reason: they concern the fluctuation of the motor-preparatory signal about the maintained level after motion accumulation has stopped, and the frontier that excludes Model 1 maximizes over the distance from that level to the gate and over the mixing weights across trials — which is precisely where any change to the first accumulation would appear. A leak cannot move it.</w:t>
        <w:br/>
        <w:br/>
        <w:t>Numerically, we re-ran the parameter-space evaluation at leak rates of 0.25, 0.50 and 1.00 s⁻¹ on the decision variable, over exactly the draws admissible at zero leak and with the same parameter vectors and the same 4000 trials per cell. Nothing directional moves. The coherence and the duration effect on response time keep the observed sign at 139 to 141 of Model 2's 148 draws at every leak rate, against 139 and 138 at zero leak. Model 2 produces all six delay-period cell slopes significantly positive at 75 to 80 draws, against 76 at zero leak. Model 1 does so at none of its draws, at any leak rate, as at zero leak. What does erode, mildly, is admissibility itself: 164 of Model 1's draws and 148 of Model 2's are admissible at zero leak, and 144 and 131 at the largest leak. The draws that drop out are those with the smallest ratio of drift to threshold, kc/θ, which is what the mechanism predicts — a leak caps the accumulator at kc/γ, and once that asymptote approaches θ the threshold stops being reached. That ratio is the criterion for when a leak can matter at all, and over the admissible draws its smallest value at 50% coherence is 1.5 s⁻¹, above the largest rate we tested.</w:t>
        <w:br/>
        <w:br/>
        <w:t>It is worth adding, as the reviewer implicitly does, that the models already contain a first-order filter between accumulator and muscle, which is a leak on the transmitted signal, and an Ornstein–Uhlenbeck process during the delay, which is mean-reversion of the maintenance fluctuation. Neither is what the comment asks for. The leak on the decision variable itself is the one addressed above.</w:t>
      </w:r>
    </w:p>
    <w:p>
      <w:pPr>
        <w:spacing w:after="280"/>
      </w:pPr>
      <w:r>
        <w:rPr>
          <w:b/>
          <w:i/>
        </w:rPr>
        <w:t xml:space="preserve">Manuscript location: </w:t>
      </w:r>
      <w:r>
        <w:rPr>
          <w:b w:val="0"/>
          <w:i/>
        </w:rPr>
        <w:t>Materials and Methods, Theory (Equations 1–8); Results, the “Theoretical predictions” subsections, none of which uses leak-freeness; Appendix, Corollary A.3. The leak rates are reported here rather than in the manuscript; the code and the output are in the deposited archive (scripts/leak_sweep.py, scripts/results/leak/).</w:t>
      </w:r>
    </w:p>
    <w:p>
      <w:pPr>
        <w:spacing w:after="80"/>
      </w:pPr>
      <w:r>
        <w:rPr>
          <w:b/>
          <w:i w:val="0"/>
        </w:rPr>
        <w:t>C2.4 — What is accumulated in the second phase.</w:t>
      </w:r>
    </w:p>
    <w:p>
      <w:pPr>
        <w:spacing w:after="160"/>
        <w:ind w:left="504"/>
      </w:pPr>
      <w:r>
        <w:rPr>
          <w:i/>
        </w:rPr>
        <w:t>“the response signal is unambiguous and presented at fixation, leaving no sensory evidence to be accumulated before it can be detected even in the presence of strong internal noise. This aspect should be unpacked.”</w:t>
      </w:r>
    </w:p>
    <w:p>
      <w:pPr>
        <w:spacing w:after="80"/>
      </w:pPr>
      <w:r>
        <w:rPr>
          <w:b/>
          <w:i w:val="0"/>
        </w:rPr>
        <w:t xml:space="preserve">Response. </w:t>
      </w:r>
      <w:r>
        <w:rPr>
          <w:b w:val="0"/>
          <w:i w:val="0"/>
        </w:rPr>
        <w:t>We considered renaming this stage but have kept “second accumulation phase.” The reviewer is right that the response signal itself carries no directional evidence to resolve, but we intend the second phase as accumulation of the perceptual evidence that the signal is present and has been detected — a well-established construct in the one-choice/detection literature (e.g., Ratcliff &amp; Van Dongen, 2011; Smith, 1995), and distinct from the motion-discrimination accumulation of the first phase. The model uses exactly two properties of this stage: the drive is condition-independent (Equation 8), which places all condition effects on PMET into the starting point, and its increments are independent, which is what makes MET invariant across conditions. Nothing in the model depends on the signal carrying directional evidence, so the reviewer’s objection bears on the name we gave this stage, not on the mechanism itself, which would be unchanged under any label.</w:t>
      </w:r>
    </w:p>
    <w:p>
      <w:pPr>
        <w:spacing w:after="280"/>
      </w:pPr>
      <w:r>
        <w:rPr>
          <w:b/>
          <w:i/>
        </w:rPr>
        <w:t xml:space="preserve">Manuscript location: </w:t>
      </w:r>
      <w:r>
        <w:rPr>
          <w:i/>
        </w:rPr>
        <w:t>Introduction; Materials and Methods, model description (response-signal accumulator).</w:t>
      </w:r>
    </w:p>
    <w:p>
      <w:pPr>
        <w:spacing w:after="280"/>
        <w:ind w:left="216"/>
      </w:pPr>
      <w:r>
        <w:rPr>
          <w:b/>
          <w:color w:val="C05000"/>
        </w:rPr>
        <w:t xml:space="preserve">[NOTE INTERNE — ne pas envoyer telle quelle] </w:t>
      </w:r>
      <w:r>
        <w:rPr>
          <w:color w:val="C05000"/>
        </w:rPr>
        <w:t>Décision explicite de l'utilisateur de NE PAS renommer — la réponse ci-dessus défend la formulation actuelle. À relire pour vérifier que l'argumentaire vous convient avant envoi.</w:t>
      </w:r>
    </w:p>
    <w:p>
      <w:pPr>
        <w:spacing w:after="80"/>
      </w:pPr>
      <w:r>
        <w:rPr>
          <w:b/>
          <w:i w:val="0"/>
        </w:rPr>
        <w:t>C2.5 — Scholarship: motor and premotor circuits.</w:t>
      </w:r>
    </w:p>
    <w:p>
      <w:pPr>
        <w:spacing w:after="160"/>
        <w:ind w:left="504"/>
      </w:pPr>
      <w:r>
        <w:rPr>
          <w:i/>
        </w:rPr>
        <w:t>“studies from the lab of Karel Svoboda have consistently identified a ‘ramping mode’ of non-selective drive of mouse (pre)motor cortex [...] both the Svoboda work in mice as well as work in monkey indicate that effector-selective motor preparatory activity and activity driving motor execution ‘live’ in different subspaces.”</w:t>
      </w:r>
    </w:p>
    <w:p>
      <w:pPr>
        <w:spacing w:after="80"/>
      </w:pPr>
      <w:r>
        <w:rPr>
          <w:b/>
        </w:rPr>
        <w:t xml:space="preserve">Response. </w:t>
      </w:r>
      <w:r>
        <w:t>The Introduction already related the model’s architecture to this literature: a selective maintained level that carries the choice and does not by itself trigger movement, and a non-selective drive released at the response signal — corresponding, respectively, to the non-selective ramping mode reported in mouse motor circuits and to the output-null/output-potent subspace separation described in primate motor cortex (Inagaki et al., 2022; Churchland &amp; Shenoy, 2024). We have now added a sentence in the Discussion making this correspondence explicit at the point where the EMG evidence for it is presented: the effector-selective PMAs sustained through the delay, followed by a non-selective, response-signal-triggered drive to response, are the empirical counterpart of that architecture.</w:t>
      </w:r>
    </w:p>
    <w:p>
      <w:pPr>
        <w:spacing w:after="280"/>
      </w:pPr>
      <w:r>
        <w:rPr>
          <w:b/>
          <w:i/>
        </w:rPr>
        <w:t xml:space="preserve">Manuscript location: </w:t>
      </w:r>
      <w:r>
        <w:rPr>
          <w:i/>
        </w:rPr>
        <w:t>Introduction (model-architecture paragraph); Discussion (PMA-architecture paragraph).</w:t>
      </w:r>
    </w:p>
    <w:p>
      <w:pPr>
        <w:spacing w:after="80"/>
      </w:pPr>
      <w:r>
        <w:rPr>
          <w:b/>
          <w:i w:val="0"/>
        </w:rPr>
        <w:t>C2.6 — Writing: abbreviations and placement of the reasoning.</w:t>
      </w:r>
    </w:p>
    <w:p>
      <w:pPr>
        <w:spacing w:after="160"/>
        <w:ind w:left="504"/>
      </w:pPr>
      <w:r>
        <w:rPr>
          <w:i/>
        </w:rPr>
        <w:t>“the text contains a large number of abbreviations, many of which are non-standard [...] much of the key reasoning underlying the hypotheses is folded into the EMG part of the Methods section.”</w:t>
      </w:r>
    </w:p>
    <w:p>
      <w:pPr>
        <w:spacing w:after="80"/>
      </w:pPr>
      <w:r>
        <w:rPr>
          <w:b/>
          <w:i w:val="0"/>
        </w:rPr>
        <w:t xml:space="preserve">Response. </w:t>
      </w:r>
      <w:r>
        <w:rPr>
          <w:b w:val="0"/>
          <w:i w:val="0"/>
        </w:rPr>
        <w:t>We have defined every heavily used abbreviation (RS, PMA, LRP, MBL) at its true first occurrence in the running text; several had previously been used well before being spelled out, including PMA, which was not introduced as an abbreviation anywhere in the body text despite being used from its first Results subheading onward. We have not removed these abbreviations, since RS, PMA, PMET, MET, MBL, and LRP each occur between 13 and 94 times and are standard shorthand in this literature; spelling them out throughout would add length without adding clarity. On placement of the reasoning: it has since been moved out of Methods altogether. Results is organized by analysis window, and each window opens with a “Theoretical predictions” subsection that derives what the two models predict there from the model equations, immediately before the data that test it.</w:t>
      </w:r>
    </w:p>
    <w:p>
      <w:pPr>
        <w:spacing w:after="280"/>
      </w:pPr>
      <w:r>
        <w:rPr>
          <w:b/>
          <w:i/>
          <w:color w:val="1F4E9E"/>
        </w:rPr>
        <w:t>Manuscript location: Introduction (“a response-signal (RS) variant”); Materials and Methods, “EMG-derived measures” (“Partial muscle activations (PMAs)”) and “Measurement of motor preparation EEG signals” (“(LRP)” and “(MBL)”).</w:t>
      </w:r>
    </w:p>
    <w:p>
      <w:pPr>
        <w:spacing w:after="80"/>
      </w:pPr>
      <w:r>
        <w:rPr>
          <w:b/>
          <w:i w:val="0"/>
        </w:rPr>
        <w:t>C2.7 — Broader evidence on selective motor preparation.</w:t>
      </w:r>
    </w:p>
    <w:p>
      <w:pPr>
        <w:spacing w:after="160"/>
        <w:ind w:left="504"/>
      </w:pPr>
      <w:r>
        <w:rPr>
          <w:i/>
        </w:rPr>
        <w:t>“p. 21, l. 418 [...] I suggest to extend it by also incorporating the accumulation of sensory evidence in other formats and to animal work.”</w:t>
      </w:r>
    </w:p>
    <w:p>
      <w:pPr>
        <w:spacing w:after="80"/>
      </w:pPr>
      <w:r>
        <w:rPr>
          <w:b/>
        </w:rPr>
        <w:t xml:space="preserve">Response. </w:t>
      </w:r>
      <w:r>
        <w:t>We have added a citation to non-human-primate reaching decisions alongside the existing citations for evidence accumulation at the motor-preparatory level (Cisek &amp; Kalaska, 2005).</w:t>
      </w:r>
    </w:p>
    <w:p>
      <w:pPr>
        <w:spacing w:after="280"/>
      </w:pPr>
      <w:r>
        <w:rPr>
          <w:b/>
          <w:i/>
        </w:rPr>
        <w:t xml:space="preserve">Manuscript location: </w:t>
      </w:r>
      <w:r>
        <w:rPr>
          <w:i/>
        </w:rPr>
        <w:t>Discussion, PMA-architecture paragraph.</w:t>
      </w:r>
    </w:p>
    <w:p>
      <w:pPr>
        <w:spacing w:after="280"/>
        <w:ind w:left="216"/>
      </w:pPr>
      <w:r>
        <w:rPr>
          <w:b/>
          <w:color w:val="C05000"/>
        </w:rPr>
        <w:t xml:space="preserve">[NOTE INTERNE — ne pas envoyer telle quelle] </w:t>
      </w:r>
      <w:r>
        <w:rPr>
          <w:color w:val="C05000"/>
        </w:rPr>
        <w:t>Traitement partiel — seul le volet « animal work » est couvert. Le volet « autres formats sensoriels » (accumulation de preuves auditives, tactiles, etc.) n'est PAS traité. Voir « Note pour les auteurs ».</w:t>
      </w:r>
    </w:p>
    <w:p>
      <w:r>
        <w:br w:type="page"/>
      </w:r>
    </w:p>
    <w:p>
      <w:pPr>
        <w:pStyle w:val="Heading1"/>
      </w:pPr>
      <w:r>
        <w:t>Editorial Note</w:t>
      </w:r>
    </w:p>
    <w:p>
      <w:pPr>
        <w:spacing w:after="80"/>
      </w:pPr>
      <w:r>
        <w:rPr>
          <w:b/>
          <w:i w:val="0"/>
        </w:rPr>
        <w:t>Editorial note.</w:t>
      </w:r>
    </w:p>
    <w:p>
      <w:pPr>
        <w:spacing w:after="160"/>
        <w:ind w:left="504"/>
      </w:pPr>
      <w:r>
        <w:rPr>
          <w:i/>
        </w:rPr>
        <w:t>“in framing the dynamic regulation of action during working memory and decision making, the authors may also wish to consider other work by van Ede.”</w:t>
      </w:r>
    </w:p>
    <w:p>
      <w:pPr>
        <w:spacing w:after="80"/>
      </w:pPr>
      <w:r>
        <w:rPr>
          <w:b/>
        </w:rPr>
        <w:t xml:space="preserve">Response. </w:t>
      </w:r>
      <w:r>
        <w:t>Added a citation to van Ede &amp; Nobre (2023) in the Introduction, in the context of accounts of working memory as action-oriented.</w:t>
      </w:r>
    </w:p>
    <w:p>
      <w:pPr>
        <w:spacing w:after="280"/>
      </w:pPr>
      <w:r>
        <w:rPr>
          <w:b/>
          <w:i/>
        </w:rPr>
        <w:t xml:space="preserve">Manuscript location: </w:t>
      </w:r>
      <w:r>
        <w:rPr>
          <w:i/>
        </w:rPr>
        <w:t>Introduction, model-architecture paragraph.</w:t>
      </w:r>
    </w:p>
    <w:p>
      <w:r>
        <w:br w:type="page"/>
      </w:r>
    </w:p>
    <w:p>
      <w:pPr>
        <w:pStyle w:val="Heading1"/>
      </w:pPr>
      <w:r>
        <w:t>Additional changes made on our own initiative</w:t>
      </w:r>
    </w:p>
    <w:p>
      <w:pPr>
        <w:spacing w:after="160"/>
      </w:pPr>
      <w:r>
        <w:rPr>
          <w:b w:val="0"/>
          <w:i w:val="0"/>
        </w:rPr>
        <w:t>In preparing this revision we identified three further issues in the original submission, none of which either reviewer raised, but which we think are better disclosed here than left for a reader to discover independently — the data and analysis code are public.</w:t>
      </w:r>
    </w:p>
    <w:p>
      <w:pPr>
        <w:spacing w:after="80"/>
      </w:pPr>
      <w:r>
        <w:rPr>
          <w:b/>
          <w:i w:val="0"/>
        </w:rPr>
        <w:t>Volunteered 1 — an unremarked significant effect.</w:t>
      </w:r>
    </w:p>
    <w:p>
      <w:pPr>
        <w:spacing w:after="80"/>
      </w:pPr>
      <w:r>
        <w:rPr>
          <w:b/>
        </w:rPr>
        <w:t xml:space="preserve">Response. </w:t>
      </w:r>
      <w:r>
        <w:t>The main effect of duration on onset-locked (stimulus-period) partial-activation rate was significant with a large effect size and appeared in the summary tables, but no sentence of the original Results or Discussion referred to it. We have added a sentence reporting it; the theory explains it with no additional assumption, as the average counterpart of the duration × time interaction already discussed.</w:t>
      </w:r>
    </w:p>
    <w:p>
      <w:pPr>
        <w:spacing w:after="280"/>
      </w:pPr>
      <w:r>
        <w:rPr>
          <w:b/>
          <w:i/>
        </w:rPr>
        <w:t xml:space="preserve">Manuscript location: </w:t>
      </w:r>
      <w:r>
        <w:rPr>
          <w:i/>
        </w:rPr>
        <w:t>Results, PMA-rate stimulus-period paragraph.</w:t>
      </w:r>
    </w:p>
    <w:p>
      <w:pPr>
        <w:spacing w:after="80"/>
      </w:pPr>
      <w:r>
        <w:rPr>
          <w:b/>
          <w:i w:val="0"/>
        </w:rPr>
        <w:t>Volunteered 2 — a two-phase mu-beta lateralization buildup.</w:t>
      </w:r>
    </w:p>
    <w:p>
      <w:pPr>
        <w:spacing w:after="80"/>
      </w:pPr>
      <w:r>
        <w:rPr>
          <w:b/>
        </w:rPr>
        <w:t xml:space="preserve">Response. </w:t>
      </w:r>
      <w:r>
        <w:t>As originally written, the claim that mu-beta lateralization shows a coherence-dependent buildup rate across the whole stimulus period was not fully accurate: the coherence-dependent trend is present only in approximately the first second of stimulation and is extinguished thereafter, as coherence-dependent trajectories converge on a common sustained level. We have restated the finding in two phases and added a split-half analysis confirming the pattern directly; this is evidence for accumulation toward an internal threshold, not against it.</w:t>
      </w:r>
    </w:p>
    <w:p>
      <w:pPr>
        <w:spacing w:after="280"/>
      </w:pPr>
      <w:r>
        <w:rPr>
          <w:b/>
          <w:i/>
        </w:rPr>
        <w:t xml:space="preserve">Manuscript location: </w:t>
      </w:r>
      <w:r>
        <w:rPr>
          <w:i/>
        </w:rPr>
        <w:t>Results, MBL stimulus-period paragraph; Table S4; Table S5.</w:t>
      </w:r>
    </w:p>
    <w:p>
      <w:r>
        <w:rPr>
          <w:b/>
          <w:i w:val="0"/>
        </w:rPr>
        <w:t>Volunteered 3 — a post-submission correction to two exported data files.</w:t>
      </w:r>
    </w:p>
    <w:p>
      <w:r>
        <w:rPr>
          <w:b/>
          <w:i w:val="0"/>
        </w:rPr>
        <w:t xml:space="preserve">Response. </w:t>
      </w:r>
      <w:r>
        <w:rPr>
          <w:b w:val="0"/>
          <w:i w:val="0"/>
        </w:rPr>
        <w:t>After the original submission we found an error in the two exported electromyographic data files used for the response-signal and response periods, and all results reported for those periods reflect corrected exports. The error was in the export step, not in the recorded data or in the activation-detection procedure. Both files had been written with a 0.3-s window rather than the 0.2-s window specified in Materials and Methods, so each contained three 0.1-s bins per cell instead of two; and in the response-locked file the bins were referenced to the onset of the response-producing muscle burst rather than to the button press. The two bins actually analyzed in the original submission were consequently the second and third of those three, that is the interval from roughly 0.4 to 0.2 s before muscle-activation onset, rather than the 0.2 s immediately preceding the button press. The response-signal period was affected only by the window length and its results are essentially unchanged; the response period was affected by both, and its numbers change.</w:t>
        <w:br/>
        <w:t xml:space="preserve">The consequence for the response period is that the main effect of duration on partial-activation rate, null as originally analyzed (F(1,21) = 0.011, p = .919), is significant in the corrected export (F(1,21) = 7.61, p = .012, ηp² = 0.266), in the same direction as the response-signal period. A second consequence is structural rather than numerical, and explains why the manuscript now analyzes this period on one bin rather than two. Once the bins are correctly referenced to the button press, the final bin (−0.1 to 0 s) is exactly zero for every participant and every condition, and necessarily so: a partial muscle activation is by definition an activation preceding the response-producing burst, and that burst begins on average about 160 ms before the press. The manuscript states this as the structural fact it is, without recounting the correction; we describe the correction here so that a reader who re-runs the analysis from the originally deposited export, and obtains F = 0.011, can see why. </w:t>
      </w:r>
      <w:r>
        <w:rPr>
          <w:b w:val="0"/>
          <w:i w:val="0"/>
        </w:rPr>
        <w:t>No other period or dependent measure was affected, and the corrected exports replace the originals in the archive deposited with the paper.</w:t>
      </w:r>
    </w:p>
    <w:p>
      <w:r>
        <w:rPr>
          <w:b/>
          <w:i/>
        </w:rPr>
        <w:t xml:space="preserve">Manuscript location: </w:t>
      </w:r>
      <w:r>
        <w:rPr>
          <w:b w:val="0"/>
          <w:i/>
        </w:rPr>
        <w:t>Results, Response-locked &gt; Empirical results &gt; PMA rate; Materials and Methods, Statistical Analysis (final paragraph, the structurally empty final bin). The correction itself is documented here rather than in the manuscript.</w:t>
      </w:r>
    </w:p>
    <w:p>
      <w:pPr>
        <w:spacing w:after="280"/>
        <w:ind w:left="216"/>
      </w:pPr>
      <w:r>
        <w:rPr>
          <w:b/>
          <w:color w:val="C05000"/>
        </w:rPr>
        <w:t xml:space="preserve">[NOTE INTERNE — ne pas envoyer telle quelle] </w:t>
      </w:r>
      <w:r>
        <w:rPr>
          <w:color w:val="C05000"/>
        </w:rPr>
        <w:t>Vérifier avant envoi que l'archive OSF a bien été mise à jour avec les exports corrigés du 19/08 (PMA_rate_resp_JASP.csv et PMA_rate_rs_JASP.csv) : la phrase ci-dessus l'affirme au rapporteur. Sur le Mac, les fichiers du 05/08 sont conservés dans data/86cbw-osfstorage-archive/analysis_PMA/data/_superseded_aug5/.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