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which is not model fitting. The two models’ qualitative predictions are derived analytically from their architecture and proved in the Appendix;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pPr/>
      <w:r>
        <w:rPr>
          <w:b w:val="0"/>
          <w:i w:val="0"/>
          <w:color w:val="1F4E9E"/>
        </w:rPr>
        <w:t>The equations above were integrated numerically in Python (NumPy) by the explicit Euler–Maruyama scheme, at a fixed time step of 1/1024 s — the EMG and EEG acquisition rate (Methods, EMG acquisition and preprocessing) — so that the detection procedure below runs on the same time grid as the recorded signals. Each simulated trial yields one continuous trace of the gated drive, from stimulus onset to the earlier of the response or the trial's end; the response time is the first time step at which this drive reaches the response criterion, after which the fixed residual motor latency is added, as in the immediate-report architecture. Partial muscle activations are extracted from this trace by the same rule applied to the recorded EMG (Methods, EMG acquisition and preprocessing): the drive crossing above zero, merging of intervals separated by 25 ms or less, and discarding merged intervals with fewer than an adaptively set minimum of supra-threshold samples. The one part of that procedure not simulated is the integrated-profile boundary refinement, which relocates interval boundaries without changing their number, and only the number is used here. Trials are simulated independently per condition from a fixed pseudo-random seed, so every reported quantity is exactly reproducible.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the Appendix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 xml:space="preserve">What the evaluation reports is a range of effect sizes. For each effect, the distribution of that effect over a model’s admissible draws — its median and 5th to 95th percentile — </w:t>
      </w:r>
      <w:r>
        <w:rPr>
          <w:b w:val="0"/>
          <w:i w:val="0"/>
          <w:color w:val="1F4E9E"/>
        </w:rPr>
        <w:t>says what the architecture can produce, and is compared with the value observed in the data and its between-participant standard error. The observed value of each effect is formed WITHIN participant and averaged afterwards: the six coherence × duration cell values are computed for each of the 22 participants from that participant’s own trials, the contrast defining the effect is taken on those six numbers, and the 22 resulting contrasts are averaged, the standard error being their standard deviation divided by the square root of 22. Each model’s effect is formed by the same contrast on the six cell values of one admissible draw, a draw standing for one hypothetical participant. Trial count and parameter setting play different roles here: a draw's 4000 trials per cell sharpen the precision with which that setting's own value is estimated; they do not create additional hypothetical participants. Admissible draws differ from one another only in their sampled parameters, never in trial count, so the across-draw spread reported below is expected to reflect the parameter space rather than simulation noise, provided the latter is small next to it. This was checked directly for the delay-period log-rate slope (Results, Delay-locked): re-simulating admissible draws on several seeds and decomposing the variance attributes 19% of Model 1's total spread and 0.1% of Model 2's to Monte-Carlo noise, the rest genuinely between draws; the same trial count is used for every effect, though the decomposition was not repeated for each. Because the comparison below is with this across-draw range and not with a pooled point estimate, it asks whether any admissible setting reaches the observed value, not whether the sampled parameters reproduce the population distribution of individual differences --- which is also why an interval, not a mean and a standard error, is what is reported. The order matters for the delay-period log-rate slope, where the mean of the per-participant slopes is +0.892 s⁻¹ while the slope of the profile pooled across participants is +0.817 s⁻¹: pooling mixes participants whose rates differ by a factor of thirty, and a sum of exponentials is not an exponential. The per-participant quantity is the one reported and the one the bound of the Appendix is drawn against.</w:t>
      </w:r>
      <w:r>
        <w:rPr>
          <w:b w:val="0"/>
          <w:i w:val="0"/>
          <w:color w:val="1F4E9E"/>
        </w:rPr>
        <w:t xml:space="preserve"> The nine effects reported are the ones this paper's argument actually turns on, not an exhaustive catalogue of what six-cell contrasts could compute. A derivation gives a prediction's sign and shape, never its size, so an effect is worth reporting whenever the observed value's fit inside an architecture's producible range is not already settled --- whether or not the sign itself is. Three of the nine have a sign already settled, identically, for both architectures (Behavior, Theoretical predictions, above): the duration benefit on accuracy, the duration effect on response time, and its coherence interaction; kept because a shared sign says nothing about whether the observed SIZE is reached. A fourth, the coherence effect on the stimulus-period partial-activation rate, both models predict alike too, and is reported as a control, showing the two architectures describe that window equally well outside the one contrast on which they diverge (Stimulus-locked, above). Two more, the duration effects on premotor and on motor execution time, are likewise shared predictions of both models, reported together because together they are the claim that gives the response-time decomposition its meaning. The remaining three are where an architecture's sign is genuinely at stake: the duration effect on the stimulus-period rate, the one prediction outside the delay period on which the two models disagree; the coherence × duration interaction on the delay-period rate, the paper's acknowledged disagreement with the data; and the delay-period log-rate slope, on which the two architectures separate outright. A model whose range excludes the observed value is quantitatively inadequate on that effect whatever the sign of its prediction. </w:t>
      </w:r>
      <w:r>
        <w:rPr>
          <w:b w:val="0"/>
          <w:i w:val="0"/>
          <w:color w:val="1F4E9E"/>
        </w:rPr>
        <w:t>Figure S5 shows all nine.</w:t>
      </w:r>
    </w:p>
    <w:p w14:paraId="1E041236" w14:textId="77777777" w:rsidR="00205CBC" w:rsidRDefault="00000000">
      <w:r>
        <w:rPr>
          <w:b w:val="0"/>
          <w:i w:val="0"/>
          <w:color w:val="1F4E9E"/>
        </w:rPr>
        <w:t xml:space="preserve">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w:t>
      </w:r>
      <w:r>
        <w:rPr>
          <w:b w:val="0"/>
          <w:i w:val="0"/>
          <w:color w:val="1F4E9E"/>
        </w:rPr>
        <w:t>binomial for accuracy, Poisson</w:t>
      </w:r>
      <w:r>
        <w:rPr>
          <w:b w:val="0"/>
          <w:i w:val="0"/>
          <w:color w:val="1F4E9E"/>
        </w:rPr>
        <w:t xml:space="preserve">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w:t>
      </w:r>
      <w:r>
        <w:rPr>
          <w:b w:val="0"/>
          <w:i w:val="0"/>
          <w:color w:val="1F4E9E"/>
        </w:rPr>
        <w:t>and on one of the nine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the Appendix,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73212C5D" w14:textId="77777777" w:rsidR="00205CBC" w:rsidRDefault="00000000">
      <w:r>
        <w:rPr>
          <w:color w:val="1F4E9E"/>
        </w:rPr>
        <w:t xml:space="preserve">Behavior is where the two models are hardest to tell apart, and the reason is structural rather than empirical. The two architectures differ in exactly one term, the delay-period temporal-preparation ramp, whose magnitude </w:t>
      </w:r>
      <m:oMath>
        <m:r>
          <w:rPr>
            <w:rFonts w:ascii="Cambria Math" w:hAnsi="Cambria Math"/>
            <w:color w:val="1F4E9E"/>
          </w:rPr>
          <m:t xml:space="preserve">β</m:t>
        </m:r>
      </m:oMath>
      <w:r>
        <w:rPr>
          <w:color w:val="1F4E9E"/>
        </w:rPr>
        <w:t xml:space="preserve"> enters through </w:t>
      </w:r>
      <m:oMath>
        <m:r>
          <w:rPr>
            <w:rFonts w:ascii="Cambria Math" w:hAnsi="Cambria Math"/>
            <w:color w:val="1F4E9E"/>
          </w:rPr>
          <m:t xml:space="preserve">δ</m:t>
        </m:r>
        <m:r>
          <m:rPr>
            <m:nor/>
          </m:rPr>
          <w:rPr>
            <w:rFonts w:ascii="Cambria Math" w:hAnsi="Cambria Math"/>
            <w:color w:val="1F4E9E"/>
          </w:rPr>
          <m:t xml:space="preserve">=</m:t>
        </m:r>
        <m:sSub>
          <m:sSubPr>
            <m:ctrlPr/>
          </m:sSubPr>
          <m:e>
            <m:r>
              <w:rPr>
                <w:rFonts w:ascii="Cambria Math" w:hAnsi="Cambria Math"/>
                <w:color w:val="1F4E9E"/>
              </w:rPr>
              <m:t xml:space="preserve">t</m:t>
            </m:r>
          </m:e>
          <m:sub>
            <m:r>
              <w:rPr>
                <w:rFonts w:ascii="Cambria Math" w:hAnsi="Cambria Math"/>
                <w:color w:val="1F4E9E"/>
              </w:rPr>
              <m:t xml:space="preserve">R</m:t>
            </m:r>
            <m:r>
              <w:rPr>
                <w:rFonts w:ascii="Cambria Math" w:hAnsi="Cambria Math"/>
                <w:color w:val="1F4E9E"/>
              </w:rPr>
              <m:t xml:space="preserve">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w:rPr>
                <w:rFonts w:ascii="Cambria Math" w:hAnsi="Cambria Math"/>
                <w:color w:val="1F4E9E"/>
              </w:rPr>
              <m:t xml:space="preserve">o</m:t>
            </m:r>
            <m:r>
              <w:rPr>
                <w:rFonts w:ascii="Cambria Math" w:hAnsi="Cambria Math"/>
                <w:color w:val="1F4E9E"/>
              </w:rPr>
              <m:t xml:space="preserve">f</m:t>
            </m:r>
            <m:r>
              <w:rPr>
                <w:rFonts w:ascii="Cambria Math" w:hAnsi="Cambria Math"/>
                <w:color w:val="1F4E9E"/>
              </w:rPr>
              <m:t xml:space="preserve">f</m:t>
            </m:r>
            <m:r>
              <w:rPr>
                <w:rFonts w:ascii="Cambria Math" w:hAnsi="Cambria Math"/>
                <w:color w:val="1F4E9E"/>
              </w:rPr>
              <m:t xml:space="preserve">s</m:t>
            </m:r>
            <m:r>
              <w:rPr>
                <w:rFonts w:ascii="Cambria Math" w:hAnsi="Cambria Math"/>
                <w:color w:val="1F4E9E"/>
              </w:rPr>
              <m:t xml:space="preserve">e</m:t>
            </m:r>
            <m:r>
              <w:rPr>
                <w:rFonts w:ascii="Cambria Math" w:hAnsi="Cambria Math"/>
                <w:color w:val="1F4E9E"/>
              </w:rPr>
              <m:t xml:space="preserve">t</m:t>
            </m:r>
          </m:sub>
        </m:sSub>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sSub>
          <m:sSubPr>
            <m:ctrlPr/>
          </m:sSubPr>
          <m:e>
            <m:r>
              <w:rPr>
                <w:rFonts w:ascii="Cambria Math" w:hAnsi="Cambria Math"/>
                <w:color w:val="1F4E9E"/>
              </w:rPr>
              <m:t xml:space="preserve">L</m:t>
            </m:r>
          </m:e>
          <m:sub>
            <m:r>
              <w:rPr>
                <w:rFonts w:ascii="Cambria Math" w:hAnsi="Cambria Math"/>
                <w:color w:val="1F4E9E"/>
              </w:rPr>
              <m:t xml:space="preserve">R</m:t>
            </m:r>
            <m:r>
              <w:rPr>
                <w:rFonts w:ascii="Cambria Math" w:hAnsi="Cambria Math"/>
                <w:color w:val="1F4E9E"/>
              </w:rPr>
              <m:t xml:space="preserve">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w:rPr>
                <w:rFonts w:ascii="Cambria Math" w:hAnsi="Cambria Math"/>
                <w:color w:val="1F4E9E"/>
              </w:rPr>
              <m:t xml:space="preserve">m</m:t>
            </m:r>
            <m:r>
              <w:rPr>
                <w:rFonts w:ascii="Cambria Math" w:hAnsi="Cambria Math"/>
                <w:color w:val="1F4E9E"/>
              </w:rPr>
              <m:t xml:space="preserve">o</m:t>
            </m:r>
            <m:r>
              <w:rPr>
                <w:rFonts w:ascii="Cambria Math" w:hAnsi="Cambria Math"/>
                <w:color w:val="1F4E9E"/>
              </w:rPr>
              <m:t xml:space="preserve">t</m:t>
            </m:r>
            <m:r>
              <w:rPr>
                <w:rFonts w:ascii="Cambria Math" w:hAnsi="Cambria Math"/>
                <w:color w:val="1F4E9E"/>
              </w:rPr>
              <m:t xml:space="preserve">i</m:t>
            </m:r>
            <m:r>
              <w:rPr>
                <w:rFonts w:ascii="Cambria Math" w:hAnsi="Cambria Math"/>
                <w:color w:val="1F4E9E"/>
              </w:rPr>
              <m:t xml:space="preserve">o</m:t>
            </m:r>
            <m:r>
              <w:rPr>
                <w:rFonts w:ascii="Cambria Math" w:hAnsi="Cambria Math"/>
                <w:color w:val="1F4E9E"/>
              </w:rPr>
              <m:t xml:space="preserve">n</m:t>
            </m:r>
          </m:sub>
        </m:sSub>
      </m:oMath>
      <w:r>
        <w:rPr>
          <w:color w:val="1F4E9E"/>
        </w:rPr>
        <w:t xml:space="preserve">. That quantity does not depend on stimulus duration, so the ramp contributes identically in all six coherence × duration cells and cannot by itself generate any effect of coherence, of duration, or of their interaction. Every behavioral prediction above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as predicted above — was +15 ± 8 ms, against 1 to 82 ms and 1 to 76 ms.</w:t>
      </w:r>
      <w:r>
        <w:rPr>
          <w:b w:val="0"/>
          <w:i w:val="0"/>
          <w:color w:val="1F4E9E"/>
        </w:rPr>
      </w:r>
      <w:r>
        <w:rPr>
          <w:b w:val="0"/>
          <w:i w:val="0"/>
          <w:color w:val="1F4E9E"/>
        </w:rPr>
        <w:t xml:space="preserve"> Each of these effects is significantly of the observed sign at 89% or more of each model’s admissible settings and </w:t>
      </w:r>
      <w:r>
        <w:rPr>
          <w:b w:val="0"/>
          <w:i w:val="0"/>
          <w:color w:val="1F4E9E"/>
        </w:rPr>
        <w:t>significantly against it at 3% or fewer.</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w:t>
      </w:r>
      <w:r>
        <w:rPr>
          <w:b w:val="0"/>
          <w:i w:val="0"/>
          <w:color w:val="1F4E9E"/>
        </w:rPr>
      </w:r>
      <w:r>
        <w:rPr>
          <w:b w:val="0"/>
          <w:i w:val="0"/>
          <w:color w:val="1F4E9E"/>
        </w:rPr>
        <w:t xml:space="preserve">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 The disagreement is one-sided, and is stated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The shared architecture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xml:space="preserve">, of a specific kind.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the architecture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the derivation says, but does not generally overturn it, </w:t>
      </w:r>
      <w:r>
        <w:rPr>
          <w:b w:val="0"/>
          <w:i w:val="0"/>
          <w:color w:val="1F4E9E"/>
        </w:rPr>
        <w:t>because the ramp’s size and the distance to the gate are independent parameters. Its largest value, +0.129 s⁻¹, is more than twice the observation, so the fact that the observed value falls outside its 5th to 95th percentile band is a statement about where the bulk of Model 2’s admissible space lies and not about what that space can reach.</w:t>
      </w:r>
      <w:r>
        <w:rPr>
          <w:b w:val="0"/>
          <w:i w:val="0"/>
          <w:color w:val="1F4E9E"/>
        </w:rPr>
        <w:t xml:space="preserve">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73212C5D" w14:textId="77777777" w:rsidR="00205CBC" w:rsidRDefault="00000000">
      <w:r>
        <w:rPr>
          <w:color w:val="1F4E9E"/>
        </w:rPr>
        <w:t xml:space="preserve">During the delay, a partial activation on the responding side is an upcrossing of the internal gate </w:t>
      </w:r>
      <m:oMath>
        <m:r>
          <w:rPr>
            <w:rFonts w:ascii="Cambria Math" w:hAnsi="Cambria Math"/>
            <w:color w:val="1F4E9E"/>
          </w:rPr>
          <m:t xml:space="preserve">g</m:t>
        </m:r>
      </m:oMath>
      <w:r>
        <w:rPr>
          <w:color w:val="1F4E9E"/>
        </w:rPr>
        <w:t xml:space="preserve"> by the maintained fluctuation </w:t>
      </w:r>
      <m:oMath>
        <m:r>
          <w:rPr>
            <w:rFonts w:ascii="Cambria Math" w:hAnsi="Cambria Math"/>
            <w:color w:val="1F4E9E"/>
          </w:rPr>
          <m:t xml:space="preserve">H</m:t>
        </m:r>
      </m:oMath>
      <w:r>
        <w:rPr>
          <w:color w:val="1F4E9E"/>
        </w:rPr>
        <w:t xml:space="preserve"> — the excursion of the preparatory signal around the level held since the first accumulation was stopped, still driven by the same noise process that generates within-trial fluctuations elsewhere in the model. The Appendix derives the resulting instantaneous rate in closed form from the Kac–Rice formula for the expected upcrossing rate of a differentiable Gaussian process, Equation (21), which assumes no stationarity. Where the fluctuation has reached stationarity that expression simplifies: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oMath>
      <w:r>
        <w:rPr>
          <w:color w:val="1F4E9E"/>
        </w:rPr>
        <w:t xml:space="preserve"> for the distance from the maintained level to the gate in units of the fluctuation’s standard deviation, </w:t>
      </w:r>
      <w:r>
        <w:rPr>
          <w:color w:val="1F4E9E"/>
        </w:rPr>
        <w:t xml:space="preserve"> and </w:t>
      </w:r>
      <m:oMath>
        <m:r>
          <w:rPr>
            <w:rFonts w:ascii="Cambria Math" w:hAnsi="Cambria Math"/>
            <w:color w:val="1F4E9E"/>
          </w:rPr>
          <m:t xml:space="preserve">ω</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oMath>
      <w:r>
        <w:rPr>
          <w:color w:val="1F4E9E"/>
        </w:rPr>
        <w:t xml:space="preserve"> for the fluctuation’s characteristic frequency, the rate is Equation (22):</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Model 1 — recovers the classical Rice formula, Equation (23), 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is attained when the gate sits exactly at the maintained level. That bound holds once the fluctuation is stationary. It does not hold before: while the variance is still filling in the ceiling is higher, because the fluctuation is smooth but its amplitude is small, and it is the non-stationary form (Appendix, A.1) that must be used at the slow mean reversion Model 1 needs for a rate still rising near the end of a 3-s delay. At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0.2</m:t>
        </m:r>
      </m:oMath>
      <w:r>
        <w:rPr>
          <w:color w:val="1F4E9E"/>
        </w:rPr>
        <w:t xml:space="preserve"> s⁻¹ the variance is a quarter of its stationary value when the window opens and about seven-tenths when it closes, and the ceiling computed from the kernel is about twice the stationary expression. Even so it is small: 0.9 s⁻¹ across the range of </w:t>
      </w:r>
      <m:oMath>
        <m:r>
          <w:rPr>
            <w:rFonts w:ascii="Cambria Math" w:hAnsi="Cambria Math"/>
            <w:color w:val="1F4E9E"/>
          </w:rPr>
          <m:t xml:space="preserve">λ</m:t>
        </m:r>
      </m:oMath>
      <w:r>
        <w:rPr>
          <w:color w:val="1F4E9E"/>
        </w:rPr>
        <w:t xml:space="preserve"> in Table A1, against an observed end-of-delay rate of 1.45 s⁻¹.</w:t>
      </w:r>
    </w:p>
    <w:p w14:paraId="73212C5D" w14:textId="77777777" w:rsidR="00205CBC" w:rsidRDefault="00000000">
      <w:r>
        <w:rPr>
          <w:color w:val="1F4E9E"/>
        </w:rPr>
        <w:t xml:space="preserve">That ceiling, however, is not the constraint that binds. It is attained only when the maintained level sits exactly at the gate, and at that distance the rate is not rising but falling: the variance transient that produces any ramp at all under Model 1 raises the rate only where the signal is more than one fluctuation standard deviation from the gate, and by (23) each further standard deviation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therefore governed by the same quantity in opposite directions (Corollary A.5), and the question is not whether Model 1 can produce either but whether it can produce both at once.</w:t>
      </w:r>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(the Appendix, A.7). Two properties of the calculation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A.8). And the two effects it does not model — the merging of nearby crossings into one detected activation, and the absorption of trials that reach the response criterion — both act to lower the measured slope, not to raise it (A.10).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A.5). Bounding the ramp at three fluctuation standard deviations over the analyzed window — near the 97th percentile of the ramps the admissibility screen accepts, whose median is 0.39 and whose maximum is 8.4, so that 4% of admissible draws exceed the cap —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73212C5D" w14:textId="77777777" w:rsidR="00205CBC" w:rsidRDefault="00000000">
      <w:r>
        <w:rPr>
          <w:color w:val="1F4E9E"/>
        </w:rPr>
        <w:t xml:space="preserve">A second, independent exclusion follows from the same calculation, and it constrains the SHAPE of the delay-period rate curve rather than its height. Under Model 1 the ramp is carried entirely by the filling-in of the maintenance variance, and that process decelerates: by Corollary A.9 the relative rate of variance growth is </w:t>
      </w:r>
      <m:oMath>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oMath>
      <w:r>
        <w:rPr>
          <w:color w:val="1F4E9E"/>
        </w:rPr>
        <w:t xml:space="preserve">, which is bounded above by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whatever </w:t>
      </w:r>
      <m:oMath>
        <m:r>
          <w:rPr>
            <w:rFonts w:ascii="Cambria Math" w:hAnsi="Cambria Math"/>
            <w:color w:val="1F4E9E"/>
          </w:rPr>
          <m:t xml:space="preserve">κ</m:t>
        </m:r>
      </m:oMath>
      <w:r>
        <w:rPr>
          <w:color w:val="1F4E9E"/>
        </w:rPr>
        <w:t xml:space="preserve">, so the local log-rate slope must fall by at least a factor of 3.6 between the start and the end of the analyzed window, and in fact by a factor of at least 15 everywhere in the sampled ranges. Model 2 is under no such constraint: by (24) its slope is </w:t>
      </w:r>
      <m:oMath>
        <m:r>
          <w:rPr>
            <w:rFonts w:ascii="Cambria Math" w:hAnsi="Cambria Math"/>
            <w:color w:val="1F4E9E"/>
          </w:rPr>
          <m:t xml:space="preserve">b</m:t>
        </m:r>
        <m:r>
          <m:rPr>
            <m:nor/>
          </m:rPr>
          <w:rPr>
            <w:rFonts w:ascii="Cambria Math" w:hAnsi="Cambria Math"/>
            <w:color w:val="1F4E9E"/>
          </w:rPr>
          <m:t xml:space="preserve"> </m:t>
        </m:r>
        <m:r>
          <w:rPr>
            <w:rFonts w:ascii="Cambria Math" w:hAnsi="Cambria Math"/>
            <w:color w:val="1F4E9E"/>
          </w:rPr>
          <m:t xml:space="preserve">a</m:t>
        </m:r>
        <m:d>
          <m:dPr>
            <m:begChr m:val="("/>
            <m:endChr m:val=")"/>
            <m:ctrlPr/>
          </m:dPr>
          <m:e>
            <m:r>
              <w:rPr>
                <w:rFonts w:ascii="Cambria Math" w:hAnsi="Cambria Math"/>
                <w:color w:val="1F4E9E"/>
              </w:rPr>
              <m:t xml:space="preserve">τ</m:t>
            </m:r>
          </m:e>
        </m:d>
      </m:oMath>
      <w:r>
        <w:rPr>
          <w:color w:val="1F4E9E"/>
        </w:rPr>
        <w:t xml:space="preserve"> with </w:t>
      </w:r>
      <m:oMath>
        <m:r>
          <w:rPr>
            <w:rFonts w:ascii="Cambria Math" w:hAnsi="Cambria Math"/>
            <w:color w:val="1F4E9E"/>
          </w:rPr>
          <m:t xml:space="preserve">a</m:t>
        </m:r>
      </m:oMath>
      <w:r>
        <w:rPr>
          <w:color w:val="1F4E9E"/>
        </w:rPr>
        <w:t xml:space="preserve"> falling linearly, and the corresponding ratio starts at about 1.1. Measured on the data, the per-participant log-rate slopes in the four quarters of the delay window are +0.58, +0.94, +0.72 and +0.62 s⁻¹, a first-to-last ratio of 0.94 — no deceleration at all, against the factor of 15 Model 1 requires.</w:t>
      </w:r>
    </w:p>
    <w:p w14:paraId="73212C5D" w14:textId="77777777" w:rsidR="00205CBC" w:rsidRDefault="00000000">
      <w:r>
        <w:rPr>
          <w:color w:val="1F4E9E"/>
        </w:rPr>
        <w:t xml:space="preserve">The closed-form rate also predicts how the delay-period ramp should level off across cells. Under Model 2 the gate approaches the signal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so the standardized distance falls linearly, and taking logarithms in Equation (22) gives Equation (25):</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and its curvature is the negative of the square of the ramp speed in those units. That curvature depends on the parameters, but it is constant in time — the log rate is exactly a downward parabola — and identical in all six conditions, since the ramp and the fluctuation are properties of the participant and not of the condition. A cell with a higher rate has a smaller standardized distance, and therefore a shallower predicted slope: no extra mechanism is needed for the apparent leveling-off of the rate late in the 2-s, high-coherence condition, which is simply the cell with the smallest distance to the gate and so the first to flatten.</w:t>
      </w:r>
    </w:p>
    <w:p w14:paraId="73212C5D" w14:textId="77777777" w:rsidR="00205CBC" w:rsidRDefault="00000000">
      <w:r>
        <w:rPr>
          <w:color w:val="1F4E9E"/>
        </w:rPr>
        <w:t xml:space="preserve">Saturation bounds the coherence effect, and reverses the expected interaction. The maintained TARGET is capped pathwise at the internal threshold </w:t>
      </w:r>
      <m:oMath>
        <m:r>
          <w:rPr>
            <w:rFonts w:ascii="Cambria Math" w:hAnsi="Cambria Math"/>
            <w:color w:val="1F4E9E"/>
          </w:rPr>
          <m:t xml:space="preserve">θ</m:t>
        </m:r>
      </m:oMath>
      <w:r>
        <w:rPr>
          <w:color w:val="1F4E9E"/>
        </w:rPr>
        <w:t xml:space="preserve">: a trial whose first accumulation reaches </w:t>
      </w:r>
      <m:oMath>
        <m:r>
          <w:rPr>
            <w:rFonts w:ascii="Cambria Math" w:hAnsi="Cambria Math"/>
            <w:color w:val="1F4E9E"/>
          </w:rPr>
          <m:t xml:space="preserve">θ</m:t>
        </m:r>
      </m:oMath>
      <w:r>
        <w:rPr>
          <w:color w:val="1F4E9E"/>
        </w:rPr>
        <w:t xml:space="preserve"> has its target pinned there for the rest of the delay, though its signal keeps fluctuating about that target, which is what produces the crossings in the first place. On such a trial the distance to the gate is the same in every condition, and the fluctuation's law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converge on that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The model therefore predicts a coherence effect on the delay-period rate that shrinks, not grows, after a long stimulus.</w:t>
      </w:r>
    </w:p>
    <w:p w14:paraId="73212C5D" w14:textId="77777777" w:rsidR="00205CBC" w:rsidRDefault="00000000">
      <w:r>
        <w:rPr>
          <w:color w:val="1F4E9E"/>
        </w:rPr>
        <w:t xml:space="preserve">The prediction is conditional, and the condition is that the LOWEST-coherence long-duration cell be near the cap: the effect is a difference between coherences, and the cap shrinks that difference only once both of its terms are capped. Where the condition fails the prediction reverses, because below the cap the target is free and its coherence sensitivity grows with duration rather than shrinking. The condition cannot be imposed through accuracy: the contrast is taken against the zero-coherence cell, whose accuracy is one half by symmetry whatever the parameters. A second channel, not covered by the argument at all, works in the same direction. The delay window is timed from stimulus offset rather than from the crossing of </w:t>
      </w:r>
      <m:oMath>
        <m:r>
          <w:rPr>
            <w:rFonts w:ascii="Cambria Math" w:hAnsi="Cambria Math"/>
            <w:color w:val="1F4E9E"/>
          </w:rPr>
          <m:t xml:space="preserve">θ</m:t>
        </m:r>
      </m:oMath>
      <w:r>
        <w:rPr>
          <w:color w:val="1F4E9E"/>
        </w:rPr>
        <w:t xml:space="preserve">, and the crossing comes earlier at higher coherence; capped trials at high coherence have therefore been in maintenance longer when the window opens, their variance has filled in further, and their rate is higher. Measured at a mean reversion of 0.5 s⁻¹, elapsed maintenance time at the opening of the window is 2.37 s at zero coherence against 2.82 s at 50% after the long stimulus, and 1.085 against 1.132 s after the short one — a residual coherence effect that is itself larger after the long stimulus. It contributes a rate ratio of 1.21 and 1.29 in the two duration conditions at the bottom of the range of </w:t>
      </w:r>
      <m:oMath>
        <m:r>
          <w:rPr>
            <w:rFonts w:ascii="Cambria Math" w:hAnsi="Cambria Math"/>
            <w:color w:val="1F4E9E"/>
          </w:rPr>
          <m:t xml:space="preserve">κ</m:t>
        </m:r>
      </m:oMath>
      <w:r>
        <w:rPr>
          <w:color w:val="1F4E9E"/>
        </w:rPr>
        <w:t xml:space="preserve">, and vanishes above about 2 s⁻¹, so it bites in exactly the regime in which Model 1 can produce any ramp at all.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(25)</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(25)</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(25)</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do not read off it directly.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the paper’s clearest disagreement with its own model. Saturation of the maintained level predicts the coherence effect on the delay-period rate to shrink after a long stimulus; the data show it growing. Measured as the coherence effect after the 2 s stimulus minus the coherence effect after the 0.3 s stimulus, the observed value is +0.107 ± 0.051 s⁻¹, whereas the 5th to 95th percentiles of the admissible draws run from −0.764 to +0.001 s⁻¹ for Model 1 and −0.741 to +0.017 s⁻¹ for Model 2. The effect is significantly of the observed sign at 4% and 7% of admissible settings against significantly opposite at 85% and 87%. This is the one effect on which both architectures commit themselves clearly and both are wrong, and it is not a matter of parameter choice that some other setting in the same regime would repair.</w:t>
      </w:r>
    </w:p>
    <w:p w14:paraId="168B8045" w14:textId="77777777" w:rsidR="00205CBC" w:rsidRDefault="00000000">
      <w:r>
        <w:rPr>
          <w:b w:val="0"/>
          <w:i w:val="0"/>
          <w:color w:val="1F4E9E"/>
        </w:rPr>
        <w:t xml:space="preserve">The few settings that do produce the observed sign say what the disagreement costs. They are not scattered: they sit in one corner of the space, at the top of the range of the commitment threshold θ and the bottom of the range of the first-stage gain k, and in that corner the maintained level does not saturate. At 12% coherence a typical admissible draw has crossed θ before stimulus offset on 99% of long-duration trials; in this corner it has done so on 55 to 67% of them, and on essentially none of the short-duration trials. Proposition A.3 is derived from saturation, so where saturation fails the prediction has no premise and the interaction is free to reverse — which is what happens. The same corner supplies the two or three per cent of settings at which </w:t>
      </w:r>
      <w:r>
        <w:rPr>
          <w:b w:val="0"/>
          <w:i w:val="0"/>
          <w:color w:val="1F4E9E"/>
        </w:rPr>
        <w:t>the response-time interaction above</w:t>
      </w:r>
      <w:r>
        <w:rPr>
          <w:b w:val="0"/>
          <w:i w:val="0"/>
          <w:color w:val="1F4E9E"/>
        </w:rPr>
        <w:t xml:space="preserve"> comes out with the wrong sign. Within these architectures the observed growth of the coherence effect across the delay can be obtained, but only by giving up the saturation of the maintained level — which is the mechanism the rest of the account rests on. Nothing in the admissible space delivers both.</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the Appendix does not apply</w:t>
      </w:r>
      <w:r>
        <w:rPr>
          <w:color w:val="1F4E9E"/>
        </w:rPr>
        <w:t xml:space="preserve"> after the response signal: the criterion now acts as an absorbing barrier, and conditioning on survival destroys the Gaussianity on which </w:t>
      </w:r>
      <w:r>
        <w:rPr>
          <w:color w:val="1F4E9E"/>
        </w:rPr>
        <w:t>Equation (22)</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 xml:space="preserve">Both architectures produce the premotor effect (Model 1, 3 to 108 ms; Model 2, 2 to 126 ms) </w:t>
      </w:r>
      <w:r>
        <w:rPr>
          <w:b w:val="0"/>
          <w:i w:val="0"/>
          <w:color w:val="1F4E9E"/>
        </w:rPr>
        <w:t>and both leave the motor component nearly alone (−46 to 0 ms and −62 to −1 ms). The dissociation is therefore reproduced, though not exactly: the models do not leave the motor component strictly alone. Its duration effect is significantly below zero at 87% and 86% of admissible settings, with medians of −5 and −8 ms, where the data give an effect indistinguishable from zero. The discrepancy is small — a few milliseconds on a component whose mean is 161 ms — but it is systematic, and it says that the passage from the gate to the response criterion is slightly faster in the simulation after the short stimulus than after the long one, whereas in the muscle it is not.</w:t>
      </w:r>
      <w:r>
        <w:rPr>
          <w:b w:val="0"/>
          <w:i w:val="0"/>
          <w:color w:val="1F4E9E"/>
        </w:rPr>
        <w:t xml:space="preserve"> It remains a weak test of the architectures, for a reason that is worth the reader’s attention: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the Appendix)</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The modeling in this paper does and does not establish. No parameter is estimated from these data: the predictions tested are ordinal, derived analytically (Appendix),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the Appendix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w:t>
      </w:r>
      <m:oMath>
        <m:r>
          <w:rPr>
            <w:rFonts w:ascii="Cambria Math" w:hAnsi="Cambria Math"/>
          </w:rPr>
          <m:t xml:space="preserve">β</m:t>
        </m:r>
        <m:r>
          <m:rPr>
            <m:nor/>
          </m:rPr>
          <w:rPr>
            <w:rFonts w:ascii="Cambria Math" w:hAnsi="Cambria Math"/>
          </w:rPr>
          <m:t xml:space="preserve">=</m:t>
        </m:r>
        <m:r>
          <m:rPr>
            <m:nor/>
          </m:rPr>
          <w:rPr>
            <w:rFonts w:ascii="Cambria Math" w:hAnsi="Cambria Math"/>
          </w:rPr>
          <m:t xml:space="preserve">0</m:t>
        </m:r>
      </m:oMath>
      <w:r>
        <w:rPr>
          <w:color w:val="1F4E9E"/>
        </w:rPr>
        <w:t xml:space="preserve">.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73212C5D" w14:textId="77777777" w:rsidR="00205CBC" w:rsidRDefault="00000000" __title__="1">
      <w:pPr>
        <w:pStyle w:val="Titre1"/>
      </w:pPr>
      <w:r>
        <w:rPr>
          <w:color w:val="1F4E9E"/>
        </w:rPr>
        <w:t xml:space="preserve">Appendix. The rate of partial muscle activations</w:t>
      </w:r>
    </w:p>
    <w:p w14:paraId="73212C5D" w14:textId="77777777" w:rsidR="00205CBC" w:rsidRDefault="00000000">
      <w:r>
        <w:rPr>
          <w:color w:val="1F4E9E"/>
        </w:rPr>
        <w:t xml:space="preserve">This appendix derives the instantaneous rate at which the maintained motor-preparatory signal crosses the gate upward — a partial muscle activation — and the structural properties of that rate which the Results test. It contains no numerical evaluation: every quantity computed over the sampled parameter space is reported in Results, beside the data it is compared with.</w:t>
      </w:r>
    </w:p>
    <w:p w14:paraId="73212C5D" w14:textId="77777777" w:rsidR="00205CBC" w:rsidRDefault="00000000">
      <w:r>
        <w:rPr>
          <w:color w:val="1F4E9E"/>
          <w:i/>
          <w:b/>
        </w:rPr>
        <w:t xml:space="preserve">Setup and notation</w:t>
      </w:r>
    </w:p>
    <w:p w14:paraId="73212C5D" w14:textId="77777777" w:rsidR="00205CBC" w:rsidRDefault="00000000">
      <w:r>
        <w:rPr>
          <w:color w:val="1F4E9E"/>
        </w:rPr>
        <w:t xml:space="preserve">Notation follows Theory (Materials and Methods) and Table A1; </w:t>
      </w:r>
      <m:oMath>
        <m:r>
          <w:rPr>
            <w:rFonts w:ascii="Cambria Math" w:hAnsi="Cambria Math"/>
            <w:color w:val="1F4E9E"/>
          </w:rPr>
          <m:t xml:space="preserve">φ</m:t>
        </m:r>
      </m:oMath>
      <w:r>
        <w:rPr>
          <w:color w:val="1F4E9E"/>
        </w:rPr>
        <w:t xml:space="preserve"> and </w:t>
      </w:r>
      <m:oMath>
        <m:r>
          <w:rPr>
            <w:rFonts w:ascii="Cambria Math" w:hAnsi="Cambria Math"/>
            <w:color w:val="1F4E9E"/>
          </w:rPr>
          <m:t xml:space="preserve">Φ</m:t>
        </m:r>
      </m:oMath>
      <w:r>
        <w:rPr>
          <w:color w:val="1F4E9E"/>
        </w:rPr>
        <w:t xml:space="preserve"> are the standard normal density and distribution function. Fix a trial that has entered maintenance at time </w:t>
      </w:r>
      <m:oMath>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with selected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oMath>
      <w:r>
        <w:rPr>
          <w:color w:val="1F4E9E"/>
        </w:rPr>
        <w:t xml:space="preserve"> and maintained level </w:t>
      </w:r>
      <m:oMath>
        <m:r>
          <w:rPr>
            <w:rFonts w:ascii="Cambria Math" w:hAnsi="Cambria Math"/>
            <w:color w:val="1F4E9E"/>
          </w:rPr>
          <m:t xml:space="preserve">m</m:t>
        </m:r>
      </m:oMath>
      <w:r>
        <w:rPr>
          <w:color w:val="1F4E9E"/>
        </w:rPr>
        <w:t xml:space="preserve"> (Equation (4)), and write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for elapsed maintenance time. For </w:t>
      </w:r>
      <m:oMath>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write </w:t>
      </w:r>
      <m:oMath>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oMath>
      <w:r>
        <w:rPr>
          <w:color w:val="1F4E9E"/>
        </w:rPr>
        <w:t xml:space="preserve">, so that </w:t>
      </w:r>
      <m:oMath>
        <m:r>
          <w:rPr>
            <w:rFonts w:ascii="Cambria Math" w:hAnsi="Cambria Math"/>
            <w:color w:val="1F4E9E"/>
          </w:rPr>
          <m:t xml:space="preserve">H</m:t>
        </m:r>
      </m:oMath>
      <w:r>
        <w:rPr>
          <w:color w:val="1F4E9E"/>
        </w:rPr>
        <w:t xml:space="preserve"> is the fluctuation of the motor-preparatory signal about its target, with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By Equations (5) and (6), </w:t>
      </w:r>
      <m:oMath>
        <m:r>
          <w:rPr>
            <w:rFonts w:ascii="Cambria Math" w:hAnsi="Cambria Math"/>
            <w:color w:val="1F4E9E"/>
          </w:rPr>
          <m:t xml:space="preserve">H</m:t>
        </m:r>
      </m:oMath>
      <w:r>
        <w:rPr>
          <w:color w:val="1F4E9E"/>
        </w:rPr>
        <w:t xml:space="preserve"> is the output of the first-order filter driven by the Ornstein–Uhlenbeck maintenance noise:</w:t>
      </w:r>
    </w:p>
    <w:p w14:paraId="73212C5D" w14:textId="77777777" w:rsidR="00205CBC" w:rsidRDefault="00000000">
      <m:oMathPara>
        <m:oMath>
          <m:eqArr>
            <m:eqArrPr>
              <m:maxDist m:val="1"/>
              <m:ctrlPr/>
            </m:eqArrPr>
            <m:e>
              <m:r>
                <m:rPr>
                  <m:nor/>
                </m:rPr>
                <w:rPr>
                  <w:rFonts w:ascii="Cambria Math" w:hAnsi="Cambria Math"/>
                  <w:color w:val="1F4E9E"/>
                </w:rPr>
                <m:t xml:space="preserve">d</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with </w:t>
      </w:r>
      <m:oMath>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m:t>
        </m:r>
        <m:sSub>
          <m:sSubPr>
            <m:ctrlPr/>
          </m:sSubPr>
          <m:e>
            <m:r>
              <m:rPr>
                <m:nor/>
              </m:rPr>
              <w:rPr>
                <w:rFonts w:ascii="Cambria Math" w:hAnsi="Cambria Math"/>
                <w:color w:val="1F4E9E"/>
              </w:rPr>
              <m:t xml:space="preserve">SD</m:t>
            </m:r>
          </m:e>
          <m:sub>
            <m:r>
              <w:rPr>
                <w:rFonts w:ascii="Cambria Math" w:hAnsi="Cambria Math"/>
                <w:color w:val="1F4E9E"/>
              </w:rPr>
              <m:t xml:space="preserve">ε</m:t>
            </m:r>
          </m:sub>
        </m:sSub>
        <m:rad>
          <m:radPr>
            <m:degHide m:val="1"/>
            <m:ctrlPr/>
          </m:radPr>
          <m:deg/>
          <m:e>
            <m:r>
              <m:rPr>
                <m:nor/>
              </m:rPr>
              <w:rPr>
                <w:rFonts w:ascii="Cambria Math" w:hAnsi="Cambria Math"/>
                <w:color w:val="1F4E9E"/>
              </w:rPr>
              <m:t xml:space="preserve">2</m:t>
            </m:r>
            <m:r>
              <w:rPr>
                <w:rFonts w:ascii="Cambria Math" w:hAnsi="Cambria Math"/>
                <w:color w:val="1F4E9E"/>
              </w:rPr>
              <m:t xml:space="preserve">κ</m:t>
            </m:r>
          </m:e>
        </m:rad>
      </m:oMath>
      <w:r>
        <w:rPr>
          <w:color w:val="1F4E9E"/>
        </w:rPr>
        <w:t xml:space="preserve">, so that the stationary standard deviation of </w:t>
      </w:r>
      <m:oMath>
        <m:r>
          <w:rPr>
            <w:rFonts w:ascii="Cambria Math" w:hAnsi="Cambria Math"/>
            <w:color w:val="1F4E9E"/>
          </w:rPr>
          <m:t xml:space="preserve">ε</m:t>
        </m:r>
      </m:oMath>
      <w:r>
        <w:rPr>
          <w:color w:val="1F4E9E"/>
        </w:rPr>
        <w:t xml:space="preserve"> is </w:t>
      </w:r>
      <m:oMath>
        <m:sSub>
          <m:sSubPr>
            <m:ctrlPr/>
          </m:sSubPr>
          <m:e>
            <m:r>
              <m:rPr>
                <m:nor/>
              </m:rPr>
              <w:rPr>
                <w:rFonts w:ascii="Cambria Math" w:hAnsi="Cambria Math"/>
                <w:color w:val="1F4E9E"/>
              </w:rPr>
              <m:t xml:space="preserve">SD</m:t>
            </m:r>
          </m:e>
          <m:sub>
            <m:r>
              <w:rPr>
                <w:rFonts w:ascii="Cambria Math" w:hAnsi="Cambria Math"/>
                <w:color w:val="1F4E9E"/>
              </w:rPr>
              <m:t xml:space="preserve">ε</m:t>
            </m:r>
          </m:sub>
        </m:sSub>
      </m:oMath>
      <w:r>
        <w:rPr>
          <w:color w:val="1F4E9E"/>
        </w:rPr>
        <w:t xml:space="preserve"> whatever the value of </w:t>
      </w:r>
      <m:oMath>
        <m:r>
          <w:rPr>
            <w:rFonts w:ascii="Cambria Math" w:hAnsi="Cambria Math"/>
            <w:color w:val="1F4E9E"/>
          </w:rPr>
          <m:t xml:space="preserve">κ</m:t>
        </m:r>
      </m:oMath>
      <w:r>
        <w:rPr>
          <w:color w:val="1F4E9E"/>
        </w:rPr>
        <w:t xml:space="preserve">, and the two are sampled independently in Table A1. Because </w:t>
      </w:r>
      <m:oMath>
        <m:r>
          <w:rPr>
            <w:rFonts w:ascii="Cambria Math" w:hAnsi="Cambria Math"/>
            <w:color w:val="1F4E9E"/>
          </w:rPr>
          <m:t xml:space="preserve">ε</m:t>
        </m:r>
      </m:oMath>
      <w:r>
        <w:rPr>
          <w:color w:val="1F4E9E"/>
        </w:rPr>
        <w:t xml:space="preserve"> is symmetric and independent of the sign of the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has the same law as </w:t>
      </w:r>
      <m:oMath>
        <m:r>
          <w:rPr>
            <w:rFonts w:ascii="Cambria Math" w:hAnsi="Cambria Math"/>
            <w:color w:val="1F4E9E"/>
          </w:rPr>
          <m:t xml:space="preserve">H</m:t>
        </m:r>
      </m:oMath>
      <w:r>
        <w:rPr>
          <w:color w:val="1F4E9E"/>
        </w:rPr>
        <w:t xml:space="preserve">. Writing </w:t>
      </w:r>
      <m:oMath>
        <m:r>
          <w:rPr>
            <w:rFonts w:ascii="Cambria Math" w:hAnsi="Cambria Math"/>
            <w:color w:val="1F4E9E"/>
          </w:rPr>
          <m:t xml:space="preserve">δ</m:t>
        </m:r>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oMath>
      <w:r>
        <w:rPr>
          <w:color w:val="1F4E9E"/>
        </w:rPr>
        <w:t xml:space="preserve"> for the length of the preparation window and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for the distance from the maintained level to the gate,</w:t>
      </w:r>
    </w:p>
    <w:p w14:paraId="73212C5D" w14:textId="77777777" w:rsidR="00205CBC" w:rsidRDefault="00000000">
      <m:oMathPara>
        <m:oMath>
          <m:eqArr>
            <m:eqArrPr>
              <m:maxDist m:val="1"/>
              <m:ctrlPr/>
            </m:eqArr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g</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sSup>
                <m:sSupPr>
                  <m:ctrlPr/>
                </m:sSupPr>
                <m:e>
                  <m:d>
                    <m:dPr>
                      <m:begChr m:val="("/>
                      <m:endChr m:val=")"/>
                      <m:ctrlPr/>
                    </m:dPr>
                    <m:e>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sup>
                  <m:r>
                    <m:rPr>
                      <m:nor/>
                    </m:rPr>
                    <w:rPr>
                      <w:rFonts w:ascii="Cambria Math" w:hAnsi="Cambria Math"/>
                      <w:color w:val="1F4E9E"/>
                    </w:rPr>
                    <m:t xml:space="preserve">+</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second term present only under temporal preparation, so that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under Model 1), a partial activation on the selected channel begins exactly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crosses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upward. The ramp therefore approaches the gate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non-selected channel activates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falls below the corresponding distance on the far side, which is several fluctuation standard deviations further away over the whole admissible space; the model predicts that channel to be silent, as it is observed to be, and it is not considered further.</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 xml:space="preserv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1F4E9E"/>
                <w:sz w:val="22"/>
                <w:szCs w:val="22"/>
              </w:rPr>
              <w:t xml:space="preserve">, with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Pr="0099074B">
              <w:rPr>
                <w:color w:val="1F4E9E"/>
                <w:sz w:val="22"/>
                <w:szCs w:val="22"/>
              </w:rPr>
              <w:t xml:space="preserve"> 0.003–0.060 (log-uniform)</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w:t>
      </w:r>
      <m:oMath>
        <m:r>
          <w:rPr>
            <w:rFonts w:ascii="Cambria Math" w:hAnsi="Cambria Math"/>
          </w:rPr>
          <m:t xml:space="preserve">λ</m:t>
        </m:r>
        <m:r>
          <m:rPr>
            <m:nor/>
          </m:rPr>
          <w:rPr>
            <w:rFonts w:ascii="Cambria Math" w:hAnsi="Cambria Math"/>
          </w:rPr>
          <m:t xml:space="preserve">=</m:t>
        </m:r>
        <m:r>
          <m:rPr>
            <m:nor/>
          </m:rPr>
          <w:rPr>
            <w:rFonts w:ascii="Cambria Math" w:hAnsi="Cambria Math"/>
          </w:rPr>
          <m:t xml:space="preserve">100</m:t>
        </m:r>
        <m:r>
          <m:rPr>
            <m:nor/>
          </m:rPr>
          <w:rPr>
            <w:rFonts w:ascii="Cambria Math" w:hAnsi="Cambria Math"/>
          </w:rPr>
          <m:t xml:space="preserve"> </m:t>
        </m:r>
        <m:sSup>
          <m:sSupPr>
            <m:ctrlPr/>
          </m:sSupPr>
          <m:e>
            <m:r>
              <m:rPr>
                <m:nor/>
              </m:rPr>
              <w:rPr>
                <w:rFonts w:ascii="Cambria Math" w:hAnsi="Cambria Math"/>
              </w:rPr>
              <m:t xml:space="preserve">s</m:t>
            </m:r>
          </m:e>
          <m:sup>
            <m:r>
              <m:rPr>
                <m:nor/>
              </m:rPr>
              <w:rPr>
                <w:rFonts w:ascii="Cambria Math" w:hAnsi="Cambria Math"/>
              </w:rPr>
              <m:t xml:space="preserve">-</m:t>
            </m:r>
            <m:r>
              <m:rPr>
                <m:nor/>
              </m:rPr>
              <w:rPr>
                <w:rFonts w:ascii="Cambria Math" w:hAnsi="Cambria Math"/>
              </w:rPr>
              <m:t xml:space="preserve">1</m:t>
            </m:r>
          </m:sup>
        </m:sSup>
      </m:oMath>
      <w:r>
        <w:rPr>
          <w:color w:val="1F4E9E"/>
        </w:rPr>
        <w:t xml:space="preserve">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w:t>
      </w:r>
      <m:oMath>
        <m:d>
          <m:dPr>
            <m:begChr m:val="("/>
            <m:endChr m:val=")"/>
            <m:ctrlPr/>
          </m:dPr>
          <m:e>
            <m:r>
              <m:rPr>
                <m:nor/>
              </m:rPr>
              <w:rPr>
                <w:rFonts w:ascii="Cambria Math" w:hAnsi="Cambria Math"/>
              </w:rPr>
              <m:t xml:space="preserve">1</m:t>
            </m:r>
            <m:r>
              <m:rPr>
                <m:nor/>
              </m:rPr>
              <w:rPr>
                <w:rFonts w:ascii="Cambria Math" w:hAnsi="Cambria Math"/>
              </w:rPr>
              <m:t xml:space="preserve">/</m:t>
            </m:r>
            <m:r>
              <w:rPr>
                <w:rFonts w:ascii="Cambria Math" w:hAnsi="Cambria Math"/>
              </w:rPr>
              <m:t xml:space="preserve">κ</m:t>
            </m:r>
            <m:r>
              <m:rPr>
                <m:nor/>
              </m:rPr>
              <w:rPr>
                <w:rFonts w:ascii="Cambria Math" w:hAnsi="Cambria Math"/>
              </w:rPr>
              <m:t xml:space="preserve">=</m:t>
            </m:r>
            <m:r>
              <m:rPr>
                <m:nor/>
              </m:rPr>
              <w:rPr>
                <w:rFonts w:ascii="Cambria Math" w:hAnsi="Cambria Math"/>
              </w:rPr>
              <m:t xml:space="preserve">5</m:t>
            </m:r>
            <m:r>
              <m:rPr>
                <m:nor/>
              </m:rPr>
              <w:rPr>
                <w:rFonts w:ascii="Cambria Math" w:hAnsi="Cambria Math"/>
              </w:rPr>
              <m:t xml:space="preserve"> </m:t>
            </m:r>
            <m:r>
              <m:rPr>
                <m:nor/>
              </m:rPr>
              <w:rPr>
                <w:rFonts w:ascii="Cambria Math" w:hAnsi="Cambria Math"/>
              </w:rPr>
              <m:t xml:space="preserve">s</m:t>
            </m:r>
          </m:e>
        </m:d>
      </m:oMath>
      <w:r>
        <w:rPr>
          <w:color w:val="1F4E9E"/>
        </w:rPr>
        <w:t xml:space="preserve">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w:t>
      </w:r>
      <m:oMath>
        <m:r>
          <w:rPr>
            <w:rFonts w:ascii="Cambria Math" w:hAnsi="Cambria Math"/>
          </w:rPr>
          <m:t xml:space="preserve">θ</m:t>
        </m:r>
        <m:r>
          <m:rPr>
            <m:nor/>
          </m:rPr>
          <w:rPr>
            <w:rFonts w:ascii="Cambria Math" w:hAnsi="Cambria Math"/>
          </w:rPr>
          <m:t xml:space="preserve">/</m:t>
        </m:r>
        <m:r>
          <w:rPr>
            <w:rFonts w:ascii="Cambria Math" w:hAnsi="Cambria Math"/>
          </w:rPr>
          <m:t xml:space="preserve">g</m:t>
        </m:r>
      </m:oMath>
      <w:r>
        <w:rPr>
          <w:color w:val="1F4E9E"/>
        </w:rPr>
        <w:t xml:space="preserve">, rather than θ itself, was sampled to ensure </w:t>
      </w:r>
      <m:oMath>
        <m:r>
          <w:rPr>
            <w:rFonts w:ascii="Cambria Math" w:hAnsi="Cambria Math"/>
          </w:rPr>
          <m:t xml:space="preserve">θ</m:t>
        </m:r>
        <m:r>
          <m:rPr>
            <m:nor/>
          </m:rPr>
          <w:rPr>
            <w:rFonts w:ascii="Cambria Math" w:hAnsi="Cambria Math"/>
          </w:rPr>
          <m:t xml:space="preserve">&lt;</m:t>
        </m:r>
        <m:r>
          <w:rPr>
            <w:rFonts w:ascii="Cambria Math" w:hAnsi="Cambria Math"/>
          </w:rPr>
          <m:t xml:space="preserve">g</m:t>
        </m:r>
      </m:oMath>
      <w:r>
        <w:rPr>
          <w:color w:val="1F4E9E"/>
        </w:rPr>
        <w:t xml:space="preserve">,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73212C5D" w14:textId="77777777" w:rsidR="00205CBC" w:rsidRDefault="00000000">
      <w:r>
        <w:rPr>
          <w:color w:val="1F4E9E"/>
          <w:i/>
          <w:b/>
        </w:rPr>
        <w:t xml:space="preserve">The maintained fluctuation</w:t>
      </w:r>
    </w:p>
    <w:p w14:paraId="73212C5D" w14:textId="77777777" w:rsidR="00205CBC" w:rsidRDefault="00000000">
      <w:r>
        <w:rPr>
          <w:color w:val="1F4E9E"/>
        </w:rPr>
        <w:t xml:space="preserve">Solving the two equations of (11) in sequence gives</w:t>
      </w:r>
    </w:p>
    <w:p w14:paraId="73212C5D" w14:textId="77777777" w:rsidR="00205CBC" w:rsidRDefault="00000000">
      <m:oMathPara>
        <m:oMath>
          <m:eqArr>
            <m:eqArrPr>
              <m:maxDist m:val="1"/>
              <m:ctrlPr/>
            </m:eqArrPr>
            <m:e>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r>
                <w:rPr>
                  <w:rFonts w:ascii="Cambria Math" w:hAnsi="Cambria Math"/>
                  <w:color w:val="1F4E9E"/>
                </w:rPr>
                <m:t xml:space="preserve">λ</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q</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The Ornstein–Uhlenbeck process admits a continuous modification, and </w:t>
      </w:r>
      <m:oMath>
        <m:r>
          <w:rPr>
            <w:rFonts w:ascii="Cambria Math" w:hAnsi="Cambria Math"/>
            <w:color w:val="1F4E9E"/>
          </w:rPr>
          <m:t xml:space="preserve">H</m:t>
        </m:r>
      </m:oMath>
      <w:r>
        <w:rPr>
          <w:color w:val="1F4E9E"/>
        </w:rPr>
        <w:t xml:space="preserve"> is then a Riemann integral of a continuous function, so almost surely </w:t>
      </w:r>
      <m:oMath>
        <m:r>
          <w:rPr>
            <w:rFonts w:ascii="Cambria Math" w:hAnsi="Cambria Math"/>
            <w:color w:val="1F4E9E"/>
          </w:rPr>
          <m:t xml:space="preserve">H</m:t>
        </m:r>
      </m:oMath>
      <w:r>
        <w:rPr>
          <w:color w:val="1F4E9E"/>
        </w:rPr>
        <w:t xml:space="preserve"> is continuously differentiable — which is what the crossing formula below requires and what an unfiltered diffusion would not provide. Substituting the first equation of (13) into the second and exchanging the order of integration — permissible because the integrand is bounded on the compact </w:t>
      </w:r>
      <m:oMath>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w:rPr>
            <w:rFonts w:ascii="Cambria Math" w:hAnsi="Cambria Math"/>
            <w:color w:val="1F4E9E"/>
          </w:rPr>
          <m:t xml:space="preserve">p</m:t>
        </m:r>
        <m:r>
          <m:rPr>
            <m:nor/>
          </m:rPr>
          <w:rPr>
            <w:rFonts w:ascii="Cambria Math" w:hAnsi="Cambria Math"/>
            <w:color w:val="1F4E9E"/>
          </w:rPr>
          <m:t xml:space="preserve">≤</m:t>
        </m:r>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ρ</m:t>
        </m:r>
        <m:r>
          <m:rPr>
            <m:nor/>
          </m:rPr>
          <w:rPr>
            <w:rFonts w:ascii="Cambria Math" w:hAnsi="Cambria Math"/>
            <w:color w:val="1F4E9E"/>
          </w:rPr>
          <m:t xml:space="preserve">}</m:t>
        </m:r>
      </m:oMath>
      <w:r>
        <w:rPr>
          <w:color w:val="1F4E9E"/>
        </w:rPr>
        <w:t xml:space="preserve"> — leaves the inner integral </w:t>
      </w:r>
      <m:oMath>
        <m:nary>
          <m:naryPr>
            <m:chr m:val="∫"/>
            <m:limLoc m:val="subSup"/>
            <m:subHide m:val="0"/>
            <m:supHide m:val="0"/>
            <m:ctrlPr/>
          </m:naryPr>
          <m:sub>
            <m:r>
              <w:rPr>
                <w:rFonts w:ascii="Cambria Math" w:hAnsi="Cambria Math"/>
                <w:color w:val="1F4E9E"/>
              </w:rPr>
              <m:t xml:space="preserve">p</m:t>
            </m:r>
          </m:sub>
          <m:sup>
            <m:r>
              <w:rPr>
                <w:rFonts w:ascii="Cambria Math" w:hAnsi="Cambria Math"/>
                <w:color w:val="1F4E9E"/>
              </w:rPr>
              <m:t xml:space="preserve">ρ</m:t>
            </m:r>
          </m:sup>
          <m:e>
            <m:r>
              <w:rPr>
                <w:rFonts w:ascii="Cambria Math" w:hAnsi="Cambria Math"/>
                <w:color w:val="1F4E9E"/>
              </w:rPr>
              <m:t xml:space="preserve">λ</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oMath>
      <w:r>
        <w:rPr>
          <w:color w:val="1F4E9E"/>
        </w:rPr>
        <w:t xml:space="preserve">. Hence </w:t>
      </w:r>
      <m:oMath>
        <m:r>
          <w:rPr>
            <w:rFonts w:ascii="Cambria Math" w:hAnsi="Cambria Math"/>
            <w:color w:val="1F4E9E"/>
          </w:rPr>
          <m:t xml:space="preserve">H</m:t>
        </m:r>
      </m:oMath>
      <w:r>
        <w:rPr>
          <w:color w:val="1F4E9E"/>
        </w:rPr>
        <w:t xml:space="preserve"> is a Wiener integral against the impulse response of the two filters in series,</w:t>
      </w:r>
    </w:p>
    <w:p w14:paraId="73212C5D" w14:textId="77777777" w:rsidR="00205CBC" w:rsidRDefault="00000000">
      <m:oMathPara>
        <m:oMath>
          <m:eqArr>
            <m:eqArrPr>
              <m:maxDist m:val="1"/>
              <m:ctrlPr/>
            </m:eqArrPr>
            <m:e>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f>
                <m:fPr>
                  <m:ctrlPr/>
                </m:fPr>
                <m:num>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d>
                <m:dPr>
                  <m:begChr m:val="("/>
                  <m:endChr m:val=")"/>
                  <m:ctrlPr/>
                </m:dPr>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and is therefore a centred Gaussian process.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which is the analytic form the differentiability takes, and </w:t>
      </w:r>
      <m:oMath>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oMath>
      <w:r>
        <w:rPr>
          <w:color w:val="1F4E9E"/>
        </w:rPr>
        <w:t xml:space="preserve">.</w:t>
      </w:r>
    </w:p>
    <w:p w14:paraId="73212C5D" w14:textId="77777777" w:rsidR="00205CBC" w:rsidRDefault="00000000">
      <w:r>
        <w:rPr>
          <w:color w:val="1F4E9E"/>
        </w:rPr>
        <w:t xml:space="preserve">Differentiating (14) under the integral, and using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to kill the boundary term, gives </w:t>
      </w:r>
      <m:oMath>
        <m:acc>
          <m:accPr>
            <m:chr m:val="̇"/>
            <m:ctrlPr/>
          </m:accPr>
          <m:e>
            <m:r>
              <w:rPr>
                <w:rFonts w:ascii="Cambria Math" w:hAnsi="Cambria Math"/>
                <w:color w:val="1F4E9E"/>
              </w:rPr>
              <m:t xml:space="preserve">H</m:t>
            </m:r>
          </m:e>
        </m:acc>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oMath>
      <w:r>
        <w:rPr>
          <w:color w:val="1F4E9E"/>
        </w:rPr>
        <w:t xml:space="preserve">. The Itô isometry then gives the three second moments as integrals of the kernel,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d>
                  <m:dPr>
                    <m:begChr m:val="("/>
                    <m:endChr m:val=")"/>
                    <m:ctrlPr/>
                  </m:dPr>
                  <m:e>
                    <m:sSup>
                      <m:sSupPr>
                        <m:ctrlPr/>
                      </m:sSupPr>
                      <m:e>
                        <m:r>
                          <w:rPr>
                            <w:rFonts w:ascii="Cambria Math" w:hAnsi="Cambria Math"/>
                            <w:color w:val="1F4E9E"/>
                          </w:rPr>
                          <m:t xml:space="preserve">K</m:t>
                        </m:r>
                      </m:e>
                      <m:sup>
                        <m:r>
                          <m:rPr>
                            <m:nor/>
                          </m:rPr>
                          <w:rPr>
                            <w:rFonts w:ascii="Cambria Math" w:hAnsi="Cambria Math"/>
                            <w:color w:val="1F4E9E"/>
                          </w:rPr>
                          <m:t xml:space="preserve">′</m:t>
                        </m:r>
                      </m:sup>
                    </m:sSup>
                  </m:e>
                </m:d>
              </m:e>
              <m:sup>
                <m:r>
                  <m:rPr>
                    <m:nor/>
                  </m:rPr>
                  <w:rPr>
                    <w:rFonts w:ascii="Cambria Math" w:hAnsi="Cambria Math"/>
                    <w:color w:val="1F4E9E"/>
                  </w:rPr>
                  <m:t xml:space="preserve">2</m:t>
                </m:r>
              </m:sup>
            </m:sSup>
          </m:e>
        </m:nary>
      </m:oMath>
      <w:r>
        <w:rPr>
          <w:color w:val="1F4E9E"/>
        </w:rPr>
        <w:t xml:space="preserve"> and </w:t>
      </w:r>
      <m:oMath>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sSup>
              <m:sSupPr>
                <m:ctrlPr/>
              </m:sSupPr>
              <m:e>
                <m:r>
                  <w:rPr>
                    <w:rFonts w:ascii="Cambria Math" w:hAnsi="Cambria Math"/>
                    <w:color w:val="1F4E9E"/>
                  </w:rPr>
                  <m:t xml:space="preserve">K</m:t>
                </m:r>
              </m:e>
              <m:sup>
                <m:r>
                  <m:rPr>
                    <m:nor/>
                  </m:rPr>
                  <w:rPr>
                    <w:rFonts w:ascii="Cambria Math" w:hAnsi="Cambria Math"/>
                    <w:color w:val="1F4E9E"/>
                  </w:rPr>
                  <m:t xml:space="preserve">′</m:t>
                </m:r>
              </m:sup>
            </m:sSup>
          </m:e>
        </m:nary>
        <m:r>
          <m:rPr>
            <m:nor/>
          </m:rPr>
          <w:rPr>
            <w:rFonts w:ascii="Cambria Math" w:hAnsi="Cambria Math"/>
            <w:color w:val="1F4E9E"/>
          </w:rPr>
          <m:t xml:space="preserve">=</m:t>
        </m:r>
        <m:f>
          <m:fPr>
            <m:type m:val="lin"/>
            <m:ctrlPr/>
          </m:fPr>
          <m:num>
            <m:r>
              <m:rPr>
                <m:nor/>
              </m:rPr>
              <w:rPr>
                <w:rFonts w:ascii="Cambria Math" w:hAnsi="Cambria Math"/>
                <w:color w:val="1F4E9E"/>
              </w:rPr>
              <m:t xml:space="preserve">1</m:t>
            </m:r>
          </m:num>
          <m:den>
            <m:r>
              <m:rPr>
                <m:nor/>
              </m:rPr>
              <w:rPr>
                <w:rFonts w:ascii="Cambria Math" w:hAnsi="Cambria Math"/>
                <w:color w:val="1F4E9E"/>
              </w:rPr>
              <m:t xml:space="preserve">2</m:t>
            </m:r>
          </m:den>
        </m:f>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ρ</m:t>
                </m:r>
              </m:e>
            </m:d>
          </m:e>
          <m:sup>
            <m:r>
              <m:rPr>
                <m:nor/>
              </m:rPr>
              <w:rPr>
                <w:rFonts w:ascii="Cambria Math" w:hAnsi="Cambria Math"/>
                <w:color w:val="1F4E9E"/>
              </w:rPr>
              <m:t xml:space="preserve">2</m:t>
            </m:r>
          </m:sup>
        </m:sSup>
      </m:oMath>
      <w:r>
        <w:rPr>
          <w:color w:val="1F4E9E"/>
        </w:rPr>
        <w:t xml:space="preserve">, the last of which is half the derivative of the first. Evaluating them,</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2</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λ</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5</m:t>
                  </m:r>
                </m:e>
              </m:d>
            </m:e>
          </m:eqArr>
        </m:oMath>
      </m:oMathPara>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w:rPr>
                          <w:rFonts w:ascii="Cambria Math" w:hAnsi="Cambria Math"/>
                          <w:color w:val="1F4E9E"/>
                        </w:rPr>
                        <m:t xml:space="preserve">κ</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e>
                      </m:d>
                    </m:num>
                    <m:den>
                      <m:r>
                        <m:rPr>
                          <m:nor/>
                        </m:rPr>
                        <w:rPr>
                          <w:rFonts w:ascii="Cambria Math" w:hAnsi="Cambria Math"/>
                          <w:color w:val="1F4E9E"/>
                        </w:rPr>
                        <m:t xml:space="preserve">2</m:t>
                      </m:r>
                    </m:den>
                  </m:f>
                  <m:r>
                    <m:rPr>
                      <m:nor/>
                    </m:rPr>
                    <w:rPr>
                      <w:rFonts w:ascii="Cambria Math" w:hAnsi="Cambria Math"/>
                      <w:color w:val="1F4E9E"/>
                    </w:rPr>
                    <m:t xml:space="preserve">-</m:t>
                  </m:r>
                  <m:f>
                    <m:fPr>
                      <m:ctrlPr/>
                    </m:fPr>
                    <m:num>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e>
                      </m:d>
                    </m:num>
                    <m:den>
                      <m:r>
                        <m:rPr>
                          <m:nor/>
                        </m:rPr>
                        <w:rPr>
                          <w:rFonts w:ascii="Cambria Math" w:hAnsi="Cambria Math"/>
                          <w:color w:val="1F4E9E"/>
                        </w:rPr>
                        <m:t xml:space="preserve">2</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These hold when the two rates differ. When they coincide the cascade has a repeated pole: the basis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degenerates into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and (14) to (16) are replaced by their limits at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namely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oMath>
      <w:r>
        <w:rPr>
          <w:color w:val="1F4E9E"/>
        </w:rPr>
        <w:t xml:space="preserve"> and, writing </w:t>
      </w:r>
      <m:oMath>
        <m:r>
          <w:rPr>
            <w:rFonts w:ascii="Cambria Math" w:hAnsi="Cambria Math"/>
            <w:color w:val="1F4E9E"/>
          </w:rPr>
          <m:t xml:space="preserve">E</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oMath>
      <w:r>
        <w:rPr>
          <w:color w:val="1F4E9E"/>
        </w:rPr>
        <w:t xml:space="preserve">,</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r>
                    <w:rPr>
                      <w:rFonts w:ascii="Cambria Math" w:hAnsi="Cambria Math"/>
                      <w:color w:val="1F4E9E"/>
                    </w:rPr>
                    <m:t xml:space="preserve">λ</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r>
                    <w:rPr>
                      <w:rFonts w:ascii="Cambria Math" w:hAnsi="Cambria Math"/>
                      <w:color w:val="1F4E9E"/>
                    </w:rPr>
                    <m:t xml:space="preserve">λ</m:t>
                  </m:r>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The two cases meet continuously: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is a coincidence of the two rates, not a singularity of the process. It is also the one point in the space at which the model has no separation of timescales, the correlation time of the maintenance noise and the time constant of the motor filter being equal; the consequences are drawn where they arise, in A.5 and A.9.</w:t>
      </w:r>
    </w:p>
    <w:p w14:paraId="73212C5D" w14:textId="77777777" w:rsidR="00205CBC" w:rsidRDefault="00000000">
      <w:r>
        <w:rPr>
          <w:color w:val="1F4E9E"/>
        </w:rPr>
        <w:t xml:space="preserve">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oMath>
      <w:r>
        <w:rPr>
          <w:color w:val="1F4E9E"/>
        </w:rPr>
        <w:t xml:space="preserve"> both cases tend to the same stationary values, which will be written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and </w:t>
      </w:r>
      <m:oMath>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oMath>
      <w:r>
        <w:rPr>
          <w:color w:val="1F4E9E"/>
        </w:rPr>
        <w:t xml:space="preserve">:</w:t>
      </w:r>
    </w:p>
    <w:p w14:paraId="73212C5D" w14:textId="77777777" w:rsidR="00205CBC" w:rsidRDefault="00000000">
      <m:oMathPara>
        <m:oMath>
          <m:eqArr>
            <m:eqArrPr>
              <m:maxDist m:val="1"/>
              <m:ctrlPr/>
            </m:eqArrPr>
            <m:e>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r>
                    <w:rPr>
                      <w:rFonts w:ascii="Cambria Math" w:hAnsi="Cambria Math"/>
                      <w:color w:val="1F4E9E"/>
                    </w:rPr>
                    <m:t xml:space="preserve">λ</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r>
                    <w:rPr>
                      <w:rFonts w:ascii="Cambria Math" w:hAnsi="Cambria Math"/>
                      <w:color w:val="1F4E9E"/>
                    </w:rPr>
                    <m:t xml:space="preserve">κ</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m:t>
              </m:r>
              <m:f>
                <m:fPr>
                  <m:ctrlPr/>
                </m:fPr>
                <m:num>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num>
                <m:den>
                  <m:sSub>
                    <m:sSubPr>
                      <m:ctrlPr/>
                    </m:sSubPr>
                    <m:e>
                      <m:r>
                        <w:rPr>
                          <w:rFonts w:ascii="Cambria Math" w:hAnsi="Cambria Math"/>
                          <w:color w:val="1F4E9E"/>
                        </w:rPr>
                        <m:t xml:space="preserve">σ</m:t>
                      </m:r>
                    </m:e>
                    <m:sub>
                      <m:r>
                        <w:rPr>
                          <w:rFonts w:ascii="Cambria Math" w:hAnsi="Cambria Math"/>
                          <w:color w:val="1F4E9E"/>
                        </w:rPr>
                        <m:t xml:space="preserve">H</m:t>
                      </m:r>
                    </m:sub>
                  </m:sSub>
                </m:den>
              </m:f>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8</m:t>
                  </m:r>
                </m:e>
              </m:d>
            </m:e>
          </m:eqArr>
        </m:oMath>
      </m:oMathPara>
    </w:p>
    <w:p w14:paraId="73212C5D" w14:textId="77777777" w:rsidR="00205CBC" w:rsidRDefault="00000000">
      <m:oMath>
        <m:r>
          <w:rPr>
            <w:rFonts w:ascii="Cambria Math" w:hAnsi="Cambria Math"/>
            <w:color w:val="1F4E9E"/>
          </w:rPr>
          <m:t xml:space="preserve">ω</m:t>
        </m:r>
      </m:oMath>
      <w:r>
        <w:rPr>
          <w:color w:val="1F4E9E"/>
        </w:rPr>
        <w:t xml:space="preserve"> is the characteristic frequency of the fluctuation. The preparation ramp is added outside the filter (Equation (7)), so it shifts the mean of the gate-facing signal and leaves all three moments untouched; (15) to (18) hold for both models. The relative departure of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from </w:t>
      </w:r>
      <m:oMath>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oMath>
      <w:r>
        <w:rPr>
          <w:color w:val="1F4E9E"/>
        </w:rPr>
        <w:t xml:space="preserve"> one second into maintenance is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sup>
        </m:sSup>
      </m:oMath>
      <w:r>
        <w:rPr>
          <w:color w:val="1F4E9E"/>
        </w:rPr>
        <w:t xml:space="preserve">, which is negligible at the top of the range of </w:t>
      </w:r>
      <m:oMath>
        <m:r>
          <w:rPr>
            <w:rFonts w:ascii="Cambria Math" w:hAnsi="Cambria Math"/>
            <w:color w:val="1F4E9E"/>
          </w:rPr>
          <m:t xml:space="preserve">κ</m:t>
        </m:r>
      </m:oMath>
      <w:r>
        <w:rPr>
          <w:color w:val="1F4E9E"/>
        </w:rPr>
        <w:t xml:space="preserve"> in Table A1 and of order one at its bottom. The stationary forms are therefore used only where that condition is checked; wherever the value of </w:t>
      </w:r>
      <m:oMath>
        <m:r>
          <w:rPr>
            <w:rFonts w:ascii="Cambria Math" w:hAnsi="Cambria Math"/>
            <w:color w:val="1F4E9E"/>
          </w:rPr>
          <m:t xml:space="preserve">κ</m:t>
        </m:r>
      </m:oMath>
      <w:r>
        <w:rPr>
          <w:color w:val="1F4E9E"/>
        </w:rPr>
        <w:t xml:space="preserve"> bears on a conclusion the moments are taken from (15) to (17) directly. That is the region most favorable to Model 1, and therefore the region a bound must not approximate away.</w:t>
      </w:r>
    </w:p>
    <w:p w14:paraId="73212C5D" w14:textId="77777777" w:rsidR="00205CBC" w:rsidRDefault="00000000">
      <w:r>
        <w:rPr>
          <w:color w:val="1F4E9E"/>
          <w:i/>
          <w:b/>
        </w:rPr>
        <w:t xml:space="preserve">The crossing rate</w:t>
      </w:r>
    </w:p>
    <w:p w14:paraId="73212C5D" w14:textId="77777777" w:rsidR="00205CBC" w:rsidRDefault="00000000">
      <w:r>
        <w:rPr>
          <w:color w:val="1F4E9E"/>
        </w:rPr>
        <w:t xml:space="preserve">Let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so that upcrossings of </w:t>
      </w:r>
      <m:oMath>
        <m:r>
          <w:rPr>
            <w:rFonts w:ascii="Cambria Math" w:hAnsi="Cambria Math"/>
            <w:color w:val="1F4E9E"/>
          </w:rPr>
          <m:t xml:space="preserve">d</m:t>
        </m:r>
      </m:oMath>
      <w:r>
        <w:rPr>
          <w:color w:val="1F4E9E"/>
        </w:rPr>
        <w:t xml:space="preserve"> by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are upcrossings of zero by </w:t>
      </w:r>
      <m:oMath>
        <m:r>
          <w:rPr>
            <w:rFonts w:ascii="Cambria Math" w:hAnsi="Cambria Math"/>
            <w:color w:val="1F4E9E"/>
          </w:rPr>
          <m:t xml:space="preserve">Z</m:t>
        </m:r>
      </m:oMath>
      <w:r>
        <w:rPr>
          <w:color w:val="1F4E9E"/>
        </w:rPr>
        <w:t xml:space="preserve">, and </w:t>
      </w:r>
      <m:oMath>
        <m:acc>
          <m:accPr>
            <m:chr m:val="̇"/>
            <m:ctrlPr/>
          </m:accPr>
          <m:e>
            <m:r>
              <w:rPr>
                <w:rFonts w:ascii="Cambria Math" w:hAnsi="Cambria Math"/>
                <w:color w:val="1F4E9E"/>
              </w:rPr>
              <m:t xml:space="preserve">Z</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Trajectories that reach the response criterion before the end of the delay are neglected; they are premature responses, excluded from the empirical analysis and held to a small fraction of trials by the admissibility screen. Since </w:t>
      </w:r>
      <m:oMath>
        <m:r>
          <w:rPr>
            <w:rFonts w:ascii="Cambria Math" w:hAnsi="Cambria Math"/>
            <w:color w:val="1F4E9E"/>
          </w:rPr>
          <m:t xml:space="preserve">H</m:t>
        </m:r>
      </m:oMath>
      <w:r>
        <w:rPr>
          <w:color w:val="1F4E9E"/>
        </w:rPr>
        <w:t xml:space="preserve"> is almost surely continuously differentiable and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and non-degenerate for </w:t>
      </w:r>
      <m:oMath>
        <m:r>
          <w:rPr>
            <w:rFonts w:ascii="Cambria Math" w:hAnsi="Cambria Math"/>
            <w:color w:val="1F4E9E"/>
          </w:rPr>
          <m:t xml:space="preserve">ρ</m:t>
        </m:r>
        <m:r>
          <m:rPr>
            <m:nor/>
          </m:rPr>
          <w:rPr>
            <w:rFonts w:ascii="Cambria Math" w:hAnsi="Cambria Math"/>
            <w:color w:val="1F4E9E"/>
          </w:rPr>
          <m:t xml:space="preserve">&gt;</m:t>
        </m:r>
        <m:r>
          <m:rPr>
            <m:nor/>
          </m:rPr>
          <w:rPr>
            <w:rFonts w:ascii="Cambria Math" w:hAnsi="Cambria Math"/>
            <w:color w:val="1F4E9E"/>
          </w:rPr>
          <m:t xml:space="preserve">0</m:t>
        </m:r>
      </m:oMath>
      <w:r>
        <w:rPr>
          <w:color w:val="1F4E9E"/>
        </w:rPr>
        <w:t xml:space="preserve">, the Kac–Rice formula gives the expected upcrossing rate (Azaïs &amp; Wschebor, 2009, ch. 3):</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 </m:t>
              </m:r>
              <m:r>
                <m:rPr>
                  <m:nor/>
                </m:rPr>
                <w:rPr>
                  <w:rFonts w:ascii="Cambria Math" w:hAnsi="Cambria Math"/>
                  <w:color w:val="1F4E9E"/>
                </w:rPr>
                <m:t xml:space="preserve">E</m:t>
              </m:r>
              <m:d>
                <m:dPr>
                  <m:begChr m:val="["/>
                  <m:endChr m:val="]"/>
                  <m:ctrlPr/>
                </m:dPr>
                <m:e>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sSub>
                    <m:sSubPr>
                      <m:ctrlPr/>
                    </m:sSubPr>
                    <m:e>
                      <m:r>
                        <m:rPr>
                          <m:nor/>
                        </m:rPr>
                        <w:rPr>
                          <w:rFonts w:ascii="Cambria Math" w:hAnsi="Cambria Math"/>
                          <w:color w:val="1F4E9E"/>
                        </w:rPr>
                        <m:t xml:space="preserve">1</m:t>
                      </m:r>
                    </m:e>
                    <m:sub>
                      <m:r>
                        <m:rPr>
                          <m:nor/>
                        </m:rPr>
                        <w:rPr>
                          <w:rFonts w:ascii="Cambria Math" w:hAnsi="Cambria Math"/>
                          <w:color w:val="1F4E9E"/>
                        </w:rPr>
                        <m:t xml:space="preserve">{</m:t>
                      </m:r>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r>
                    <m:rPr>
                      <m:nor/>
                    </m:rPr>
                    <w:rPr>
                      <w:rFonts w:ascii="Cambria Math" w:hAnsi="Cambria Math"/>
                      <w:color w:val="1F4E9E"/>
                    </w:rPr>
                    <m:t xml:space="preserve"> | </m:t>
                  </m:r>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0</m:t>
                  </m:r>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9</m:t>
                  </m:r>
                </m:e>
              </m:d>
            </m:e>
          </m:eqArr>
        </m:oMath>
      </m:oMathPara>
    </w:p>
    <w:p w14:paraId="73212C5D" w14:textId="77777777" w:rsidR="00205CBC" w:rsidRDefault="00000000">
      <w:r>
        <w:rPr>
          <w:color w:val="1F4E9E"/>
        </w:rPr>
        <w:t xml:space="preserve">No stationarity is assumed: the formula requires only continuous differentiability and non-degenerate one-dimensional marginals, both of which hold from the moment maintenance begins. Since </w:t>
      </w:r>
      <m:oMath>
        <m:r>
          <w:rPr>
            <w:rFonts w:ascii="Cambria Math" w:hAnsi="Cambria Math"/>
            <w:color w:val="1F4E9E"/>
          </w:rPr>
          <m:t xml:space="preserve">H</m:t>
        </m:r>
      </m:oMath>
      <w:r>
        <w:rPr>
          <w:color w:val="1F4E9E"/>
        </w:rPr>
        <w:t xml:space="preserve"> is centred,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oMath>
      <w:r>
        <w:rPr>
          <w:color w:val="1F4E9E"/>
        </w:rPr>
        <w:t xml:space="preserve"> and </w:t>
      </w:r>
      <m:oMath>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Because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w:t>
      </w:r>
      <m:oMath>
        <m:acc>
          <m:accPr>
            <m:chr m:val="̇"/>
            <m:ctrlPr/>
          </m:accPr>
          <m:e>
            <m:r>
              <w:rPr>
                <w:rFonts w:ascii="Cambria Math" w:hAnsi="Cambria Math"/>
                <w:color w:val="1F4E9E"/>
              </w:rPr>
              <m:t xml:space="preserve">Z</m:t>
            </m:r>
          </m:e>
        </m:acc>
      </m:oMath>
      <w:r>
        <w:rPr>
          <w:color w:val="1F4E9E"/>
        </w:rPr>
        <w:t xml:space="preserve"> given </w:t>
      </w:r>
      <m:oMath>
        <m:r>
          <w:rPr>
            <w:rFonts w:ascii="Cambria Math" w:hAnsi="Cambria Math"/>
            <w:color w:val="1F4E9E"/>
          </w:rPr>
          <m:t xml:space="preserve">Z</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is Gaussian with</w:t>
      </w:r>
    </w:p>
    <w:p w14:paraId="73212C5D" w14:textId="77777777" w:rsidR="00205CBC" w:rsidRDefault="00000000">
      <m:oMathPara>
        <m:oMath>
          <m:eqArr>
            <m:eqArrPr>
              <m:maxDist m:val="1"/>
              <m:ctrlPr/>
            </m:eqArrPr>
            <m:e>
              <m:r>
                <w:rPr>
                  <w:rFonts w:ascii="Cambria Math" w:hAnsi="Cambria Math"/>
                  <w:color w:val="1F4E9E"/>
                </w:rPr>
                <m:t xml:space="preserve">M</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r>
                <m:rPr>
                  <m:nor/>
                </m:rPr>
                <w:rPr>
                  <w:rFonts w:ascii="Cambria Math" w:hAnsi="Cambria Math"/>
                  <w:color w:val="1F4E9E"/>
                </w:rPr>
                <m:t xml:space="preserve">+</m:t>
              </m:r>
              <m:f>
                <m:fPr>
                  <m:ctrlPr/>
                </m:fPr>
                <m:num>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S</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0</m:t>
                  </m:r>
                </m:e>
              </m:d>
            </m:e>
          </m:eqArr>
        </m:oMath>
      </m:oMathPara>
    </w:p>
    <w:p w14:paraId="73212C5D" w14:textId="77777777" w:rsidR="00205CBC" w:rsidRDefault="00000000">
      <w:r>
        <w:rPr>
          <w:color w:val="1F4E9E"/>
        </w:rPr>
        <w:t xml:space="preserve">and for </w:t>
      </w:r>
      <m:oMath>
        <m:r>
          <w:rPr>
            <w:rFonts w:ascii="Cambria Math" w:hAnsi="Cambria Math"/>
            <w:color w:val="1F4E9E"/>
          </w:rPr>
          <m:t xml:space="preserve">X</m:t>
        </m:r>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S</m:t>
            </m:r>
          </m:e>
        </m:d>
      </m:oMath>
      <w:r>
        <w:rPr>
          <w:color w:val="1F4E9E"/>
        </w:rPr>
        <w:t xml:space="preserve"> one has </w:t>
      </w:r>
      <m:oMath>
        <m:r>
          <m:rPr>
            <m:nor/>
          </m:rPr>
          <w:rPr>
            <w:rFonts w:ascii="Cambria Math" w:hAnsi="Cambria Math"/>
            <w:color w:val="1F4E9E"/>
          </w:rPr>
          <m:t xml:space="preserve">E</m:t>
        </m:r>
        <m:d>
          <m:dPr>
            <m:begChr m:val="["/>
            <m:endChr m:val="]"/>
            <m:ctrlPr/>
          </m:dPr>
          <m:e>
            <m:r>
              <w:rPr>
                <w:rFonts w:ascii="Cambria Math" w:hAnsi="Cambria Math"/>
                <w:color w:val="1F4E9E"/>
              </w:rPr>
              <m:t xml:space="preserve">X</m:t>
            </m:r>
            <m:sSub>
              <m:sSubPr>
                <m:ctrlPr/>
              </m:sSubPr>
              <m:e>
                <m:r>
                  <m:rPr>
                    <m:nor/>
                  </m:rPr>
                  <w:rPr>
                    <w:rFonts w:ascii="Cambria Math" w:hAnsi="Cambria Math"/>
                    <w:color w:val="1F4E9E"/>
                  </w:rPr>
                  <m:t xml:space="preserve">1</m:t>
                </m:r>
              </m:e>
              <m:sub>
                <m:r>
                  <m:rPr>
                    <m:nor/>
                  </m:rPr>
                  <w:rPr>
                    <w:rFonts w:ascii="Cambria Math" w:hAnsi="Cambria Math"/>
                    <w:color w:val="1F4E9E"/>
                  </w:rPr>
                  <m:t xml:space="preserve">{</m:t>
                </m:r>
                <m:r>
                  <w:rPr>
                    <w:rFonts w:ascii="Cambria Math" w:hAnsi="Cambria Math"/>
                    <w:color w:val="1F4E9E"/>
                  </w:rPr>
                  <m:t xml:space="preserve">X</m:t>
                </m:r>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e>
        </m:d>
        <m:r>
          <m:rPr>
            <m:nor/>
          </m:rPr>
          <w:rPr>
            <w:rFonts w:ascii="Cambria Math" w:hAnsi="Cambria Math"/>
            <w:color w:val="1F4E9E"/>
          </w:rPr>
          <m:t xml:space="preserve">=</m:t>
        </m:r>
        <m:r>
          <w:rPr>
            <w:rFonts w:ascii="Cambria Math" w:hAnsi="Cambria Math"/>
            <w:color w:val="1F4E9E"/>
          </w:rPr>
          <m:t xml:space="preserve">M</m:t>
        </m:r>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oMath>
      <w:r>
        <w:rPr>
          <w:color w:val="1F4E9E"/>
        </w:rPr>
        <w:t xml:space="preserve">. Substituting into (19) gives the rate in general form,</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num>
                <m:den>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den>
              </m:f>
              <m:d>
                <m:dPr>
                  <m:begChr m:val="["/>
                  <m:endChr m:val="]"/>
                  <m:ctrlPr/>
                </m:dPr>
                <m:e>
                  <m:r>
                    <w:rPr>
                      <w:rFonts w:ascii="Cambria Math" w:hAnsi="Cambria Math"/>
                      <w:color w:val="1F4E9E"/>
                    </w:rPr>
                    <m:t xml:space="preserve">M</m:t>
                  </m:r>
                  <m:d>
                    <m:dPr>
                      <m:begChr m:val="("/>
                      <m:endChr m:val=")"/>
                      <m:ctrlPr/>
                    </m:dPr>
                    <m:e>
                      <m:r>
                        <w:rPr>
                          <w:rFonts w:ascii="Cambria Math" w:hAnsi="Cambria Math"/>
                          <w:color w:val="1F4E9E"/>
                        </w:rPr>
                        <m:t xml:space="preserve">t</m:t>
                      </m:r>
                    </m:e>
                  </m: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r>
                    <m:rPr>
                      <m:nor/>
                    </m:rPr>
                    <w:rPr>
                      <w:rFonts w:ascii="Cambria Math" w:hAnsi="Cambria Math"/>
                      <w:color w:val="1F4E9E"/>
                    </w:rPr>
                    <m:t xml:space="preserve">+</m:t>
                  </m:r>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Once the transient has passed the covariance vanishes, so </w:t>
      </w:r>
      <m:oMath>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oMath>
      <w:r>
        <w:rPr>
          <w:color w:val="1F4E9E"/>
        </w:rPr>
        <w:t xml:space="preserve">.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for the standardized distance from the maintained level to the gate — the one abbreviation kept, because it is the quantity every result below turns on — (21) becomes</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expression used in Results (Delay-locked). The bracket does not depend on the distance to the gate, and the ramp enters it only through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speed at which temporal preparation carries the signal toward the gate.</w:t>
      </w:r>
    </w:p>
    <w:p w14:paraId="73212C5D" w14:textId="77777777" w:rsidR="00205CBC" w:rsidRDefault="00000000">
      <w:r>
        <w:rPr>
          <w:color w:val="1F4E9E"/>
        </w:rPr>
        <w:t xml:space="preserve">Corollary A.1 (the ceiling on Model 1’s delay-period rate, and when it applies).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(22) — Model 1 — gives the classical Rice formula,</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attained when the gate sits at the maintained level. That bound holds only once the fluctuation is stationary. Before then,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gives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the exact ceiling</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1</m:t>
                  </m:r>
                </m:num>
                <m:den>
                  <m:r>
                    <m:rPr>
                      <m:nor/>
                    </m:rPr>
                    <w:rPr>
                      <w:rFonts w:ascii="Cambria Math" w:hAnsi="Cambria Math"/>
                      <w:color w:val="1F4E9E"/>
                    </w:rPr>
                    <m:t xml:space="preserve">2</m:t>
                  </m:r>
                  <m:r>
                    <w:rPr>
                      <w:rFonts w:ascii="Cambria Math" w:hAnsi="Cambria Math"/>
                      <w:color w:val="1F4E9E"/>
                    </w:rPr>
                    <m:t xml:space="preserve">π</m:t>
                  </m:r>
                </m:den>
              </m:f>
              <m:rad>
                <m:radPr>
                  <m:degHide m:val="1"/>
                  <m:ctrlPr/>
                </m:radPr>
                <m:deg/>
                <m:e>
                  <m:f>
                    <m:fPr>
                      <m:ctrlPr/>
                    </m:fPr>
                    <m:num>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2</m:t>
                          </m:r>
                        </m:sup>
                      </m:sSup>
                    </m:den>
                  </m:f>
                </m:e>
              </m:ra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which exceeds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while the variance is still filling in, and diverges 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at the very start of maintenance the fluctuation is smooth but its variance is small, so a gate placed at the maintained level is crossed very often. Non-stationarity therefore RAISES the ceiling rather than lowering it, and the covariance term subtracted in (24) offsets only a small part of that. The bound used in Results is (24), evaluated in the analyzed window. ∎</w:t>
      </w:r>
    </w:p>
    <w:p w14:paraId="73212C5D" w14:textId="77777777" w:rsidR="00205CBC" w:rsidRDefault="00000000">
      <w:r>
        <w:rPr>
          <w:color w:val="1F4E9E"/>
        </w:rPr>
        <w:t xml:space="preserve">Corollary A.2 (the log-rate slope). Under Model 2 the barrier moves at constant speed, so by (12) the standardized distance falls linearly,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a</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β</m:t>
        </m:r>
        <m:r>
          <w:rPr>
            <w:rFonts w:ascii="Cambria Math" w:hAnsi="Cambria Math"/>
            <w:color w:val="1F4E9E"/>
          </w:rPr>
          <m:t xml:space="preserve">τ</m:t>
        </m:r>
        <m:r>
          <m:rPr>
            <m:nor/>
          </m:rPr>
          <w:rPr>
            <w:rFonts w:ascii="Cambria Math" w:hAnsi="Cambria Math"/>
            <w:color w:val="1F4E9E"/>
          </w:rPr>
          <m:t xml:space="preserve">/</m:t>
        </m:r>
        <m:d>
          <m:dPr>
            <m:begChr m:val="("/>
            <m:endChr m:val=")"/>
            <m:ctrlPr/>
          </m:dPr>
          <m:e>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e>
        </m:d>
      </m:oMath>
      <w:r>
        <w:rPr>
          <w:color w:val="1F4E9E"/>
        </w:rPr>
        <w:t xml:space="preserve">. Taking logarithms in (22), the bracket is constant in </w:t>
      </w:r>
      <m:oMath>
        <m:r>
          <w:rPr>
            <w:rFonts w:ascii="Cambria Math" w:hAnsi="Cambria Math"/>
            <w:color w:val="1F4E9E"/>
          </w:rPr>
          <m:t xml:space="preserve">τ</m:t>
        </m:r>
      </m:oMath>
      <w:r>
        <w:rPr>
          <w:color w:val="1F4E9E"/>
        </w:rPr>
        <w:t xml:space="preserve"> and </w:t>
      </w:r>
      <m:oMath>
        <m:r>
          <m:rPr>
            <m:nor/>
          </m:rPr>
          <w:rPr>
            <w:rFonts w:ascii="Cambria Math" w:hAnsi="Cambria Math"/>
            <w:color w:val="1F4E9E"/>
          </w:rPr>
          <m:t xml:space="preserve">ln</m:t>
        </m:r>
        <m:r>
          <w:rPr>
            <w:rFonts w:ascii="Cambria Math" w:hAnsi="Cambria Math"/>
            <w:color w:val="1F4E9E"/>
          </w:rPr>
          <m:t xml:space="preserve">φ</m:t>
        </m:r>
        <m:d>
          <m:dPr>
            <m:begChr m:val="("/>
            <m:endChr m:val=")"/>
            <m:ctrlPr/>
          </m:dPr>
          <m:e>
            <m:r>
              <w:rPr>
                <w:rFonts w:ascii="Cambria Math" w:hAnsi="Cambria Math"/>
                <w:color w:val="1F4E9E"/>
              </w:rPr>
              <m:t xml:space="preserve">a</m:t>
            </m:r>
          </m:e>
        </m:d>
        <m:r>
          <m:rPr>
            <m:nor/>
          </m:rPr>
          <w:rPr>
            <w:rFonts w:ascii="Cambria Math" w:hAnsi="Cambria Math"/>
            <w:color w:val="1F4E9E"/>
          </w:rPr>
          <m:t xml:space="preserve">=</m:t>
        </m:r>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r>
          <m:rPr>
            <m:nor/>
          </m:rPr>
          <w:rPr>
            <w:rFonts w:ascii="Cambria Math" w:hAnsi="Cambria Math"/>
            <w:color w:val="1F4E9E"/>
          </w:rPr>
          <m:t xml:space="preserve">-</m:t>
        </m:r>
        <m:r>
          <m:rPr>
            <m:nor/>
          </m:rPr>
          <w:rPr>
            <w:rFonts w:ascii="Cambria Math" w:hAnsi="Cambria Math"/>
            <w:color w:val="1F4E9E"/>
          </w:rPr>
          <m:t xml:space="preserve">ln</m:t>
        </m:r>
        <m:rad>
          <m:radPr>
            <m:degHide m:val="1"/>
            <m:ctrlPr/>
          </m:radPr>
          <m:deg/>
          <m:e>
            <m:r>
              <m:rPr>
                <m:nor/>
              </m:rPr>
              <w:rPr>
                <w:rFonts w:ascii="Cambria Math" w:hAnsi="Cambria Math"/>
                <w:color w:val="1F4E9E"/>
              </w:rPr>
              <m:t xml:space="preserve">2</m:t>
            </m:r>
            <m:r>
              <w:rPr>
                <w:rFonts w:ascii="Cambria Math" w:hAnsi="Cambria Math"/>
                <w:color w:val="1F4E9E"/>
              </w:rPr>
              <m:t xml:space="preserve">π</m:t>
            </m:r>
          </m:e>
        </m:rad>
      </m:oMath>
      <w:r>
        <w:rPr>
          <w:color w:val="1F4E9E"/>
        </w:rPr>
        <w:t xml:space="preserve">, so</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Its curvature is negative, and constant in time — the log rate is exactly a downward parabola — with the same value in all six conditions, since </w:t>
      </w:r>
      <m:oMath>
        <m:r>
          <w:rPr>
            <w:rFonts w:ascii="Cambria Math" w:hAnsi="Cambria Math"/>
            <w:color w:val="1F4E9E"/>
          </w:rPr>
          <m:t xml:space="preserve">β</m:t>
        </m:r>
      </m:oMath>
      <w:r>
        <w:rPr>
          <w:color w:val="1F4E9E"/>
        </w:rPr>
        <w:t xml:space="preserve">, </w:t>
      </w:r>
      <m:oMath>
        <m:r>
          <w:rPr>
            <w:rFonts w:ascii="Cambria Math" w:hAnsi="Cambria Math"/>
            <w:color w:val="1F4E9E"/>
          </w:rPr>
          <m:t xml:space="preserve">δ</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properties of the participant and not of the condition. A cell with a higher rate has a smaller standardized distance and so a shallower predicted log-rate slope. ∎</w:t>
      </w:r>
    </w:p>
    <w:p w14:paraId="73212C5D" w14:textId="77777777" w:rsidR="00205CBC" w:rsidRDefault="00000000">
      <w:r>
        <w:rPr>
          <w:color w:val="1F4E9E"/>
        </w:rPr>
        <w:t xml:space="preserve">Proposition A.3 (saturation and the coherence × duration interaction). The model predicts the effect of coherence on the delay-period rate to be smaller, not larger, after a long stimulus. Proof. The maintained TARGET is capped pathwise at </w:t>
      </w:r>
      <m:oMath>
        <m:r>
          <w:rPr>
            <w:rFonts w:ascii="Cambria Math" w:hAnsi="Cambria Math"/>
            <w:color w:val="1F4E9E"/>
          </w:rPr>
          <m:t xml:space="preserve">θ</m:t>
        </m:r>
      </m:oMath>
      <w:r>
        <w:rPr>
          <w:color w:val="1F4E9E"/>
        </w:rPr>
        <w:t xml:space="preserve">: a trial that reaches the threshold has its target pinned there for the rest of the delay, though its signal continues to fluctuate about that target. On such a trial the distance </w:t>
      </w:r>
      <m:oMath>
        <m:r>
          <w:rPr>
            <w:rFonts w:ascii="Cambria Math" w:hAnsi="Cambria Math"/>
            <w:color w:val="1F4E9E"/>
          </w:rPr>
          <m:t xml:space="preserve">d</m:t>
        </m:r>
      </m:oMath>
      <w:r>
        <w:rPr>
          <w:color w:val="1F4E9E"/>
        </w:rPr>
        <w:t xml:space="preserve"> entering (21) is </w:t>
      </w:r>
      <m:oMath>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θ</m:t>
        </m:r>
      </m:oMath>
      <w:r>
        <w:rPr>
          <w:color w:val="1F4E9E"/>
        </w:rPr>
        <w:t xml:space="preserve"> less the ramp, the same in every condition, and the law of </w:t>
      </w:r>
      <m:oMath>
        <m:r>
          <w:rPr>
            <w:rFonts w:ascii="Cambria Math" w:hAnsi="Cambria Math"/>
            <w:color w:val="1F4E9E"/>
          </w:rPr>
          <m:t xml:space="preserve">H</m:t>
        </m:r>
      </m:oMath>
      <w:r>
        <w:rPr>
          <w:color w:val="1F4E9E"/>
        </w:rPr>
        <w:t xml:space="preserve">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therefore converge on a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moving every cell closer to it.</w:t>
      </w:r>
    </w:p>
    <w:p w14:paraId="73212C5D" w14:textId="77777777" w:rsidR="00205CBC" w:rsidRDefault="00000000">
      <w:r>
        <w:rPr>
          <w:color w:val="1F4E9E"/>
        </w:rPr>
        <w:t xml:space="preserve">The argument is a limit argument, and the prediction holds only as the limit is approached. It requires the LOWEST-coherence long-duration cell to be near the cap: the effect is a difference between coherences, and the cap can shrink that difference only once both of its terms are capped. Where that fails the prediction reverses, for the converse reason: below the cap the target is free, its mean grows about as </w:t>
      </w:r>
      <m:oMath>
        <m:r>
          <w:rPr>
            <w:rFonts w:ascii="Cambria Math" w:hAnsi="Cambria Math"/>
            <w:color w:val="1F4E9E"/>
          </w:rPr>
          <m:t xml:space="preserve">k</m:t>
        </m:r>
        <m:r>
          <w:rPr>
            <w:rFonts w:ascii="Cambria Math" w:hAnsi="Cambria Math"/>
            <w:color w:val="1F4E9E"/>
          </w:rPr>
          <m:t xml:space="preserve">c</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and its coherence derivative </w:t>
      </w:r>
      <m:oMath>
        <m:r>
          <w:rPr>
            <w:rFonts w:ascii="Cambria Math" w:hAnsi="Cambria Math"/>
            <w:color w:val="1F4E9E"/>
          </w:rPr>
          <m:t xml:space="preserve">k</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grows with duration. Saturation is what turns that growth into a shrinkage. The condition cannot be enforced through accuracy, because the contrast is taken against the zero-coherence cell, whose accuracy is one half by symmetry at every parameter setting.</w:t>
      </w:r>
    </w:p>
    <w:p w14:paraId="73212C5D" w14:textId="77777777" w:rsidR="00205CBC" w:rsidRDefault="00000000">
      <w:r>
        <w:rPr>
          <w:color w:val="1F4E9E"/>
        </w:rPr>
        <w:t xml:space="preserve">A second channel works in the same direction and is not covered by the argument above. The delay window is timed from stimulus offset, not from the crossing of </w:t>
      </w:r>
      <m:oMath>
        <m:r>
          <w:rPr>
            <w:rFonts w:ascii="Cambria Math" w:hAnsi="Cambria Math"/>
            <w:color w:val="1F4E9E"/>
          </w:rPr>
          <m:t xml:space="preserve">θ</m:t>
        </m:r>
      </m:oMath>
      <w:r>
        <w:rPr>
          <w:color w:val="1F4E9E"/>
        </w:rPr>
        <w:t xml:space="preserve">, and the crossing occurs earlier at higher coherence. Capped trials at high coherence have therefore been in maintenance longer when the window opens, their variance has filled in further, and their rate is correspondingly higher — a residual coherence effect among capped trials, larger after the long stimulus than after the short one. It vanishes once the fluctuation is stationary well before the window opens, and so bites only at small </w:t>
      </w:r>
      <m:oMath>
        <m:r>
          <w:rPr>
            <w:rFonts w:ascii="Cambria Math" w:hAnsi="Cambria Math"/>
            <w:color w:val="1F4E9E"/>
          </w:rPr>
          <m:t xml:space="preserve">κ</m:t>
        </m:r>
      </m:oMath>
      <w:r>
        <w:rPr>
          <w:color w:val="1F4E9E"/>
        </w:rPr>
        <w:t xml:space="preserve">, which is the regime in which Model 1 can produce any ramp at all. Its size, and the frequency with which either failure occurs over the admissible space, are reported in Results (Delay-locked). ∎</w:t>
      </w:r>
    </w:p>
    <w:p w14:paraId="73212C5D" w14:textId="77777777" w:rsidR="00205CBC" w:rsidRDefault="00000000">
      <w:r>
        <w:rPr>
          <w:color w:val="1F4E9E"/>
        </w:rPr>
        <w:t xml:space="preserve">Remark A.4. Corollary A.2 and Proposition A.3 pull in opposite directions on the coherence dependence of the delay-period rate, and are consistent. A.3 concerns the rate itself, whose coherence dependence saturates; A.2 concerns the slope of its logarithm, which remains coherence-dependent — shallower where the rate is higher — precisely because the distance to the gate is smaller there. A residual coherence dependence of the log-rate slope is a signature of saturated maintenance, not of continued evidence accumulation.</w:t>
      </w:r>
    </w:p>
    <w:p w14:paraId="73212C5D" w14:textId="77777777" w:rsidR="00205CBC" w:rsidRDefault="00000000">
      <w:r>
        <w:rPr>
          <w:color w:val="1F4E9E"/>
        </w:rPr>
        <w:t xml:space="preserve">Corollary A.5 (Model 1 cannot ramp and activate at the same rate). Under Model 1 any delay-period ramp exists only by virtue of the non-stationarity of </w:t>
      </w:r>
      <m:oMath>
        <m:r>
          <w:rPr>
            <w:rFonts w:ascii="Cambria Math" w:hAnsi="Cambria Math"/>
            <w:color w:val="1F4E9E"/>
          </w:rPr>
          <m:t xml:space="preserve">H</m:t>
        </m:r>
      </m:oMath>
      <w:r>
        <w:rPr>
          <w:color w:val="1F4E9E"/>
        </w:rPr>
        <w:t xml:space="preserve">, and it is traded off against the rate itself, the trade-off being carried by the standardized distance. Proof. Maintenance begins with the filtered signal exactly at its target and the Ornstein–Uhlenbeck input at its own mean, so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with zero variance and the moments (15) and (16) relax to their stationary limits from below. Set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and drop the covariance term — take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in (20), which is exact at stationarity. Writing </w:t>
      </w:r>
      <m:oMath>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and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with </w:t>
      </w:r>
      <m:oMath>
        <m:r>
          <w:rPr>
            <w:rFonts w:ascii="Cambria Math" w:hAnsi="Cambria Math"/>
            <w:color w:val="1F4E9E"/>
          </w:rPr>
          <m:t xml:space="preserve">d</m:t>
        </m:r>
      </m:oMath>
      <w:r>
        <w:rPr>
          <w:color w:val="1F4E9E"/>
        </w:rPr>
        <w:t xml:space="preserve"> constant, </w:t>
      </w:r>
      <m:oMath>
        <m:r>
          <m:rPr>
            <m:nor/>
          </m:rPr>
          <w:rPr>
            <w:rFonts w:ascii="Cambria Math" w:hAnsi="Cambria Math"/>
            <w:color w:val="1F4E9E"/>
          </w:rPr>
          <m:t xml:space="preserve">ln</m:t>
        </m:r>
        <m:r>
          <w:rPr>
            <w:rFonts w:ascii="Cambria Math" w:hAnsi="Cambria Math"/>
            <w:color w:val="1F4E9E"/>
          </w:rPr>
          <m:t xml:space="preserve">ν</m:t>
        </m:r>
        <m:r>
          <m:rPr>
            <m:nor/>
          </m:rPr>
          <w:rPr>
            <w:rFonts w:ascii="Cambria Math" w:hAnsi="Cambria Math"/>
            <w:color w:val="1F4E9E"/>
          </w:rPr>
          <m:t xml:space="preserve">=</m:t>
        </m:r>
        <m:r>
          <m:rPr>
            <m:nor/>
          </m:rPr>
          <w:rPr>
            <w:rFonts w:ascii="Cambria Math" w:hAnsi="Cambria Math"/>
            <w:color w:val="1F4E9E"/>
          </w:rPr>
          <m:t xml:space="preserve">ln</m:t>
        </m:r>
        <m:d>
          <m:dPr>
            <m:begChr m:val="["/>
            <m:endChr m:val="]"/>
            <m:ctrlPr/>
          </m:dPr>
          <m:e>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e>
        </m:d>
        <m:r>
          <m:rPr>
            <m:nor/>
          </m:rPr>
          <w:rPr>
            <w:rFonts w:ascii="Cambria Math" w:hAnsi="Cambria Math"/>
            <w:color w:val="1F4E9E"/>
          </w:rPr>
          <m:t xml:space="preserve">-</m:t>
        </m:r>
        <m:r>
          <w:rPr>
            <w:rFonts w:ascii="Cambria Math" w:hAnsi="Cambria Math"/>
            <w:color w:val="1F4E9E"/>
          </w:rPr>
          <m:t xml:space="preserve">a</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and</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m:rPr>
                      <m:nor/>
                    </m:rPr>
                    <w:rPr>
                      <w:rFonts w:ascii="Cambria Math" w:hAnsi="Cambria Math"/>
                      <w:color w:val="1F4E9E"/>
                    </w:rPr>
                    <m:t xml:space="preserve">1</m:t>
                  </m:r>
                </m:num>
                <m:den>
                  <m:r>
                    <m:rPr>
                      <m:nor/>
                    </m:rPr>
                    <w:rPr>
                      <w:rFonts w:ascii="Cambria Math" w:hAnsi="Cambria Math"/>
                      <w:color w:val="1F4E9E"/>
                    </w:rPr>
                    <m:t xml:space="preserve">2</m:t>
                  </m:r>
                </m:den>
              </m:f>
              <m:d>
                <m:dPr>
                  <m:begChr m:val="["/>
                  <m:endChr m:val="]"/>
                  <m:ctrlPr/>
                </m:d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en>
                  </m:f>
                  <m:r>
                    <m:rPr>
                      <m:nor/>
                    </m:rPr>
                    <w:rPr>
                      <w:rFonts w:ascii="Cambria Math" w:hAnsi="Cambria Math"/>
                      <w:color w:val="1F4E9E"/>
                    </w:rPr>
                    <m:t xml:space="preserve">-</m:t>
                  </m:r>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e>
              </m:d>
              <m:r>
                <m:rPr>
                  <m:nor/>
                </m:rPr>
                <w:rPr>
                  <w:rFonts w:ascii="Cambria Math" w:hAnsi="Cambria Math"/>
                  <w:color w:val="1F4E9E"/>
                </w:rPr>
                <m:t xml:space="preserve">+</m:t>
              </m:r>
              <m:f>
                <m:fPr>
                  <m:ctrlPr/>
                </m:fPr>
                <m:num>
                  <m:sSup>
                    <m:sSupPr>
                      <m:ctrlPr/>
                    </m:sSupPr>
                    <m:e>
                      <m:r>
                        <w:rPr>
                          <w:rFonts w:ascii="Cambria Math" w:hAnsi="Cambria Math"/>
                          <w:color w:val="1F4E9E"/>
                        </w:rPr>
                        <m:t xml:space="preserve">a</m:t>
                      </m:r>
                    </m:e>
                    <m:sup>
                      <m:r>
                        <m:rPr>
                          <m:nor/>
                        </m:rPr>
                        <w:rPr>
                          <w:rFonts w:ascii="Cambria Math" w:hAnsi="Cambria Math"/>
                          <w:color w:val="1F4E9E"/>
                        </w:rPr>
                        <m:t xml:space="preserve">2</m:t>
                      </m:r>
                    </m:sup>
                  </m:sSup>
                </m:num>
                <m:den>
                  <m:r>
                    <m:rPr>
                      <m:nor/>
                    </m:rPr>
                    <w:rPr>
                      <w:rFonts w:ascii="Cambria Math" w:hAnsi="Cambria Math"/>
                      <w:color w:val="1F4E9E"/>
                    </w:rPr>
                    <m:t xml:space="preserve">2</m:t>
                  </m:r>
                </m:den>
              </m:f>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 second term is positive — the variance is still filling in — and is what produces the ramp. The first is negative throughout the analyzed window, and by a margin that can be read off (15) and (16): both variances carry both modes, but the slow mode enters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with relative weight </w:t>
      </w:r>
      <m:oMath>
        <m:r>
          <w:rPr>
            <w:rFonts w:ascii="Cambria Math" w:hAnsi="Cambria Math"/>
            <w:color w:val="1F4E9E"/>
          </w:rPr>
          <m:t xml:space="preserve">κ</m:t>
        </m:r>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oMath>
      <w:r>
        <w:rPr>
          <w:color w:val="1F4E9E"/>
        </w:rPr>
        <w:t xml:space="preserve"> and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with relative weight of order one, so once the fast mode has died the first bracket is smaller than the second by about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Two consequences follow. At </w:t>
      </w:r>
      <m:oMath>
        <m:r>
          <w:rPr>
            <w:rFonts w:ascii="Cambria Math" w:hAnsi="Cambria Math"/>
            <w:color w:val="1F4E9E"/>
          </w:rPr>
          <m:t xml:space="preserve">a</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where the ceiling of A.1 is attained — the slope is strictly negative: the configuration that maximizes Model 1’s delay-period rate is one in which that rate declines, so the ceiling is not the binding constraint. And a positive slope requires </w:t>
      </w:r>
      <m:oMath>
        <m:r>
          <w:rPr>
            <w:rFonts w:ascii="Cambria Math" w:hAnsi="Cambria Math"/>
            <w:color w:val="1F4E9E"/>
          </w:rPr>
          <m:t xml:space="preserve">a</m:t>
        </m:r>
        <m:r>
          <m:rPr>
            <m:nor/>
          </m:rPr>
          <w:rPr>
            <w:rFonts w:ascii="Cambria Math" w:hAnsi="Cambria Math"/>
            <w:color w:val="1F4E9E"/>
          </w:rPr>
          <m:t xml:space="preserve">&gt;</m:t>
        </m:r>
        <m:r>
          <m:rPr>
            <m:nor/>
          </m:rPr>
          <w:rPr>
            <w:rFonts w:ascii="Cambria Math" w:hAnsi="Cambria Math"/>
            <w:color w:val="1F4E9E"/>
          </w:rPr>
          <m:t xml:space="preserve">1</m:t>
        </m:r>
      </m:oMath>
      <w:r>
        <w:rPr>
          <w:color w:val="1F4E9E"/>
        </w:rPr>
        <w:t xml:space="preserve"> to good approximation, while by (23) every further unit of standardized distance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governed by the same quantity in opposite directions. The covariance term dropped above is non-negative, so it raises the rate at every distance without changing which distances give a rising one, and it is retained in the numerical evaluation. Where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the margin argued above is absent, both terms being of the same order; but there the fluctuation is stationary long before the window opens, both terms are negligible, and the slope is flat. ∎</w:t>
      </w:r>
    </w:p>
    <w:p w14:paraId="73212C5D" w14:textId="77777777" w:rsidR="00205CBC" w:rsidRDefault="00000000">
      <w:r>
        <w:rPr>
          <w:color w:val="1F4E9E"/>
        </w:rPr>
        <w:t xml:space="preserve">Remark A.6 (the same trade-off for Model 2). Temporal preparation moves the barrier: with </w:t>
      </w:r>
      <m:oMath>
        <m:r>
          <w:rPr>
            <w:rFonts w:ascii="Cambria Math" w:hAnsi="Cambria Math"/>
            <w:color w:val="1F4E9E"/>
          </w:rPr>
          <m:t xml:space="preserve">d</m:t>
        </m:r>
        <m:d>
          <m:dPr>
            <m:begChr m:val="("/>
            <m:endChr m:val=")"/>
            <m:ctrlPr/>
          </m:dPr>
          <m:e>
            <m:r>
              <w:rPr>
                <w:rFonts w:ascii="Cambria Math" w:hAnsi="Cambria Math"/>
                <w:color w:val="1F4E9E"/>
              </w:rPr>
              <m:t xml:space="preserve">τ</m:t>
            </m:r>
          </m:e>
        </m:d>
      </m:oMath>
      <w:r>
        <w:rPr>
          <w:color w:val="1F4E9E"/>
        </w:rPr>
        <w:t xml:space="preserve"> falling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by (12), the Kac–Rice formula (19) is unchanged except that the relevant derivative is </w:t>
      </w:r>
      <m:oMath>
        <m:acc>
          <m:accPr>
            <m:chr m:val="̇"/>
            <m:ctrlPr/>
          </m:accPr>
          <m:e>
            <m:r>
              <w:rPr>
                <w:rFonts w:ascii="Cambria Math" w:hAnsi="Cambria Math"/>
                <w:color w:val="1F4E9E"/>
              </w:rPr>
              <m:t xml:space="preserve">H</m:t>
            </m:r>
          </m:e>
        </m:acc>
        <m:r>
          <m:rPr>
            <m:nor/>
          </m:rPr>
          <w:rPr>
            <w:rFonts w:ascii="Cambria Math" w:hAnsi="Cambria Math"/>
            <w:color w:val="1F4E9E"/>
          </w:rPr>
          <m:t xml:space="preserve">-</m:t>
        </m:r>
        <m:acc>
          <m:accPr>
            <m:chr m:val="̇"/>
            <m:ctrlPr/>
          </m:accPr>
          <m:e>
            <m:r>
              <w:rPr>
                <w:rFonts w:ascii="Cambria Math" w:hAnsi="Cambria Math"/>
                <w:color w:val="1F4E9E"/>
              </w:rPr>
              <m:t xml:space="preserve">d</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which shifts the conditional mean </w:t>
      </w:r>
      <m:oMath>
        <m:r>
          <w:rPr>
            <w:rFonts w:ascii="Cambria Math" w:hAnsi="Cambria Math"/>
            <w:color w:val="1F4E9E"/>
          </w:rPr>
          <m:t xml:space="preserve">M</m:t>
        </m:r>
      </m:oMath>
      <w:r>
        <w:rPr>
          <w:color w:val="1F4E9E"/>
        </w:rPr>
        <w:t xml:space="preserve"> of (20) and leaves the density at the barrier alone. The same computation therefore gives Model 2’s attainable region, with one addition: the calculation knows nothing of admissibility, and an unbounded ramp would give an unbounded slope, whereas in the model a ramp large enough to carry the signal past the response criterion during the delay produces premature responses and is rejected. The ramp must therefore be bounded by hand; the bound used, and what it excludes, are stated in Results.</w:t>
      </w:r>
    </w:p>
    <w:p w14:paraId="73212C5D" w14:textId="77777777" w:rsidR="00205CBC" w:rsidRDefault="00000000">
      <w:r>
        <w:rPr>
          <w:color w:val="1F4E9E"/>
        </w:rPr>
        <w:t xml:space="preserve">Remark A.7 (the slope must be estimated as the data’s slope is estimated). A comparison between a model quantity and an observed one requires the two to be the same functional of the rate curve. The observed slope is the coefficient of an offset-Poisson regression of the partial-activation counts on time over the bins of the window; the model quantity is therefore obtained by evaluating </w:t>
      </w:r>
      <m:oMath>
        <m:r>
          <w:rPr>
            <w:rFonts w:ascii="Cambria Math" w:hAnsi="Cambria Math"/>
            <w:color w:val="1F4E9E"/>
          </w:rPr>
          <m:t xml:space="preserve">ν</m:t>
        </m:r>
      </m:oMath>
      <w:r>
        <w:rPr>
          <w:color w:val="1F4E9E"/>
        </w:rPr>
        <w:t xml:space="preserve"> at those same bins and fitting the same regression, not by taking the secant between the ends of the window. The distinction matters under Model 1, whose log-rate is strongly concave by (26): the regression weights the late, event-rich bins, where the variance transient has already flattened. Using the secant would credit Model 1 with a ramp its own data analysis would not have measured.</w:t>
      </w:r>
    </w:p>
    <w:p w14:paraId="73212C5D" w14:textId="77777777" w:rsidR="00205CBC" w:rsidRDefault="00000000">
      <w:r>
        <w:rPr>
          <w:color w:val="1F4E9E"/>
        </w:rPr>
        <w:t xml:space="preserve">Corollary A.8 (a bound at one distance bounds a mixture of distances). Within a participant </w:t>
      </w:r>
      <m:oMath>
        <m:r>
          <w:rPr>
            <w:rFonts w:ascii="Cambria Math" w:hAnsi="Cambria Math"/>
            <w:color w:val="1F4E9E"/>
          </w:rPr>
          <m:t xml:space="preserve">κ</m:t>
        </m:r>
      </m:oMath>
      <w:r>
        <w:rPr>
          <w:color w:val="1F4E9E"/>
        </w:rPr>
        <w:t xml:space="preserve">, </w:t>
      </w:r>
      <m:oMath>
        <m:r>
          <w:rPr>
            <w:rFonts w:ascii="Cambria Math" w:hAnsi="Cambria Math"/>
            <w:color w:val="1F4E9E"/>
          </w:rPr>
          <m:t xml:space="preserve">λ</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the same on every trial, but the maintained level is not — it is </w:t>
      </w:r>
      <m:oMath>
        <m:r>
          <w:rPr>
            <w:rFonts w:ascii="Cambria Math" w:hAnsi="Cambria Math"/>
            <w:color w:val="1F4E9E"/>
          </w:rPr>
          <m:t xml:space="preserve">θ</m:t>
        </m:r>
      </m:oMath>
      <w:r>
        <w:rPr>
          <w:color w:val="1F4E9E"/>
        </w:rPr>
        <w:t xml:space="preserve"> on trials that reached the internal threshold and </w:t>
      </w:r>
      <m:oMath>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oMath>
      <w:r>
        <w:rPr>
          <w:color w:val="1F4E9E"/>
        </w:rPr>
        <w:t xml:space="preserve"> on the rest — so the measured rate is a mixture over the distance </w:t>
      </w:r>
      <m:oMath>
        <m:r>
          <w:rPr>
            <w:rFonts w:ascii="Cambria Math" w:hAnsi="Cambria Math"/>
            <w:color w:val="1F4E9E"/>
          </w:rPr>
          <m:t xml:space="preserve">d</m:t>
        </m:r>
      </m:oMath>
      <w:r>
        <w:rPr>
          <w:color w:val="1F4E9E"/>
        </w:rPr>
        <w:t xml:space="preserve">, and a bound proved at a single distance does not automatically bound a mixture. It does here, because the maximization is a linear programme. Fix the mixture’s rate at the end of the window,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e>
        </m:nary>
        <m:r>
          <m:rPr>
            <m:nor/>
          </m:rPr>
          <w:rPr>
            <w:rFonts w:ascii="Cambria Math" w:hAnsi="Cambria Math"/>
            <w:color w:val="1F4E9E"/>
          </w:rPr>
          <m:t xml:space="preserve">=</m:t>
        </m:r>
        <m:r>
          <w:rPr>
            <w:rFonts w:ascii="Cambria Math" w:hAnsi="Cambria Math"/>
            <w:color w:val="1F4E9E"/>
          </w:rPr>
          <m:t xml:space="preserve">R</m:t>
        </m:r>
      </m:oMath>
      <w:r>
        <w:rPr>
          <w:color w:val="1F4E9E"/>
        </w:rPr>
        <w:t xml:space="preserve">. Maximizing the mixture’s log-rate slope then means minimizing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nary>
      </m:oMath>
      <w:r>
        <w:rPr>
          <w:color w:val="1F4E9E"/>
        </w:rPr>
        <w:t xml:space="preserve"> subject to that constraint and to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e>
        </m:nary>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two equality constraints, so the optimum sits at a vertex of the simplex with at most two non-zero components, and the bound follows from the lower convex envelope of the planar curve </w:t>
      </w:r>
      <m:oMath>
        <m:r>
          <w:rPr>
            <w:rFonts w:ascii="Cambria Math" w:hAnsi="Cambria Math"/>
            <w:color w:val="1F4E9E"/>
          </w:rPr>
          <m:t xml:space="preserve">d</m:t>
        </m:r>
        <m:r>
          <m:rPr>
            <m:nor/>
          </m:rPr>
          <w:rPr>
            <w:rFonts w:ascii="Cambria Math" w:hAnsi="Cambria Math"/>
            <w:color w:val="1F4E9E"/>
          </w:rPr>
          <m:t xml:space="preserve">↦</m:t>
        </m:r>
        <m:d>
          <m:dPr>
            <m:begChr m:val="("/>
            <m:endChr m:val=")"/>
            <m:ctrlPr/>
          </m:dPr>
          <m:e>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r>
              <m:rPr>
                <m:nor/>
              </m:rPr>
              <w:rPr>
                <w:rFonts w:ascii="Cambria Math" w:hAnsi="Cambria Math"/>
                <w:color w:val="1F4E9E"/>
              </w:rPr>
              <m:t xml:space="preserve">,</m:t>
            </m:r>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d>
      </m:oMath>
      <w:r>
        <w:rPr>
          <w:color w:val="1F4E9E"/>
        </w:rPr>
        <w:t xml:space="preserve">. Mixing over PARAMETERS is a different operation and does violate a single-draw bound; it is not the relevant one, because the observed slope is estimated within participant and condition and then averaged, not estimated on a profile pooled across participants. ∎</w:t>
      </w:r>
    </w:p>
    <w:p w14:paraId="73212C5D" w14:textId="77777777" w:rsidR="00205CBC" w:rsidRDefault="00000000">
      <w:r>
        <w:rPr>
          <w:color w:val="1F4E9E"/>
        </w:rPr>
        <w:t xml:space="preserve">Corollary A.9 (Model 1 cannot hold a ramp to the response signal). Under Model 1 the log-rate slope must decay across the analysis window. Proof. By (26) the ramp is carried by the relative rate of variance growth, and since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that quantity has the exact form</w:t>
      </w:r>
    </w:p>
    <w:p w14:paraId="73212C5D" w14:textId="77777777" w:rsidR="00205CBC" w:rsidRDefault="00000000">
      <m:oMathPara>
        <m:oMath>
          <m:eqArr>
            <m:eqArrPr>
              <m:maxDist m:val="1"/>
              <m:ctrlPr/>
            </m:eqArr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τ</m:t>
                      </m:r>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τ</m:t>
                      </m:r>
                    </m:e>
                  </m:d>
                </m:den>
              </m:f>
              <m:r>
                <m:rPr>
                  <m:nor/>
                </m:rPr>
                <w:rPr>
                  <w:rFonts w:ascii="Cambria Math" w:hAnsi="Cambria Math"/>
                  <w:color w:val="1F4E9E"/>
                </w:rPr>
                <m:t xml:space="preserve">=</m:t>
              </m:r>
              <m:f>
                <m:fPr>
                  <m:ctrlPr/>
                </m:fPr>
                <m:num>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num>
                <m:den>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It is decreasing in </w:t>
      </w:r>
      <m:oMath>
        <m:r>
          <w:rPr>
            <w:rFonts w:ascii="Cambria Math" w:hAnsi="Cambria Math"/>
            <w:color w:val="1F4E9E"/>
          </w:rPr>
          <m:t xml:space="preserve">κ</m:t>
        </m:r>
      </m:oMath>
      <w:r>
        <w:rPr>
          <w:color w:val="1F4E9E"/>
        </w:rPr>
        <w:t xml:space="preserve">, and its supremum over </w:t>
      </w:r>
      <m:oMath>
        <m:r>
          <w:rPr>
            <w:rFonts w:ascii="Cambria Math" w:hAnsi="Cambria Math"/>
            <w:color w:val="1F4E9E"/>
          </w:rPr>
          <m:t xml:space="preserve">κ</m:t>
        </m:r>
      </m:oMath>
      <w:r>
        <w:rPr>
          <w:color w:val="1F4E9E"/>
        </w:rPr>
        <w:t xml:space="preserve"> is the limit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which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oMath>
      <w:r>
        <w:rPr>
          <w:color w:val="1F4E9E"/>
        </w:rPr>
        <w:t xml:space="preserve"> and (27) becomes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up to terms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τ</m:t>
            </m:r>
          </m:sup>
        </m:sSup>
      </m:oMath>
      <w:r>
        <w:rPr>
          <w:color w:val="1F4E9E"/>
        </w:rPr>
        <w:t xml:space="preserve">: the filter’s lag displaces the clock and nothing else survives. Hence </w:t>
      </w:r>
      <m:oMath>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throughout, so no choice of </w:t>
      </w:r>
      <m:oMath>
        <m:r>
          <w:rPr>
            <w:rFonts w:ascii="Cambria Math" w:hAnsi="Cambria Math"/>
            <w:color w:val="1F4E9E"/>
          </w:rPr>
          <m:t xml:space="preserve">κ</m:t>
        </m:r>
      </m:oMath>
      <w:r>
        <w:rPr>
          <w:color w:val="1F4E9E"/>
        </w:rPr>
        <w:t xml:space="preserve"> makes the log-rate slope decay more slowly than that. The realized decay is steeper for two further reasons: the first bracket of (26) is negative and grows in relative importance as the transient dies, and the standardized distance itself falls as the variance fills, shrinking the factor </w:t>
      </w:r>
      <m:oMath>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that multiplies the second. Model 2 is under no such constraint: by (25) its slope is proportional to a standardized distance falling linearly. The decay factors this imposes, and the observed one, are in Results. ∎</w:t>
      </w:r>
    </w:p>
    <w:p w14:paraId="73212C5D" w14:textId="77777777" w:rsidR="00205CBC" w:rsidRDefault="00000000">
      <w:r>
        <w:rPr>
          <w:color w:val="1F4E9E"/>
        </w:rPr>
        <w:t xml:space="preserve">Remark A.10 (what remains approximate). Two gaps are left, and both are in the conservative direction. The observable is not an upcrossing but a merged supra-threshold interval, and the ratio between the two depends on the characteristic frequency </w:t>
      </w:r>
      <m:oMath>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which falls across the window under Model 1’s transient; in the region where Model 1 has any ramp at all the characteristic period is far longer than the merge interval, so successive crossings are essentially never merged, and clustering matters only at large </w:t>
      </w:r>
      <m:oMath>
        <m:r>
          <w:rPr>
            <w:rFonts w:ascii="Cambria Math" w:hAnsi="Cambria Math"/>
            <w:color w:val="1F4E9E"/>
          </w:rPr>
          <m:t xml:space="preserve">κ</m:t>
        </m:r>
      </m:oMath>
      <w:r>
        <w:rPr>
          <w:color w:val="1F4E9E"/>
        </w:rPr>
        <w:t xml:space="preserve">, where the transient is over before the window begins. And the response criterion is an absorbing boundary: a delay-period crossing that reaches it ends the trial as a premature response, and conditioning on survival destroys the Gaussianity (19) uses. Absorption removes preferentially the trials closest to the gate and preferentially late in the window, so it depresses the late rate and reduces the measured slope below the value computed here. The bounds are upper bounds in both respects.</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the Appendix,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6245"/>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6245"/>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A.5);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3525547"/>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3525547"/>
                    </a:xfrm>
                    <a:prstGeom prst="rect"/>
                  </pic:spPr>
                </pic:pic>
              </a:graphicData>
            </a:graphic>
          </wp:inline>
        </w:drawing>
      </w:r>
    </w:p>
    <w:p w14:paraId="23B269A3" w14:textId="77777777" w:rsidR="00205CBC" w:rsidRDefault="00000000">
      <w:r>
        <w:rPr>
          <w:b w:val="0"/>
          <w:i w:val="0"/>
          <w:color w:val="1F4E9E"/>
        </w:rPr>
        <w:t xml:space="preserve">Fig S5. Effect sizes each architecture can produce, against the observed value, </w:t>
      </w:r>
      <w:r>
        <w:rPr>
          <w:b w:val="0"/>
          <w:i w:val="0"/>
          <w:color w:val="1F4E9E"/>
        </w:rPr>
        <w:t>for the nine directional predictions the Results test</w:t>
      </w:r>
      <w:r>
        <w:rPr>
          <w:b w:val="0"/>
          <w:i w:val="0"/>
          <w:color w:val="1F4E9E"/>
        </w:rPr>
        <w: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percentile band that does not contain the observed value — which is not the same as an effect the architecture cannot reach, and on the stimulus-period duration effect and on motor execution time it is not.</w:t>
      </w:r>
    </w:p>
    <w:p w14:paraId="73212C5D" w14:textId="77777777" w:rsidR="00205CBC" w:rsidRDefault="00000000">
      <w:r>
        <w:rPr>
          <w:color w:val="1F4E9E"/>
        </w:rPr>
        <w:t xml:space="preserve">The two figures at the right of each bar are the percentages of admissible sets whose effect is, at two Monte-Carlo standard errors, significantly of the observed sign and significantly against it; the remainder is not distinguishable from zero. They measure agreement with the DATA and not with the model’s own prediction, and on the coherence × duration interaction in the delay period the two are opposite: there the 85% and 87% counted as against the observed sign are settings at which each architecture does what the saturation argument says it should. Two effects separate the architectures — the stimulus-period duration effect, where Model 1 has the observed sign at no setting and the opposite sign at 95% against Model 2’s 39% and 45%, and the delay-period log-rate slope, at 3% against 81%. One is missed by both, the delay-period interaction (4% and 7% right against 85% and 87% wrong). Of the remaining six, all are reproduced by both at 86% or above with almost no setting of either model in the opposite direction. The duration effect on motor execution time is a predicted null and is where both architectures are mildly but systematically off: the observed −0.5 ± 0.8 ms is indistinguishable from zero, whereas the models place it significantly below zero at 87% and 86% of their settings, with medians of −5 and −8 ms. The residual motor time is not quite as inert in the simulation as it is in the data.</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73212C5D" w14:textId="77777777" w:rsidR="00205CBC" w:rsidRDefault="00000000">
      <w:r>
        <w:rPr>
          <w:color w:val="1F4E9E"/>
        </w:rPr>
        <w:t xml:space="preserve">To avoid the arbitrary time-bin factor altogether (Materials and Methods), the coherence-dependent ramp in delay-period partial-activation rate was additionally tested with no binning at all, using the exact onset time of each partial activation. Writing the log-intensity as a linear function of time, </w:t>
      </w:r>
      <m:oMath>
        <m:r>
          <m:rPr>
            <m:nor/>
          </m:rPr>
          <w:rPr>
            <w:rFonts w:ascii="Cambria Math" w:hAnsi="Cambria Math"/>
            <w:color w:val="1F4E9E"/>
          </w:rPr>
          <m:t xml:space="preserve">ln</m:t>
        </m:r>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0</m:t>
            </m:r>
          </m:sub>
        </m:sSub>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1</m:t>
            </m:r>
          </m:sub>
        </m:sSub>
        <m:r>
          <w:rPr>
            <w:rFonts w:ascii="Cambria Math" w:hAnsi="Cambria Math"/>
            <w:color w:val="1F4E9E"/>
          </w:rPr>
          <m:t xml:space="preserve">t</m:t>
        </m:r>
      </m:oMath>
      <w:r>
        <w:rPr>
          <w:color w:val="1F4E9E"/>
        </w:rPr>
        <w:t xml:space="preserve">, the log-rate slope </w:t>
      </w:r>
      <m:oMath>
        <m:sSub>
          <m:sSubPr>
            <m:ctrlPr/>
          </m:sSubPr>
          <m:e>
            <m:r>
              <w:rPr>
                <w:rFonts w:ascii="Cambria Math" w:hAnsi="Cambria Math"/>
                <w:color w:val="1F4E9E"/>
              </w:rPr>
              <m:t xml:space="preserve">c</m:t>
            </m:r>
          </m:e>
          <m:sub>
            <m:r>
              <m:rPr>
                <m:nor/>
              </m:rPr>
              <w:rPr>
                <w:rFonts w:ascii="Cambria Math" w:hAnsi="Cambria Math"/>
                <w:color w:val="1F4E9E"/>
              </w:rPr>
              <m:t xml:space="preserve">1</m:t>
            </m:r>
          </m:sub>
        </m:sSub>
      </m:oMath>
      <w:r>
        <w:rPr>
          <w:color w:val="1F4E9E"/>
        </w:rPr>
        <w:t xml:space="preserve">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 This is a different estimator from the binned one the bound of the Appendix is compared against (Appendix, A.7), which must match the binning of the published analysis; the two agree on the sign and the approximate size of the slope.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(25)</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