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S6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 xml:space="preserve">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w:t>
      </w:r>
      <w:r>
        <w:rPr>
          <w:b w:val="0"/>
          <w:i w:val="0"/>
          <w:color w:val="1F4E9E"/>
        </w:rPr>
        <w:t>it was 0.075 ± 0.014 in the data, against ranges of 0.012 to 0.197 for Model 1 and 0.020 to 0.208 for Model 2. The duration effect on response time was 49 ± 6 ms, against 2 to 86 ms and 1 to 92 ms; the coherence effect was 33 ± 6 ms, against 1 to 75 ms and 1 to 82 ms. Each of these effects carries the observed sign in 99% of the admissible settings of each model.</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3B1E680C" w14:textId="77777777" w:rsidR="00205CBC" w:rsidRDefault="00000000">
      <w:r>
        <w:rPr>
          <w:b w:val="0"/>
          <w:i w:val="0"/>
          <w:color w:val="1F4E9E"/>
        </w:rPr>
        <w:t xml:space="preserve">The parameter-space evaluation turns this into a quantitative exclusion, and one that owes nothing to the delay period. The duration effect on the stimulus-period partial-activation rate — the rate after the 0.3 s stimulus minus the rate after the 2 s stimulus, over the same 0 to 2 s window used for the data — was +0.057 ± 0.015 s⁻¹ in the data. Over Model 2’s admissible draws it runs from −0.125 to +0.143 s⁻¹, covering the observation. Over Model 1’s it runs from −0.241 to −0.004 s⁻¹: </w:t>
      </w:r>
      <w:r>
        <w:rPr>
          <w:b w:val="0"/>
          <w:i w:val="0"/>
          <w:color w:val="1F4E9E"/>
        </w:rPr>
        <w:t>negative throughout</w:t>
      </w:r>
      <w:r>
        <w:rPr>
          <w:b w:val="0"/>
          <w:i w:val="0"/>
          <w:color w:val="1F4E9E"/>
        </w:rPr>
        <w:t>, so that Model 1 fails not by producing too small an effect but by producing one of the wrong sign, at every admissible setting of its parameters. This is Proposition B.2 as a measurement, and it is worth separating from what follows: it excludes Model 1 on the stimulus period alone, before any delay-period quantity has been examined.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(Appendix C, C.6 and C.8). Two properties of the calculation are worth stating because they are what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C, C.9). And the two effects it does not model — the merging of nearby crossings into one detected activation, and the absorption of trials that reach the response criterion — both act to lower the measured slope, not to raise it (C.10).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S6,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the observed sign appears in 90% of Model 2’s settings and 31% of Model 1’s, and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t>Model 1’s draws that produce a realistic activation rate (0.18 to 1.10 s⁻¹) have slopes between −0.071 and 0.000 s⁻¹, none of them positive: not a small ramp, but no ramp.</w:t>
      </w:r>
      <w:r>
        <w:rPr>
          <w:b w:val="0"/>
          <w:i w:val="0"/>
          <w:color w:val="1F4E9E"/>
        </w:rPr>
        <w:t xml:space="preserve">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b w:val="0"/>
          <w:i w:val="0"/>
          <w:color w:val="1F4E9E"/>
        </w:rPr>
        <w:t>Figure S5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 xml:space="preserve">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w:t>
      </w:r>
      <w:r>
        <w:rPr>
          <w:b w:val="0"/>
          <w:i w:val="0"/>
          <w:color w:val="1F4E9E"/>
        </w:rPr>
        <w:t>the observed value is +0.107 ± 0.051 s⁻¹, whereas the admissible draws give −0.764 to +0.001 s⁻¹ for Model 1 and −0.741 to +0.017 s⁻¹ for Model 2. Neither range reaches the observation, and the observed sign appears in 5% and 9% of admissible settings respectively.</w:t>
      </w:r>
      <w:r>
        <w:rPr>
          <w:b w:val="0"/>
          <w:i w:val="0"/>
          <w:color w:val="1F4E9E"/>
        </w:rPr>
        <w:t xml:space="preserve">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Both architectures produce the premotor effect (Model 1, 3 to 108 ms; Model 2, 2 to 126 ms) and both leave the motor component nearly alone (−46 to 0 ms and −62 to −1 ms). The dissociation is therefore reproduced. It remains a weak test of the architectures, and the reason is worth recording: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w:t>
      </w:r>
      <w:r>
        <w:rPr>
          <w:color w:val="1F4E9E"/>
        </w:rPr>
        <w:t>No stationarity is assumed at any point: the formula requires only that V be almost surely continuously differentiable and that its one-dimensional marginals be non-degenerate, both of which hold from the moment maintenance begins. Writing s(τ) = Var V(τ), u(τ) = Var V̇(τ) and c(τ) = Cov(V, V̇), the conditional law of V̇ at the barrier is Gaussian with mean (c/s)(d − m) − ḋ and variance u − c²/s, and the rate follows. Stationarity enters only as the special case c = 0, in which V̇ becomes independent of V and the bracket collapses to σ_V̇ φ(0); that case is used below only where the condition for it is stated and checked. Dividing through by σV and writing  and  gives</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r>
      <w:r>
        <w:rPr>
          <w:i/>
          <w:color w:val="1F4E9E"/>
        </w:rPr>
      </w:r>
      <w:r>
        <w:rPr>
          <w:color w:val="1F4E9E"/>
        </w:rPr>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r>
      <w:r>
        <w:rPr>
          <w:i/>
          <w:color w:val="1F4E9E"/>
        </w:rPr>
      </w:r>
      <w:r>
        <w:rPr>
          <w:color w:val="1F4E9E"/>
        </w:rPr>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r>
      <w:r>
        <w:rPr>
          <w:i/>
          <w:color w:val="1F4E9E"/>
        </w:rPr>
      </w:r>
      <w:r>
        <w:rPr>
          <w:color w:val="1F4E9E"/>
          <w:vertAlign w:val="subscript"/>
        </w:rPr>
      </w:r>
      <w:r>
        <w:rPr>
          <w:color w:val="1F4E9E"/>
        </w:rPr>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w:t>
      </w:r>
      <w:r>
        <w:rPr>
          <w:b w:val="0"/>
          <w:i w:val="0"/>
          <w:color w:val="1F4E9E"/>
        </w:rPr>
        <w:t>and estimating the slope as the data’s slope is estimated (C.8), gives: at a rate of at least 0.085 s⁻¹ — the lowest value observed in any participant × condition cell — a slope of at most +0.81 s⁻¹; at 0.2 s⁻¹, at most +0.40; at 0.3, at most +0.19; at 0.4, at most +0.05; at 0.5, at most +0.01; and at the observed mean rate of 0.709 s⁻¹, nothing distinguishable from zero.</w:t>
      </w:r>
      <w:r>
        <w:rPr>
          <w:b w:val="0"/>
          <w:i w:val="0"/>
          <w:color w:val="1F4E9E"/>
        </w:rPr>
      </w:r>
      <w:r>
        <w:rPr>
          <w:b w:val="0"/>
          <w:i w:val="0"/>
          <w:color w:val="1F4E9E"/>
        </w:rPr>
        <w:t xml:space="preserve"> The optimum lies at the smallest κ and the largest λ of the sampled ranges throughout, so the frontier is the most favorable one those ranges allow. </w:t>
      </w:r>
      <w:r>
        <w:rPr>
          <w:b w:val="0"/>
          <w:i w:val="0"/>
          <w:color w:val="1F4E9E"/>
        </w:rPr>
        <w:t xml:space="preserve">The observed slope is +0.892 s⁻¹ at a rate of 0.709 s⁻¹, three orders of magnitude above the frontier at that rate. </w:t>
      </w:r>
      <w:r>
        <w:rPr>
          <w:b w:val="0"/>
          <w:i w:val="0"/>
          <w:color w:val="1F4E9E"/>
        </w:rPr>
        <w:t>Conversely, the largest rate at which Model 1 attains the observed slope anywhere in the sampled ranges is 0.069 s⁻¹, a tenth of the observed mean and below the 0.085 s⁻¹ of the least active participant in the least active condition.</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 xml:space="preserve">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w:t>
      </w:r>
      <w:r>
        <w:rPr>
          <w:b w:val="0"/>
          <w:i w:val="0"/>
          <w:color w:val="1F4E9E"/>
        </w:rPr>
        <w:t>gives, at the observed rate of 0.709 s⁻¹, a largest attainable slope of +4.05 s⁻¹, and an observed slope of +0.892 s⁻¹ attainable at rates up to 6.44 s⁻¹. Model 1’s corresponding figures are 0.000 s⁻¹ and 0.069 s⁻¹.</w:t>
      </w:r>
    </w:p>
    <w:p w14:paraId="4BF0E229" w14:textId="77777777" w:rsidR="00205CBC" w:rsidRDefault="00000000">
      <w:r>
        <w:rPr>
          <w:b w:val="0"/>
          <w:i w:val="0"/>
          <w:color w:val="1F4E9E"/>
        </w:rPr>
        <w:t>Remark C.8 (the slope is estimated as the data’s slope is estimated). The frontier compares a model quantity with an observed one, so the two must be the same functional of the rate curve. The observed slope is the coefficient of an offset-Poisson regression of the partial-activation counts on time over the twenty 0.1 s bins of the window; the frontier therefore evaluates ν at those same twenty bins and fits the same regression, rather than taking the secant between the ends of the window. The distinction is not cosmetic under Model 1, whose log-rate is strongly concave: the regression weights the late, event-rich bins, where the variance transient has already flattened, and returns between 45% and 75% of the secant. Using the secant would credit Model 1 with a ramp its own data analysis would not have measured.</w:t>
      </w:r>
    </w:p>
    <w:p w14:paraId="4BF0E229" w14:textId="77777777" w:rsidR="00205CBC" w:rsidRDefault="00000000">
      <w:r>
        <w:rPr>
          <w:b w:val="0"/>
          <w:i w:val="0"/>
          <w:color w:val="1F4E9E"/>
        </w:rPr>
        <w:t>Corollary C.9 (the bound survives trial-to-trial heterogeneity of the maintained level). Within a participant κ, λ and σV are the same on every trial, but the maintained level is not — it is θ on trials that reached the internal threshold and y(t_offset) on the rest — so the measured rate is a mixture over the distance d, and a bound proved at a single d does not automatically bound a mixture. It does here, and the reason is that the maximisation is a linear programme. Fix the mixture’s rate at the end of the window, Σ p_d ν_d(τ₁) = R. Maximising the mixture’s log-rate slope then means minimising Σ p_d ν_d(τ₀) subject to that constraint and to Σ p_d = 1: two equality constraints, so the optimum sits at a vertex of the simplex with at most two non-zero components, and the bound is obtained from the lower convex envelope of the planar curve d ↦ (ν_d(τ₁), ν_d(τ₀)). Evaluated over the ranges of Table A1, that envelope moves the frontier by less than one per cent at every rate — at a rate of 0.2 s⁻¹, from +0.549 to +0.557 s⁻¹; at the observed rate, not at all. Heterogeneity of the maintained level therefore buys Model 1 nothing. (Mixing over PARAMETERS is a different operation and does violate the single-draw frontier, by up to +0.18 s⁻¹ in the constructed worst case; it is not the relevant one, because the observed slope this is compared against is estimated within participant and condition and then averaged, not estimated on a profile pooled across participants.) ∎</w:t>
      </w:r>
    </w:p>
    <w:p w14:paraId="4BF0E229" w14:textId="77777777" w:rsidR="00205CBC" w:rsidRDefault="00000000">
      <w:r>
        <w:rPr>
          <w:b w:val="0"/>
          <w:i w:val="0"/>
          <w:color w:val="1F4E9E"/>
        </w:rPr>
        <w:t>Remark C.10 (what remains approximate). Two gaps are left, and both are small and in the conservative direction. First, the observable is not an upcrossing but a merged supra-threshold interval, and the ratio between the two depends on the characteristic frequency ω, which under Model 1’s transient falls across the window — from 6.1 to 3.9 rad s⁻¹ at κ = 0.20. In the region where Model 1 has any ramp at all this correction is negligible, because ω = 6.1 rad s⁻¹ is a characteristic period of about one second against a merge window of 25 ms, so successive crossings are essentially never merged; clustering matters only at large κ, where the transient is over before the window begins. Second, the response criterion is an absorbing boundary: a delay-period crossing that reaches it ends the trial as a premature response, and conditioning on survival destroys the Gaussianity the formula uses. The admissibility screen holds premature responses below 10% of trials, and absorption removes preferentially the trials closest to the gate and preferentially late in the window, so its effect is to depress the late rate — that is, to reduce the measured slope below the value computed here. The frontier is an upper bound in both respects.</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w:t>
      </w:r>
      <w:r>
        <w:rPr>
          <w:i/>
          <w:color w:val="1F4E9E"/>
        </w:rPr>
        <w:t>Left, stimulus period; right, delay period. This figure is at one parameter set and is illustrative: the delay-period argument is carried by Figure S4 and by Figure S5, which show the whole admissible family. The delay panel does display the model's main residual — it spreads the three coherence levels more widely after a short stimulus than the data support, the saturation prediction of Proposition C.3, which the effect-size panel establishes across the entire admissible space of both models (Figure S6).</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S4.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45105"/>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45105"/>
                    </a:xfrm>
                    <a:prstGeom prst="rect"/>
                  </pic:spPr>
                </pic:pic>
              </a:graphicData>
            </a:graphic>
          </wp:inline>
        </w:drawing>
      </w:r>
    </w:p>
    <w:p w14:paraId="23B269A3" w14:textId="77777777" w:rsidR="00205CBC" w:rsidRDefault="00000000">
      <w:r>
        <w:rPr>
          <w:b w:val="0"/>
          <w:i w:val="0"/>
          <w:color w:val="1F4E9E"/>
        </w:rPr>
        <w:t xml:space="preserve">Fig S6. Effect sizes each architecture can produce, against the observed value. </w:t>
      </w:r>
      <w:r>
        <w:rPr>
          <w:b w:val="0"/>
          <w:i w:val="0"/>
          <w:color w:val="1F4E9E"/>
        </w:rPr>
        <w:t>For each of the eight effects reported</w:t>
      </w:r>
      <w:r>
        <w:rPr>
          <w:b w:val="0"/>
          <w:i w:val="0"/>
          <w:color w:val="1F4E9E"/>
        </w:rPr>
        <w:t xml:space="preserve">, the bar spans the 5th to 95th percentile of that effect over the admissible draws of each model, with the median marked; the vertical line is the observed value and the grey band its 95% confidence interval across participants. </w:t>
      </w:r>
      <w:r>
        <w:rPr>
          <w:b w:val="0"/>
          <w:i w:val="0"/>
          <w:color w:val="1F4E9E"/>
        </w:rPr>
        <w:t>A cross marks a range that does not reach the observed value. On the behavioral effects and on premotor execution time both ranges cover the observation and are barely distinguishable from one another, as the shared architecture requires. Model 1 fails on two: the duration effect on the stimulus-period rate, where its whole range has the wrong sign, and the delay-period log-rate slope. Both models fail on the coherence × duration interaction on the delay-period rate, the paper’s acknowledged disagreement.</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