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S6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0.020 to 0.205 for Model 1 and 0.018 to 0.202 for Model 2. The duration effect on response time was 49 ± 6 ms, against 2 to 88 ms and 2 to 90 ms; the coherence effect was 33 ± 6 ms, against 2 to 87 ms and 2 to 79 ms.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3B1E680C" w14:textId="77777777" w:rsidR="00205CBC" w:rsidRDefault="00000000">
      <w:r>
        <w:rPr>
          <w:b w:val="0"/>
          <w:i w:val="0"/>
          <w:color w:val="1F4E9E"/>
        </w:rPr>
        <w:t xml:space="preserve">The parameter-space evaluation turns this into a quantitative exclusion, and one that owes nothing to the delay period. The duration effect on the stimulus-period partial-activation rate — the rate after the 0.3 s stimulus minus the rate after the 2 s stimulus, over the same 0 to 2 s window used for the data — was +0.057 ± 0.015 s⁻¹ in the data. Over Model 2’s admissible draws it runs from −0.125 to +0.143 s⁻¹, covering the observation. Over Model 1’s it runs from −0.241 to −0.004 s⁻¹: </w:t>
      </w:r>
      <w:r>
        <w:rPr>
          <w:b w:val="0"/>
          <w:i w:val="0"/>
          <w:color w:val="1F4E9E"/>
        </w:rPr>
        <w:t>negative throughout</w:t>
      </w:r>
      <w:r>
        <w:rPr>
          <w:b w:val="0"/>
          <w:i w:val="0"/>
          <w:color w:val="1F4E9E"/>
        </w:rPr>
        <w:t>, so that Model 1 fails not by producing too small an effect but by producing one of the wrong sign, at every admissible setting of its parameters. This is Proposition B.2 as a measurement, and it is worth separating from what follows: it excludes Model 1 on the stimulus period alone, before any delay-period quantity has been examined.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w:t>
      </w:r>
      <w:r>
        <w:rPr>
          <w:b w:val="0"/>
          <w:i w:val="0"/>
          <w:color w:val="1F4E9E"/>
        </w:rPr>
        <w:t>Model 1 can reach a slope of +1.17 s⁻¹; at 0.2 s⁻¹ it can reach +0.55; at 0.3 s⁻¹, +0.26; at 0.4 s⁻¹, +0.08; at 0.5 s⁻¹, +0.02; and at the observed mean rate of 0.709 s⁻¹ it can reach +0.001 s⁻¹.</w:t>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t xml:space="preserve">it can produce a ramp of the observed size only by producing partial activations </w:t>
      </w:r>
      <w:r>
        <w:rPr>
          <w:b w:val="0"/>
          <w:i w:val="0"/>
          <w:color w:val="1F4E9E"/>
        </w:rPr>
        <w:t>at a sixth of the observed frequency</w:t>
      </w:r>
      <w:r>
        <w:rPr>
          <w:b w:val="0"/>
          <w:i w:val="0"/>
          <w:color w:val="1F4E9E"/>
        </w:rPr>
        <w:t xml:space="preserve"> </w:t>
      </w:r>
      <w:r>
        <w:rPr>
          <w:b w:val="0"/>
          <w:i w:val="0"/>
          <w:color w:val="1F4E9E"/>
        </w:rPr>
      </w:r>
      <w:r>
        <w:rPr>
          <w:b w:val="0"/>
          <w:i w:val="0"/>
          <w:color w:val="1F4E9E"/>
        </w:rPr>
        <w:t>(0.125 s⁻¹ against 0.709 s⁻¹,</w:t>
      </w:r>
      <w:r>
        <w:rPr>
          <w:b w:val="0"/>
          <w:i w:val="0"/>
          <w:color w:val="1F4E9E"/>
        </w:rPr>
        <w:t xml:space="preserve">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Model 2 can reach a delay-period log-rate slope of +8.4 s⁻¹ at the observed rate, against an observed +0.89; and it attains the observed slope at rates up to 6.5 s⁻¹, nine times the observed rate. Model 1 at the same rate can reach +0.001 s⁻¹, and attains the observed slope only at 0.125 s⁻¹. The two architectures are therefore not near-misses of one another: one exceeds what has to be explained by an order of magnitude, the other falls short of it by three.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r>
      <w:r>
        <w:rPr>
          <w:b w:val="0"/>
          <w:i w:val="0"/>
          <w:color w:val="1F4E9E"/>
        </w:rPr>
        <w:t>This is the one window in which the two models’ ranges separate (Figure S6, right-hand panels). Two quantities have to be reproduced together here:</w:t>
      </w:r>
      <w:r>
        <w:rPr>
          <w:b w:val="0"/>
          <w:i w:val="0"/>
          <w:color w:val="1F4E9E"/>
        </w:rPr>
        <w:t xml:space="preserve">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t>Model 1’s draws that produce a realistic activation rate (0.18 to 1.10 s⁻¹) have slopes between −0.071 and 0.000 s⁻¹, none of them positive: not a small ramp, but no ramp.</w:t>
      </w:r>
      <w:r>
        <w:rPr>
          <w:b w:val="0"/>
          <w:i w:val="0"/>
          <w:color w:val="1F4E9E"/>
        </w:rPr>
        <w:t xml:space="preserve">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color w:val="1F4E9E"/>
        </w:rPr>
        <w:t xml:space="preserve">Figure S2 (delay panel) shows this discrimination directly at the level of the simulated rate curve: </w:t>
      </w:r>
      <w:r>
        <w:rPr>
          <w:color w:val="1F4E9E"/>
        </w:rPr>
        <w:t>Model 2, simulated at a representative admissible parameter vector and passed through</w:t>
      </w:r>
      <w:r>
        <w:rPr>
          <w:color w:val="1F4E9E"/>
        </w:rPr>
      </w:r>
      <w:r>
        <w:rPr>
          <w:color w:val="1F4E9E"/>
        </w:rPr>
        <w:t xml:space="preserve">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admissible draws give −0.509 to +0.055 s⁻¹ for Model 1 and −0.467 to +0.081 s⁻¹ for Model 2. Neither range reaches the observation.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Both architectures produce the premotor effect (Model 1, 4 to 242 ms; Model 2, 5 to 768 ms). Neither is tightly constrained on the motor component: Model 1 runs from −183 to 0 ms and Model 2 from −730 to −1 ms, so both can also produce motor-execution-time differences one to two orders of magnitude larger than anything observed. The dissociation is therefore confirmed in the data but is a weak test of the architectures — an architecture that can produce almost any motor-component effect is not being tested by the finding of a small one — and this is worth stating rather than counting the agreement as a success.</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613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61309"/>
                    </a:xfrm>
                    <a:prstGeom prst="rect">
                      <a:avLst/>
                    </a:prstGeom>
                  </pic:spPr>
                </pic:pic>
              </a:graphicData>
            </a:graphic>
          </wp:inline>
        </w:drawing>
      </w:r>
      <w:r>
        <w:br/>
      </w:r>
      <w:r>
        <w:rPr>
          <w:noProof/>
        </w:rPr>
        <w:drawing>
          <wp:inline distT="0" distB="0" distL="0" distR="0" wp14:anchorId="68E4C781" wp14:editId="2BC68CE3">
            <wp:extent cx="5760720" cy="20613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61309"/>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time-locked to the four trial events (stimulus onset, stimulus offset, response signal, response); each trial is censored at its own response. Thin grey lines are individual simulated trials, drawn instead of a standard-deviation band: a band is a cross-section, and what matters here is what a trial does over time — the excursions towards the gate, their duration, and the fact that a crossing is an event rather than a displacement of a mean.</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w:t>
      </w:r>
      <w:r>
        <w:rPr>
          <w:b w:val="0"/>
          <w:i w:val="0"/>
          <w:color w:val="1F4E9E"/>
        </w:rPr>
        <w:t>a slope of at most +1.17 s⁻¹; at 0.2 s⁻¹, at most +0.55; at 0.3, at most +0.26; at 0.4, at most +0.08; at 0.5, at most +0.02; and at the observed mean rate of 0.709 s⁻¹, at most +0.001 s⁻¹.</w:t>
      </w:r>
      <w:r>
        <w:rPr>
          <w:b w:val="0"/>
          <w:i w:val="0"/>
          <w:color w:val="1F4E9E"/>
        </w:rPr>
        <w:t xml:space="preserve"> The optimum lies at the smallest κ and the largest λ of the sampled ranges throughout, so the frontier is the most favorable one those ranges allow. </w:t>
      </w:r>
      <w:r>
        <w:rPr>
          <w:b w:val="0"/>
          <w:i w:val="0"/>
          <w:color w:val="1F4E9E"/>
        </w:rPr>
        <w:t>The observed slope is +0.892 s⁻¹ at a rate of 0.709 s⁻¹, three orders of magnitude above the frontier at that rate. Conversely, the largest rate at which Model 1 attains the observed slope anywhere in the sampled ranges is 0.125 s⁻¹ (at κ = 0.21, λ = 50, a = 1.82), a sixth of the observed mean and below the lowest rate recorded in any participant × condition cell.</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gives, at the observed rate of 0.709 s⁻¹, a largest attainable slope of +8.4 s⁻¹, and an observed slope of +0.892 s⁻¹ attainable at rates up to 6.5 s⁻¹. Model 1’s corresponding figures are +0.001 s⁻¹ and 0.125 s⁻¹.</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S4. The ramp–rate frontier, with the sampled parameter space on it. Horizontal axis, the delay-period partial-activation rate (logarithmic); vertical axis, the slope of its logarithm. </w:t>
      </w:r>
      <w:r>
        <w:rPr>
          <w:b w:val="0"/>
          <w:i w:val="0"/>
          <w:color w:val="1F4E9E"/>
        </w:rPr>
        <w:t>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at the observed rate it reaches +8.4 s⁻¹, against Model 1’s +0.001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921457"/>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921457"/>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9582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95827"/>
                    </a:xfrm>
                    <a:prstGeom prst="rect"/>
                  </pic:spPr>
                </pic:pic>
              </a:graphicData>
            </a:graphic>
          </wp:inline>
        </w:drawing>
      </w:r>
    </w:p>
    <w:p w14:paraId="23B269A3" w14:textId="77777777" w:rsidR="00205CBC" w:rsidRDefault="00000000">
      <w:r>
        <w:rPr>
          <w:b w:val="0"/>
          <w:i w:val="0"/>
          <w:color w:val="1F4E9E"/>
        </w:rPr>
        <w:t xml:space="preserve">Fig S6. Effect sizes each architecture can produce, against the observed value. </w:t>
      </w:r>
      <w:r>
        <w:rPr>
          <w:b w:val="0"/>
          <w:i w:val="0"/>
          <w:color w:val="1F4E9E"/>
        </w:rPr>
        <w:t>For each of the eight effects reported</w:t>
      </w:r>
      <w:r>
        <w:rPr>
          <w:b w:val="0"/>
          <w:i w:val="0"/>
          <w:color w:val="1F4E9E"/>
        </w:rPr>
        <w:t xml:space="preserve">, the bar spans the 5th to 95th percentile of that effect over the admissible draws of each model, with the median marked; the vertical line is the observed value and the grey band its 95% confidence interval across participants. </w:t>
      </w:r>
      <w:r>
        <w:rPr>
          <w:b w:val="0"/>
          <w:i w:val="0"/>
          <w:color w:val="1F4E9E"/>
        </w:rPr>
        <w:t>A cross marks a range that does not reach the observed value. On the behavioral effects and on premotor execution time both ranges cover the observation and are barely distinguishable from one another, as the shared architecture requires. Model 1 fails on two: the duration effect on the stimulus-period rate, where its whole range has the wrong sign, and the delay-period log-rate slope. Both models fail on the coherence × duration interaction on the delay-period rate, the paper’s acknowledged disagreement.</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