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S2–S3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S2–S3.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S2–S3; analyses were conducted in R using the afex and emmeans packages. For delay-period partial-activation rate specifically, this analysis is further complemented by a fully unbinned, point-process analysis of exact activation onset times (Table S5).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which is not model fitting. The two models’ qualitative predictions are derived analytically from their architecture and proved in the Appendix;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pPr/>
      <w:r>
        <w:rPr>
          <w:b w:val="0"/>
          <w:i w:val="0"/>
          <w:color w:val="1F4E9E"/>
        </w:rPr>
        <w:t>The equations above were integrated numerically in Python (NumPy) by the explicit Euler–Maruyama scheme, at a fixed time step of 1/1024 s — the EMG and EEG acquisition rate (Methods, EMG acquisition and preprocessing) — so that the detection procedure below runs on the same time grid as the recorded signals. Each simulated trial yields one continuous trace of the gated drive, from stimulus onset to the earlier of the response or the trial's end; the response time is the first time step at which this drive reaches the response criterion, after which the fixed residual motor latency is added, as in the immediate-report architecture. Partial muscle activations are extracted from this trace by the same rule applied to the recorded EMG (Methods, EMG acquisition and preprocessing): the drive crossing above zero, merging of intervals separated by 25 ms or less, and discarding merged intervals with fewer than an adaptively set minimum of supra-threshold samples. The one part of that procedure not simulated is the integrated-profile boundary refinement, which relocates interval boundaries without changing their number, and only the number is used here. Trials are simulated independently per condition from a fixed pseudo-random seed, so every reported quantity is exactly reproducible.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the Appendix are claimed to hold at every admissible parameter setting rather than at a favorable one, so the claim was checked numerically over the whole space. Parameters were drawn by Latin-hypercube sampling over the ranges given in Table A1 — </w:t>
      </w:r>
      <w:r>
        <w:rPr>
          <w:b w:val="0"/>
          <w:i w:val="0"/>
          <w:color w:val="1F4E9E"/>
        </w:rPr>
        <w:t>1200 draws, 4000 trials per cell per model per draw</w:t>
      </w:r>
      <w:r>
        <w:rPr>
          <w:b w:val="0"/>
          <w:i w:val="0"/>
          <w:color w:val="1F4E9E"/>
        </w:rPr>
        <w:t xml:space="preserve">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w:t>
      </w:r>
      <w:r>
        <w:rPr>
          <w:b w:val="0"/>
          <w:i w:val="0"/>
          <w:color w:val="1F4E9E"/>
        </w:rPr>
        <w:t>and, across conditions, a delay-period partial-activation rate between 0.04 and 3 s⁻¹ and a response-time decomposition in the range participants show — mean premotor execution time between 181 and 677 ms and mean motor execution time between 46 and 288 ms, the observed ranges of the per-participant means widened by a factor of two about their centre.</w:t>
      </w:r>
      <w:r>
        <w:rPr>
          <w:b w:val="0"/>
          <w:i w:val="0"/>
          <w:color w:val="1F4E9E"/>
        </w:rPr>
        <w:t xml:space="preserve"> </w:t>
      </w:r>
      <w:r>
        <w:rPr>
          <w:b w:val="0"/>
          <w:i w:val="0"/>
          <w:color w:val="1F4E9E"/>
        </w:rPr>
        <w:t>The last two criteria are stated at the level of a participant, since a draw of parameters stands for a hypothetical participant: they ask that the draw produce muscle activity at a rate the real participants span, and that its response time decompose into components a participant could have. Without the second, the admissible set contains settings whose mean premotor execution time is −945 ms — a response burst beginning almost a second before the reaction signal — and whose mean motor execution time reaches 1.4 s. It is important that this criterion constrains the LEVELS of the two components and not their EFFECTS: the predictions tested in this window are that coherence and duration move the premotor component and leave the motor component alone, and those remain free to be right or wrong at every admissible setting.</w:t>
      </w:r>
      <w:r>
        <w:rPr>
          <w:b w:val="0"/>
          <w:i w:val="0"/>
          <w:color w:val="1F4E9E"/>
        </w:rPr>
        <w:t xml:space="preserve">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 xml:space="preserve">What the evaluation reports is a range of effect sizes. For each effect, the distribution of that effect over a model’s admissible draws — its median and 5th to 95th percentile — </w:t>
      </w:r>
      <w:r>
        <w:rPr>
          <w:b w:val="0"/>
          <w:i w:val="0"/>
          <w:color w:val="1F4E9E"/>
        </w:rPr>
        <w:t>says what the architecture can produce, and is compared with the value observed in the data and its between-participant standard error. The observed value of each effect is formed WITHIN participant and averaged afterwards: the six coherence × duration cell values are computed for each of the 22 participants from that participant’s own trials, the contrast defining the effect is taken on those six numbers, and the 22 resulting contrasts are averaged, the standard error being their standard deviation divided by the square root of 22. Each model’s effect is formed by the same contrast on the six cell values of one admissible draw, a draw standing for one hypothetical participant. The order matters for the delay-period log-rate slope, where the mean of the per-participant slopes is +0.892 s⁻¹ while the slope of the profile pooled across participants is +0.817 s⁻¹: pooling mixes participants whose rates differ by a factor of thirty, and a sum of exponentials is not an exponential. The per-participant quantity is the one reported and the one the bound of the Appendix is drawn against.</w:t>
      </w:r>
      <w:r>
        <w:rPr>
          <w:b w:val="0"/>
          <w:i w:val="0"/>
          <w:color w:val="1F4E9E"/>
        </w:rPr>
        <w:t xml:space="preserve"> The effects reported are the contrasts that carry an argument rather than the main effects, since a main effect that both architectures produce with the same sign at every parameter setting adds nothing to the derivation that establishes it. They are: the duration benefit on accuracy at 12% coherence relative to the two extremes; the duration effect on response time and </w:t>
      </w:r>
      <w:r>
        <w:rPr>
          <w:b w:val="0"/>
          <w:i w:val="0"/>
          <w:color w:val="1F4E9E"/>
        </w:rPr>
        <w:t>the coherence × duration interaction on it; the coherence effect on the stimulus-period partial-activation rate</w:t>
      </w:r>
      <w:r>
        <w:rPr>
          <w:b w:val="0"/>
          <w:i w:val="0"/>
          <w:color w:val="1F4E9E"/>
        </w:rPr>
        <w:t xml:space="preserve"> and the duration effect on it (the one prediction outside the delay period on which the two models disagree, and where the sign rather than the magnitude is what discriminates); the duration effects on premotor and on motor execution time, reported together because the claim is the dissociation between them; the coherence × duration interaction on the delay-period rate; and the delay-period log-rate slope. A model whose range excludes the observed value is quantitatively inadequate on that effect whatever the sign of its prediction. </w:t>
      </w:r>
      <w:r>
        <w:rPr>
          <w:b w:val="0"/>
          <w:i w:val="0"/>
          <w:color w:val="1F4E9E"/>
        </w:rPr>
        <w:t>Figure S5 shows all nine.</w:t>
      </w:r>
    </w:p>
    <w:p w14:paraId="1E041236" w14:textId="77777777" w:rsidR="00205CBC" w:rsidRDefault="00000000">
      <w:r>
        <w:rPr>
          <w:b w:val="0"/>
          <w:i w:val="0"/>
          <w:color w:val="1F4E9E"/>
        </w:rPr>
        <w:t xml:space="preserve">Where a proposition predicts a direction rather than a magnitude, the quantity reported is the proportion of admissible settings at which the model reproduces that direction. A sign is only interpretable against the Monte-Carlo error of the effect that carries it: at 4000 trials per cell an effect a hundred times smaller than the observed one has a sign that reports the random seed and not the architecture. Each effect was therefore given a Monte-Carlo standard error propagated from the per-cell errors of the quantities entering it — </w:t>
      </w:r>
      <w:r>
        <w:rPr>
          <w:b w:val="0"/>
          <w:i w:val="0"/>
          <w:color w:val="1F4E9E"/>
        </w:rPr>
        <w:t>binomial for accuracy, Poisson</w:t>
      </w:r>
      <w:r>
        <w:rPr>
          <w:b w:val="0"/>
          <w:i w:val="0"/>
          <w:color w:val="1F4E9E"/>
        </w:rPr>
        <w:t xml:space="preserve"> for the two activation rates, and the simulated between-trial errors for the response-time components and the log-rate slope, with every count-based error floored at one event so that a cell containing no events is not credited with zero uncertainty — and each admissible setting was classified in three ways rather than two: the effect is significantly of the observed sign, significantly against it, or not distinguishable from zero, at two standard errors. The third class is not a rounding of the other two. It is the set of settings at which the model makes no directional claim, </w:t>
      </w:r>
      <w:r>
        <w:rPr>
          <w:b w:val="0"/>
          <w:i w:val="0"/>
          <w:color w:val="1F4E9E"/>
        </w:rPr>
        <w:t>and on one of the nine effects it is the majority.</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the Appendix,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w:t>
      </w:r>
      <w:r>
        <w:rPr>
          <w:color w:val="1F4E9E"/>
        </w:rPr>
        <w:t>(F(1.96,41.24)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w:t>
      </w:r>
      <w:r>
        <w:rPr>
          <w:color w:val="1F4E9E"/>
        </w:rPr>
        <w:t>(F(1.68,35.25) = 4.61, p = .022,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73212C5D" w14:textId="77777777" w:rsidR="00205CBC" w:rsidRDefault="00000000">
      <w:r>
        <w:rPr>
          <w:color w:val="1F4E9E"/>
        </w:rPr>
        <w:t xml:space="preserve">Behavior is where the two models are hardest to tell apart, and the reason is structural rather than empirical. The two architectures differ in exactly one term, the delay-period temporal-preparation ramp, whose magnitude </w:t>
      </w:r>
      <m:oMath>
        <m:r>
          <w:rPr>
            <w:rFonts w:ascii="Cambria Math" w:hAnsi="Cambria Math"/>
            <w:color w:val="1F4E9E"/>
          </w:rPr>
          <m:t xml:space="preserve">β</m:t>
        </m:r>
      </m:oMath>
      <w:r>
        <w:rPr>
          <w:color w:val="1F4E9E"/>
        </w:rPr>
        <w:t xml:space="preserve"> enters through </w:t>
      </w:r>
      <m:oMath>
        <m:r>
          <w:rPr>
            <w:rFonts w:ascii="Cambria Math" w:hAnsi="Cambria Math"/>
            <w:color w:val="1F4E9E"/>
          </w:rPr>
          <m:t xml:space="preserve">δ</m:t>
        </m:r>
        <m:r>
          <m:rPr>
            <m:nor/>
          </m:rPr>
          <w:rPr>
            <w:rFonts w:ascii="Cambria Math" w:hAnsi="Cambria Math"/>
            <w:color w:val="1F4E9E"/>
          </w:rPr>
          <m:t xml:space="preserve">=</m:t>
        </m:r>
        <m:sSub>
          <m:sSubPr>
            <m:ctrlPr/>
          </m:sSubPr>
          <m:e>
            <m:r>
              <w:rPr>
                <w:rFonts w:ascii="Cambria Math" w:hAnsi="Cambria Math"/>
                <w:color w:val="1F4E9E"/>
              </w:rPr>
              <m:t xml:space="preserve">t</m:t>
            </m:r>
          </m:e>
          <m:sub>
            <m:r>
              <w:rPr>
                <w:rFonts w:ascii="Cambria Math" w:hAnsi="Cambria Math"/>
                <w:color w:val="1F4E9E"/>
              </w:rPr>
              <m:t xml:space="preserve">R</m:t>
            </m:r>
            <m:r>
              <w:rPr>
                <w:rFonts w:ascii="Cambria Math" w:hAnsi="Cambria Math"/>
                <w:color w:val="1F4E9E"/>
              </w:rPr>
              <m:t xml:space="preserve">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w:rPr>
                <w:rFonts w:ascii="Cambria Math" w:hAnsi="Cambria Math"/>
                <w:color w:val="1F4E9E"/>
              </w:rPr>
              <m:t xml:space="preserve">o</m:t>
            </m:r>
            <m:r>
              <w:rPr>
                <w:rFonts w:ascii="Cambria Math" w:hAnsi="Cambria Math"/>
                <w:color w:val="1F4E9E"/>
              </w:rPr>
              <m:t xml:space="preserve">f</m:t>
            </m:r>
            <m:r>
              <w:rPr>
                <w:rFonts w:ascii="Cambria Math" w:hAnsi="Cambria Math"/>
                <w:color w:val="1F4E9E"/>
              </w:rPr>
              <m:t xml:space="preserve">f</m:t>
            </m:r>
            <m:r>
              <w:rPr>
                <w:rFonts w:ascii="Cambria Math" w:hAnsi="Cambria Math"/>
                <w:color w:val="1F4E9E"/>
              </w:rPr>
              <m:t xml:space="preserve">s</m:t>
            </m:r>
            <m:r>
              <w:rPr>
                <w:rFonts w:ascii="Cambria Math" w:hAnsi="Cambria Math"/>
                <w:color w:val="1F4E9E"/>
              </w:rPr>
              <m:t xml:space="preserve">e</m:t>
            </m:r>
            <m:r>
              <w:rPr>
                <w:rFonts w:ascii="Cambria Math" w:hAnsi="Cambria Math"/>
                <w:color w:val="1F4E9E"/>
              </w:rPr>
              <m:t xml:space="preserve">t</m:t>
            </m:r>
          </m:sub>
        </m:sSub>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sSub>
          <m:sSubPr>
            <m:ctrlPr/>
          </m:sSubPr>
          <m:e>
            <m:r>
              <w:rPr>
                <w:rFonts w:ascii="Cambria Math" w:hAnsi="Cambria Math"/>
                <w:color w:val="1F4E9E"/>
              </w:rPr>
              <m:t xml:space="preserve">L</m:t>
            </m:r>
          </m:e>
          <m:sub>
            <m:r>
              <w:rPr>
                <w:rFonts w:ascii="Cambria Math" w:hAnsi="Cambria Math"/>
                <w:color w:val="1F4E9E"/>
              </w:rPr>
              <m:t xml:space="preserve">R</m:t>
            </m:r>
            <m:r>
              <w:rPr>
                <w:rFonts w:ascii="Cambria Math" w:hAnsi="Cambria Math"/>
                <w:color w:val="1F4E9E"/>
              </w:rPr>
              <m:t xml:space="preserve">S</m:t>
            </m:r>
          </m:sub>
        </m:sSub>
        <m:r>
          <m:rPr>
            <m:nor/>
          </m:rPr>
          <w:rPr>
            <w:rFonts w:ascii="Cambria Math" w:hAnsi="Cambria Math"/>
            <w:color w:val="1F4E9E"/>
          </w:rPr>
          <m:t xml:space="preserve">-</m:t>
        </m:r>
        <m:sSub>
          <m:sSubPr>
            <m:ctrlPr/>
          </m:sSubPr>
          <m:e>
            <m:r>
              <w:rPr>
                <w:rFonts w:ascii="Cambria Math" w:hAnsi="Cambria Math"/>
                <w:color w:val="1F4E9E"/>
              </w:rPr>
              <m:t xml:space="preserve">L</m:t>
            </m:r>
          </m:e>
          <m:sub>
            <m:r>
              <w:rPr>
                <w:rFonts w:ascii="Cambria Math" w:hAnsi="Cambria Math"/>
                <w:color w:val="1F4E9E"/>
              </w:rPr>
              <m:t xml:space="preserve">m</m:t>
            </m:r>
            <m:r>
              <w:rPr>
                <w:rFonts w:ascii="Cambria Math" w:hAnsi="Cambria Math"/>
                <w:color w:val="1F4E9E"/>
              </w:rPr>
              <m:t xml:space="preserve">o</m:t>
            </m:r>
            <m:r>
              <w:rPr>
                <w:rFonts w:ascii="Cambria Math" w:hAnsi="Cambria Math"/>
                <w:color w:val="1F4E9E"/>
              </w:rPr>
              <m:t xml:space="preserve">t</m:t>
            </m:r>
            <m:r>
              <w:rPr>
                <w:rFonts w:ascii="Cambria Math" w:hAnsi="Cambria Math"/>
                <w:color w:val="1F4E9E"/>
              </w:rPr>
              <m:t xml:space="preserve">i</m:t>
            </m:r>
            <m:r>
              <w:rPr>
                <w:rFonts w:ascii="Cambria Math" w:hAnsi="Cambria Math"/>
                <w:color w:val="1F4E9E"/>
              </w:rPr>
              <m:t xml:space="preserve">o</m:t>
            </m:r>
            <m:r>
              <w:rPr>
                <w:rFonts w:ascii="Cambria Math" w:hAnsi="Cambria Math"/>
                <w:color w:val="1F4E9E"/>
              </w:rPr>
              <m:t xml:space="preserve">n</m:t>
            </m:r>
          </m:sub>
        </m:sSub>
      </m:oMath>
      <w:r>
        <w:rPr>
          <w:color w:val="1F4E9E"/>
        </w:rPr>
        <w:t xml:space="preserve">. That quantity does not depend on stimulus duration, so the ramp contributes identically in all six coherence × duration cells and cannot by itself generate any effect of coherence, of duration, or of their interaction. Every behavioral prediction above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supplies the scale the derivation cannot. The duration benefit on accuracy is predicted to be confined to intermediate coherence, since accuracy is exactly one half at zero coherence whatever the duration and tends to one at high coherence for both; measured as the benefit at 12% minus the mean of the benefits at 0% and 50%, it was 0.075 ± 0.014 in the data, against ranges of 0.012 to 0.197 for Model 1 and 0.020 to 0.208 for Model 2. The duration effect on response time was 49 ± 6 ms, against 2 to 86 ms and 1 to 92 ms; the coherence × duration interaction on it — the coherence effect after the short stimulus minus the coherence effect after the long one, as predicted above — was +15 ± 8 ms, against 1 to 82 ms and 1 to 76 ms.</w:t>
      </w:r>
      <w:r>
        <w:rPr>
          <w:b w:val="0"/>
          <w:i w:val="0"/>
          <w:color w:val="1F4E9E"/>
        </w:rPr>
      </w:r>
      <w:r>
        <w:rPr>
          <w:b w:val="0"/>
          <w:i w:val="0"/>
          <w:color w:val="1F4E9E"/>
        </w:rPr>
        <w:t xml:space="preserve"> Each of these effects is significantly of the observed sign at 89% or more of each model’s admissible settings and </w:t>
      </w:r>
      <w:r>
        <w:rPr>
          <w:b w:val="0"/>
          <w:i w:val="0"/>
          <w:color w:val="1F4E9E"/>
        </w:rPr>
        <w:t>significantly against it at 3% or fewer.</w:t>
      </w:r>
      <w:r>
        <w:rPr>
          <w:b w:val="0"/>
          <w:i w:val="0"/>
          <w:color w:val="1F4E9E"/>
        </w:rPr>
        <w:t xml:space="preserve"> On every behavioral effect the observed value falls inside both models’ ranges, and the two ranges are barely distinguishable from one another — which is the quantitative form of the same point: β cannot move any of these quantities, so no behavioral measure separates the architectures at any parameter setting, not merely at settings that happen to describe these data. The ranges are wide because they describe what an architecture can do across its whole admissible space; their width is a statement about that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b w:val="0"/>
          <w:i w:val="0"/>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w:t>
      </w:r>
      <w:r>
        <w:rPr>
          <w:b w:val="0"/>
          <w:i w:val="0"/>
          <w:color w:val="1F4E9E"/>
        </w:rPr>
      </w:r>
      <w:r>
        <w:rPr>
          <w:b w:val="0"/>
          <w:i w:val="0"/>
          <w:color w:val="1F4E9E"/>
        </w:rPr>
        <w:t xml:space="preserve"> — a prediction that does not distinguish the two accounts, since neither the first-stage drift nor its accumulation depends on temporal preparation.</w:t>
      </w:r>
    </w:p>
    <w:p w14:paraId="372A8172" w14:textId="77777777" w:rsidR="00205CBC" w:rsidRDefault="00000000">
      <w:r>
        <w:rPr>
          <w:b w:val="0"/>
          <w:i w:val="0"/>
          <w:color w:val="1F4E9E"/>
        </w:rPr>
        <w:t>By duration the two models diverge, and this is the only place outside the delay period where they do. Because the preparation ramp begins at stimulus offset, it occupies about three-quarters of the 2-s stimulus-onset window in the 0.3-s condition and none of it in the 2-s condition. Model 1 has no ramp, so the only duration dependence left to it is that the long stimulus has accumulated more evidence by the end of the window: it predicts a higher rate after the LONG stimulus, and does so at every admissible parameter setting. Model 2’s ramp pushes the effect the other way, but whether it overturns the level effect depends on the ramp’s size relative to the distance to the gate, and those are independent parameters; the reversal therefore holds over part of Model 2’s admissible space and not all of it . The disagreement is one-sided, and is stated in that form before the data are seen: a rate higher after the SHORT stimulus is incompatible with Model 1 and compatible with Model 2, but it is not a positive prediction of Model 2, whose own prediction is made in the delay period.</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r>
      <w:r>
        <w:rPr>
          <w:color w:val="1F4E9E"/>
        </w:rPr>
      </w:r>
      <w:r>
        <w:rPr>
          <w:color w:val="1F4E9E"/>
        </w:rPr>
        <w:t>It is, however, the direction that excludes Model 1: without a ramp, the only duration dependence available to that architecture is the higher maintained level after the long stimulus, which gives the opposite ordering. A ramp accounts for what is observed — it begins at stimulus offset and therefore occupies most of the stimulus-onset window in the 0.3 s condition and none of it in the 2 s condition — provided temporal preparation increases more steeply than coherence-averaged evidence accumulation. That is Model 2, but the inference runs only one way: the observation rules Model 1 out and leaves Model 2 standing, without confirming it.</w:t>
      </w:r>
      <w:r>
        <w:rPr>
          <w:color w:val="1F4E9E"/>
        </w:rPr>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S3).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S4),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S2)</w:t>
      </w:r>
      <w:r>
        <w:t>.</w:t>
      </w:r>
    </w:p>
    <w:p w14:paraId="60E48DBD" w14:textId="77777777" w:rsidR="00205CBC" w:rsidRDefault="00000000">
      <w:pPr>
        <w:pStyle w:val="Titre3"/>
      </w:pPr>
      <w:r>
        <w:rPr>
          <w:color w:val="1F4E9E"/>
        </w:rPr>
        <w:t>Simulation validation</w:t>
      </w:r>
    </w:p>
    <w:p w14:paraId="3B1E680C" w14:textId="77777777" w:rsidR="00205CBC" w:rsidRDefault="00000000">
      <w:r>
        <w:rPr>
          <w:b w:val="0"/>
          <w:i w:val="0"/>
          <w:color w:val="1F4E9E"/>
        </w:rPr>
        <w:t>Two quantities from this window were evaluated over the parameter space: the coherence effect, which both architectures predict and which therefore serves as a control, and the duration effect, on which they disagree.</w:t>
      </w:r>
    </w:p>
    <w:p w14:paraId="3B1E680C" w14:textId="77777777" w:rsidR="00205CBC" w:rsidRDefault="00000000">
      <w:r>
        <w:rPr>
          <w:b w:val="0"/>
          <w:i w:val="0"/>
          <w:color w:val="1F4E9E"/>
        </w:rPr>
      </w:r>
      <w:r>
        <w:rPr>
          <w:b w:val="0"/>
          <w:i w:val="0"/>
          <w:color w:val="1F4E9E"/>
        </w:rPr>
        <w:t>Take the control first. The shared architecture predicts</w:t>
      </w:r>
      <w:r>
        <w:rPr>
          <w:b w:val="0"/>
          <w:i w:val="0"/>
          <w:color w:val="1F4E9E"/>
        </w:rPr>
        <w:t xml:space="preserve"> the stimulus-period partial-activation rate to be higher at high coherence in both models, and it is: the rate at 50% coherence minus the rate at 0% was +0.054 ± 0.020 s⁻¹ in the data, against 0.009 to 0.651 s⁻¹ over Model 1’s admissible settings and 0.001 to 0.388 over Model 2’s, with the observed sign significant at 98% and 93% of them and the opposite sign at none. The two architectures are therefore not being distinguished by their general ability to describe this window — they describe it equally well — but by the one contrast on which the ramp acts.</w:t>
      </w:r>
    </w:p>
    <w:p w14:paraId="3B1E680C" w14:textId="77777777" w:rsidR="00205CBC" w:rsidRDefault="00000000">
      <w:r>
        <w:rPr>
          <w:b w:val="0"/>
          <w:i w:val="0"/>
          <w:color w:val="1F4E9E"/>
        </w:rPr>
      </w:r>
      <w:r>
        <w:rPr>
          <w:b w:val="0"/>
          <w:i w:val="0"/>
          <w:color w:val="1F4E9E"/>
        </w:rPr>
        <w:t>The duration effect turns into an exclusion of Model 1</w:t>
      </w:r>
      <w:r>
        <w:rPr>
          <w:b w:val="0"/>
          <w:i w:val="0"/>
          <w:color w:val="1F4E9E"/>
        </w:rPr>
        <w:t xml:space="preserve">, of a specific kind. The duration effect on the stimulus-period partial-activation rate — the rate after the 0.3 s stimulus minus the rate after the 2 s stimulus, over the same 0 to 2 s window used for the data — was +0.057 ± 0.015 s⁻¹. Model 1 produces a significantly negative effect at 95% of its admissible settings and a significantly positive one at none (5th to 95th percentile −0.324 to −0.004 s⁻¹), which is what the architecture predicts for it and what makes the observation incompatible with that architecture, on the stimulus period alone and before any delay-period quantity is examined. Model 2 produces the observed sign at 39% of its settings and the opposite sign at 45% (−0.214 to +0.036 s⁻¹): temporal preparation opposes the level effect, as the derivation says, but does not generally overturn it, </w:t>
      </w:r>
      <w:r>
        <w:rPr>
          <w:b w:val="0"/>
          <w:i w:val="0"/>
          <w:color w:val="1F4E9E"/>
        </w:rPr>
        <w:t>because the ramp’s size and the distance to the gate are independent parameters. Its largest value, +0.129 s⁻¹, is more than twice the observation, so the fact that the observed value falls outside its 5th to 95th percentile band is a statement about where the bulk of Model 2’s admissible space lies and not about what that space can reach.</w:t>
      </w:r>
      <w:r>
        <w:rPr>
          <w:b w:val="0"/>
          <w:i w:val="0"/>
          <w:color w:val="1F4E9E"/>
        </w:rPr>
        <w:t xml:space="preserve"> The test is therefore one-sided. It refutes Model 1; it does not confirm Model 2, whose own prediction is made in the delay period.</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73212C5D" w14:textId="77777777" w:rsidR="00205CBC" w:rsidRDefault="00000000">
      <w:r>
        <w:rPr>
          <w:color w:val="1F4E9E"/>
        </w:rPr>
        <w:t xml:space="preserve">During the delay, a partial activation on the responding side is an upcrossing of the internal gate </w:t>
      </w:r>
      <m:oMath>
        <m:r>
          <w:rPr>
            <w:rFonts w:ascii="Cambria Math" w:hAnsi="Cambria Math"/>
            <w:color w:val="1F4E9E"/>
          </w:rPr>
          <m:t xml:space="preserve">g</m:t>
        </m:r>
      </m:oMath>
      <w:r>
        <w:rPr>
          <w:color w:val="1F4E9E"/>
        </w:rPr>
        <w:t xml:space="preserve"> by the maintained fluctuation </w:t>
      </w:r>
      <m:oMath>
        <m:r>
          <w:rPr>
            <w:rFonts w:ascii="Cambria Math" w:hAnsi="Cambria Math"/>
            <w:color w:val="1F4E9E"/>
          </w:rPr>
          <m:t xml:space="preserve">H</m:t>
        </m:r>
      </m:oMath>
      <w:r>
        <w:rPr>
          <w:color w:val="1F4E9E"/>
        </w:rPr>
        <w:t xml:space="preserve"> — the excursion of the preparatory signal around the level held since the first accumulation was stopped, still driven by the same noise process that generates within-trial fluctuations elsewhere in the model. The Appendix derives the resulting instantaneous rate in closed form from the Kac–Rice formula for the expected upcrossing rate of a differentiable Gaussian process, Equation (21), which assumes no stationarity. Where the fluctuation has reached stationarity that expression simplifies: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oMath>
      <w:r>
        <w:rPr>
          <w:color w:val="1F4E9E"/>
        </w:rPr>
        <w:t xml:space="preserve"> for the distance from the maintained level to the gate in units of the fluctuation’s standard deviation, </w:t>
      </w:r>
      <w:r>
        <w:rPr>
          <w:color w:val="1F4E9E"/>
        </w:rPr>
        <w:t xml:space="preserve"> and </w:t>
      </w:r>
      <m:oMath>
        <m:r>
          <w:rPr>
            <w:rFonts w:ascii="Cambria Math" w:hAnsi="Cambria Math"/>
            <w:color w:val="1F4E9E"/>
          </w:rPr>
          <m:t xml:space="preserve">ω</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oMath>
      <w:r>
        <w:rPr>
          <w:color w:val="1F4E9E"/>
        </w:rPr>
        <w:t xml:space="preserve"> for the fluctuation’s characteristic frequency, the rate is Equation (22):</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Model 1 — recovers the classical Rice formula, Equation (23), 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is attained when the gate sits exactly at the maintained level. That bound holds once the fluctuation is stationary. It does not hold before: while the variance is still filling in the ceiling is higher, because the fluctuation is smooth but its amplitude is small, and it is the non-stationary form (Appendix, A.1) that must be used at the slow mean reversion Model 1 needs for a rate still rising near the end of a 3-s delay. At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0.2</m:t>
        </m:r>
      </m:oMath>
      <w:r>
        <w:rPr>
          <w:color w:val="1F4E9E"/>
        </w:rPr>
        <w:t xml:space="preserve"> s⁻¹ the variance is a quarter of its stationary value when the window opens and about seven-tenths when it closes, and the ceiling computed from the kernel is about twice the stationary expression. Even so it is small: 0.9 s⁻¹ across the range of </w:t>
      </w:r>
      <m:oMath>
        <m:r>
          <w:rPr>
            <w:rFonts w:ascii="Cambria Math" w:hAnsi="Cambria Math"/>
            <w:color w:val="1F4E9E"/>
          </w:rPr>
          <m:t xml:space="preserve">λ</m:t>
        </m:r>
      </m:oMath>
      <w:r>
        <w:rPr>
          <w:color w:val="1F4E9E"/>
        </w:rPr>
        <w:t xml:space="preserve"> in Table A1, against an observed end-of-delay rate of 1.45 s⁻¹.</w:t>
      </w:r>
    </w:p>
    <w:p w14:paraId="73212C5D" w14:textId="77777777" w:rsidR="00205CBC" w:rsidRDefault="00000000">
      <w:r>
        <w:rPr>
          <w:color w:val="1F4E9E"/>
        </w:rPr>
        <w:t xml:space="preserve">That ceiling, however, is not the constraint that binds. It is attained only when the maintained level sits exactly at the gate, and at that distance the rate is not rising but falling: the variance transient that produces any ramp at all under Model 1 raises the rate only where the signal is more than one fluctuation standard deviation from the gate, and by (23) each further standard deviation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therefore governed by the same quantity in opposite directions (Corollary A.5), and the question is not whether Model 1 can produce either but whether it can produce both at once.</w:t>
      </w:r>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w:t>
      </w:r>
      <w:r>
        <w:rPr>
          <w:b w:val="0"/>
          <w:i w:val="0"/>
          <w:color w:val="1F4E9E"/>
        </w:rPr>
        <w:t>maximizing over the distance to the gate and over the ranges of κ and λ in Table A1, computing the moments from the kernel rather than from their stationary limits, and estimating the slope exactly as it is estimated in the data — an offset-Poisson regression over the same twenty bins, not a secant between the ends of the window (the Appendix, A.7). Two properties of the calculation make it a bound rather than an illustration. It holds under trial-to-trial variation of the maintained level: the measured rate is a mixture over the distance to the gate, and maximizing a mixture’s slope at fixed rate is a linear programme whose solution moves the frontier by less than one per cent (Appendix, A.8). And the two effects it does not model — the merging of nearby crossings into one detected activation, and the absorption of trials that reach the response criterion — both act to lower the measured slope, not to raise it (A.10).</w:t>
      </w:r>
      <w:r>
        <w:rPr>
          <w:b w:val="0"/>
          <w:i w:val="0"/>
          <w:color w:val="1F4E9E"/>
        </w:rPr>
        <w:t xml:space="preserve"> </w:t>
      </w:r>
      <w:r>
        <w:rPr>
          <w:b w:val="0"/>
          <w:i w:val="0"/>
          <w:color w:val="1F4E9E"/>
        </w:rPr>
        <w:t>At the lowest rate observed in any participant × condition cell, 0.085 s⁻¹, Model 1 can reach a slope of +0.81 s⁻¹; at 0.2 s⁻¹ it can reach +0.40; at 0.3 s⁻¹, +0.19; at 0.4 s⁻¹, +0.05; at 0.5 s⁻¹, +0.01; and at the observed mean rate of 0.709 s⁻¹ it can reach nothing distinguishable from zero.</w:t>
      </w:r>
      <w:r>
        <w:rPr>
          <w:b w:val="0"/>
          <w:i w:val="0"/>
          <w:color w:val="1F4E9E"/>
        </w:rPr>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r>
      <w:r>
        <w:rPr>
          <w:b w:val="0"/>
          <w:i w:val="0"/>
          <w:color w:val="1F4E9E"/>
        </w:rPr>
        <w:t>the largest rate at which it attains the observed slope anywhere in the sampled ranges is 0.069 s⁻¹ — a tenth of the observed mean, and below the 0.085 s⁻¹ of the least active participant in the least active condition. There is therefore no admissible setting of its parameters at which Model 1 produces both the observed ramp and partial activations as often as any participant produced them.</w:t>
      </w:r>
      <w:r>
        <w:rPr>
          <w:b w:val="0"/>
          <w:i w:val="0"/>
          <w:color w:val="1F4E9E"/>
        </w:rPr>
      </w:r>
      <w:r>
        <w:rPr>
          <w:b w:val="0"/>
          <w:i w:val="0"/>
          <w:color w:val="1F4E9E"/>
        </w:rPr>
      </w:r>
      <w:r>
        <w:rPr>
          <w:b w:val="0"/>
          <w:i w:val="0"/>
          <w:color w:val="1F4E9E"/>
        </w:rPr>
      </w:r>
      <w:r>
        <w:rPr>
          <w:b w:val="0"/>
          <w:i w:val="0"/>
          <w:color w:val="1F4E9E"/>
        </w:rPr>
      </w:r>
      <w:r>
        <w:rPr>
          <w:b w:val="0"/>
          <w:i w:val="0"/>
          <w:color w:val="1F4E9E"/>
        </w:rPr>
      </w:r>
      <w:r>
        <w:rPr>
          <w:b w:val="0"/>
          <w:i w:val="0"/>
          <w:color w:val="1F4E9E"/>
        </w:rPr>
        <w:t xml:space="preserve">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The same calculation applies to Model 2, and the contrast is the whole argument. Temporal preparation moves the gate-facing signal towards the gate, which enters the crossing-rate formula in one place only — the derivative of the signal relative to the barrier — so the frontier can be computed for that architecture too (Appendix, A.5). Bounding the ramp at three fluctuation standard deviations over the analyzed window — near the 97th percentile of the ramps the admissibility screen accepts, whose median is 0.39 and whose maximum is 8.4, so that 4% of admissible draws exceed the cap — </w:t>
      </w:r>
      <w:r>
        <w:rPr>
          <w:b w:val="0"/>
          <w:i w:val="0"/>
          <w:color w:val="1F4E9E"/>
        </w:rPr>
        <w:t>Model 2 reaches a delay-period log-rate slope of +4.05 s⁻¹ at the observed rate, against an observed +0.89; and it attains the observed slope at rates up to 6.4 s⁻¹, nine times the observed rate. Model 1 at the same rate reaches nothing distinguishable from zero, and attains the observed slope only at 0.069 s⁻¹.</w:t>
      </w:r>
      <w:r>
        <w:rPr>
          <w:b w:val="0"/>
          <w:i w:val="0"/>
          <w:color w:val="1F4E9E"/>
        </w:rPr>
        <w:t xml:space="preserve"> The two architectures are therefore not near-misses of one another: </w:t>
      </w:r>
      <w:r>
        <w:rPr>
          <w:b w:val="0"/>
          <w:i w:val="0"/>
          <w:color w:val="1F4E9E"/>
        </w:rPr>
        <w:t>one exceeds what has to be explained several times over, the other cannot reach it at any rate a participant showed.</w:t>
      </w:r>
      <w:r>
        <w:rPr>
          <w:b w:val="0"/>
          <w:i w:val="0"/>
          <w:color w:val="1F4E9E"/>
        </w:rPr>
        <w:t xml:space="preserve"> This is also why the two frontiers have a different status. For Model 1 the frontier is a bound — with no ramp the rate depends on nothing but κ, λ and the distance to the gate, all three of which are swept, and nothing outside the calculation can raise it. For Model 2 it is an upper envelope under a cap read off the screened sample, so it says what that architecture can reach, not what it typically does.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73212C5D" w14:textId="77777777" w:rsidR="00205CBC" w:rsidRDefault="00000000">
      <w:r>
        <w:rPr>
          <w:color w:val="1F4E9E"/>
        </w:rPr>
        <w:t xml:space="preserve">A second, independent exclusion follows from the same calculation, and it constrains the SHAPE of the delay-period rate curve rather than its height. Under Model 1 the ramp is carried entirely by the filling-in of the maintenance variance, and that process decelerates: by Corollary A.9 the relative rate of variance growth is </w:t>
      </w:r>
      <m:oMath>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oMath>
      <w:r>
        <w:rPr>
          <w:color w:val="1F4E9E"/>
        </w:rPr>
        <w:t xml:space="preserve">, which is bounded above by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whatever </w:t>
      </w:r>
      <m:oMath>
        <m:r>
          <w:rPr>
            <w:rFonts w:ascii="Cambria Math" w:hAnsi="Cambria Math"/>
            <w:color w:val="1F4E9E"/>
          </w:rPr>
          <m:t xml:space="preserve">κ</m:t>
        </m:r>
      </m:oMath>
      <w:r>
        <w:rPr>
          <w:color w:val="1F4E9E"/>
        </w:rPr>
        <w:t xml:space="preserve">, so the local log-rate slope must fall by at least a factor of 3.6 between the start and the end of the analyzed window, and in fact by a factor of at least 15 everywhere in the sampled ranges. Model 2 is under no such constraint: by (24) its slope is </w:t>
      </w:r>
      <m:oMath>
        <m:r>
          <w:rPr>
            <w:rFonts w:ascii="Cambria Math" w:hAnsi="Cambria Math"/>
            <w:color w:val="1F4E9E"/>
          </w:rPr>
          <m:t xml:space="preserve">b</m:t>
        </m:r>
        <m:r>
          <m:rPr>
            <m:nor/>
          </m:rPr>
          <w:rPr>
            <w:rFonts w:ascii="Cambria Math" w:hAnsi="Cambria Math"/>
            <w:color w:val="1F4E9E"/>
          </w:rPr>
          <m:t xml:space="preserve"> </m:t>
        </m:r>
        <m:r>
          <w:rPr>
            <w:rFonts w:ascii="Cambria Math" w:hAnsi="Cambria Math"/>
            <w:color w:val="1F4E9E"/>
          </w:rPr>
          <m:t xml:space="preserve">a</m:t>
        </m:r>
        <m:d>
          <m:dPr>
            <m:begChr m:val="("/>
            <m:endChr m:val=")"/>
            <m:ctrlPr/>
          </m:dPr>
          <m:e>
            <m:r>
              <w:rPr>
                <w:rFonts w:ascii="Cambria Math" w:hAnsi="Cambria Math"/>
                <w:color w:val="1F4E9E"/>
              </w:rPr>
              <m:t xml:space="preserve">τ</m:t>
            </m:r>
          </m:e>
        </m:d>
      </m:oMath>
      <w:r>
        <w:rPr>
          <w:color w:val="1F4E9E"/>
        </w:rPr>
        <w:t xml:space="preserve"> with </w:t>
      </w:r>
      <m:oMath>
        <m:r>
          <w:rPr>
            <w:rFonts w:ascii="Cambria Math" w:hAnsi="Cambria Math"/>
            <w:color w:val="1F4E9E"/>
          </w:rPr>
          <m:t xml:space="preserve">a</m:t>
        </m:r>
      </m:oMath>
      <w:r>
        <w:rPr>
          <w:color w:val="1F4E9E"/>
        </w:rPr>
        <w:t xml:space="preserve"> falling linearly, and the corresponding ratio starts at about 1.1. Measured on the data, the per-participant log-rate slopes in the four quarters of the delay window are +0.58, +0.94, +0.72 and +0.62 s⁻¹, a first-to-last ratio of 0.94 — no deceleration at all, against the factor of 15 Model 1 requires.</w:t>
      </w:r>
    </w:p>
    <w:p w14:paraId="73212C5D" w14:textId="77777777" w:rsidR="00205CBC" w:rsidRDefault="00000000">
      <w:r>
        <w:rPr>
          <w:color w:val="1F4E9E"/>
        </w:rPr>
        <w:t xml:space="preserve">The closed-form rate also predicts how the delay-period ramp should level off across cells. Under Model 2 the gate approaches the signal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so the standardized distance falls linearly, and taking logarithms in Equation (22) gives Equation (25):</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and its curvature is the negative of the square of the ramp speed in those units. That curvature depends on the parameters, but it is constant in time — the log rate is exactly a downward parabola — and identical in all six conditions, since the ramp and the fluctuation are properties of the participant and not of the condition. A cell with a higher rate has a smaller standardized distance, and therefore a shallower predicted slope: no extra mechanism is needed for the apparent leveling-off of the rate late in the 2-s, high-coherence condition, which is simply the cell with the smallest distance to the gate and so the first to flatten.</w:t>
      </w:r>
    </w:p>
    <w:p w14:paraId="73212C5D" w14:textId="77777777" w:rsidR="00205CBC" w:rsidRDefault="00000000">
      <w:r>
        <w:rPr>
          <w:color w:val="1F4E9E"/>
        </w:rPr>
        <w:t xml:space="preserve">Saturation bounds the coherence effect, and reverses the expected interaction. The maintained TARGET is capped pathwise at the internal threshold </w:t>
      </w:r>
      <m:oMath>
        <m:r>
          <w:rPr>
            <w:rFonts w:ascii="Cambria Math" w:hAnsi="Cambria Math"/>
            <w:color w:val="1F4E9E"/>
          </w:rPr>
          <m:t xml:space="preserve">θ</m:t>
        </m:r>
      </m:oMath>
      <w:r>
        <w:rPr>
          <w:color w:val="1F4E9E"/>
        </w:rPr>
        <w:t xml:space="preserve">: a trial whose first accumulation reaches </w:t>
      </w:r>
      <m:oMath>
        <m:r>
          <w:rPr>
            <w:rFonts w:ascii="Cambria Math" w:hAnsi="Cambria Math"/>
            <w:color w:val="1F4E9E"/>
          </w:rPr>
          <m:t xml:space="preserve">θ</m:t>
        </m:r>
      </m:oMath>
      <w:r>
        <w:rPr>
          <w:color w:val="1F4E9E"/>
        </w:rPr>
        <w:t xml:space="preserve"> has its target pinned there for the rest of the delay, though its signal keeps fluctuating about that target, which is what produces the crossings in the first place. On such a trial the distance to the gate is the same in every condition, and the fluctuation's law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converge on that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The model therefore predicts a coherence effect on the delay-period rate that shrinks, not grows, after a long stimulus.</w:t>
      </w:r>
    </w:p>
    <w:p w14:paraId="73212C5D" w14:textId="77777777" w:rsidR="00205CBC" w:rsidRDefault="00000000">
      <w:r>
        <w:rPr>
          <w:color w:val="1F4E9E"/>
        </w:rPr>
        <w:t xml:space="preserve">The prediction is conditional, and the condition is that the LOWEST-coherence long-duration cell be near the cap: the effect is a difference between coherences, and the cap shrinks that difference only once both of its terms are capped. Where the condition fails the prediction reverses, because below the cap the target is free and its coherence sensitivity grows with duration rather than shrinking. The condition cannot be imposed through accuracy: the contrast is taken against the zero-coherence cell, whose accuracy is one half by symmetry whatever the parameters. A second channel, not covered by the argument at all, works in the same direction. The delay window is timed from stimulus offset rather than from the crossing of </w:t>
      </w:r>
      <m:oMath>
        <m:r>
          <w:rPr>
            <w:rFonts w:ascii="Cambria Math" w:hAnsi="Cambria Math"/>
            <w:color w:val="1F4E9E"/>
          </w:rPr>
          <m:t xml:space="preserve">θ</m:t>
        </m:r>
      </m:oMath>
      <w:r>
        <w:rPr>
          <w:color w:val="1F4E9E"/>
        </w:rPr>
        <w:t xml:space="preserve">, and the crossing comes earlier at higher coherence; capped trials at high coherence have therefore been in maintenance longer when the window opens, their variance has filled in further, and their rate is higher. Measured at a mean reversion of 0.5 s⁻¹, elapsed maintenance time at the opening of the window is 2.37 s at zero coherence against 2.82 s at 50% after the long stimulus, and 1.085 against 1.132 s after the short one — a residual coherence effect that is itself larger after the long stimulus. It contributes a rate ratio of 1.21 and 1.29 in the two duration conditions at the bottom of the range of </w:t>
      </w:r>
      <m:oMath>
        <m:r>
          <w:rPr>
            <w:rFonts w:ascii="Cambria Math" w:hAnsi="Cambria Math"/>
            <w:color w:val="1F4E9E"/>
          </w:rPr>
          <m:t xml:space="preserve">κ</m:t>
        </m:r>
      </m:oMath>
      <w:r>
        <w:rPr>
          <w:color w:val="1F4E9E"/>
        </w:rPr>
        <w:t xml:space="preserve">, and vanishes above about 2 s⁻¹, so it bites in exactly the regime in which Model 1 can produce any ramp at all.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S5):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(25)</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(25)</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S2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(25)</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S3]</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S2)</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t>This is the one window in which the two models’ ranges separate cleanly (Figure S5, right-hand panels). Two quantities have to be reproduced together here: the rate at which partial activations occur during the delay, and the slope of its logarithm. Over the admissible draws Model 1’s slope is centred near zero (median −0.02 s⁻¹, 5th to 95th percentile −0.20 to +0.09) and Model 2’s is positive (median +0.27, −0.06 to +1.98). Classified against their Monte-Carlo error, Model 1’s slope is significantly positive at 3% of its settings, significantly negative at 39%, and indistinguishable from zero at the remaining 58%; Model 2’s is significantly positive at 81%, negative at 5%, and flat at 14%. The distinction matters for what is being claimed: Model 1 does not generally produce a falling rate, which would be a different and weaker failure — it produces a flat one, which is exactly what a stationary architecture should produce and what the data contradict. Model 2 produces all six cell slopes significantly positive in 76 of its 148 admissible draws while Model 1 does so in none of its 164. Requiring both quantities at once is decisive, and is what the frontier of the preceding section predicts. No draw of Model 1 reaches the observed slope range at any rate; 16 draws of Model 2 do.</w:t>
      </w:r>
    </w:p>
    <w:p w14:paraId="3A644C8C" w14:textId="77777777" w:rsidR="00205CBC" w:rsidRDefault="00000000">
      <w:r>
        <w:rPr>
          <w:b w:val="0"/>
          <w:i w:val="0"/>
          <w:color w:val="1F4E9E"/>
        </w:rPr>
        <w:t>Figure S3 shows this directly. The two quantities are on the two axes, the frontier of the preceding section is the boundary of what Model 1 can produce, and the observation lies far outside it. Two features of the picture do not read off it directly.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S4). That is a residual for Model 2, and it is the same residual the saturation argument above identifies from the other side.</w:t>
      </w:r>
    </w:p>
    <w:p w14:paraId="3A644C8C" w14:textId="77777777" w:rsidR="00205CBC" w:rsidRDefault="00000000">
      <w:r>
        <w:rPr>
          <w:b w:val="0"/>
          <w:i w:val="0"/>
          <w:color w:val="1F4E9E"/>
        </w:rPr>
        <w:t xml:space="preserve">Because the largest slope over a set of noisy draws is biased upward, the draws that came closest were re-simulated at twenty times the trial count, on three independent seeds each. The result separates the two ways a draw can fail. </w:t>
      </w:r>
      <w:r>
        <w:rPr>
          <w:b w:val="0"/>
          <w:i w:val="0"/>
          <w:color w:val="1F4E9E"/>
        </w:rPr>
      </w:r>
      <w:r>
        <w:rPr>
          <w:b w:val="0"/>
          <w:i w:val="0"/>
          <w:color w:val="1F4E9E"/>
        </w:rPr>
        <w:t>Model 1’s draws that produce a rate at or above the lowest one observed in any participant × condition cell (0.12 to 1.06 s⁻¹) have slopes between −0.007 and +0.009 s⁻¹, with Monte-Carlo standard errors of 0.031 or less: not a small ramp, but no ramp. Its draws that do produce a ramp — +0.13, +0.14 and +0.28 s⁻¹ — do so at rates of 0.041 to 0.073 s⁻¹, all of them below that lowest observed rate. The two routes agree on the same threshold: the frontier puts the largest rate compatible with the observed slope at 0.069 s⁻¹, and no re-simulated draw ramps above 0.073 s⁻¹.</w:t>
      </w:r>
      <w:r>
        <w:rPr>
          <w:b w:val="0"/>
          <w:i w:val="0"/>
          <w:color w:val="1F4E9E"/>
        </w:rPr>
        <w:t xml:space="preserve"> </w:t>
      </w:r>
      <w:r>
        <w:rPr>
          <w:b w:val="0"/>
          <w:i w:val="0"/>
          <w:color w:val="1F4E9E"/>
        </w:rPr>
        <w:t>Six draws whose first-pass slopes had looked positive at a realistic rate (+0.02 to +0.16) fell to between −0.007 and +0.009 on re-simulation, which is what the upward bias of a maximum looks like when it is checked. The sampled space and the closed-form frontier therefore agree, by independent routes, on where the boundary lies:</w:t>
      </w:r>
      <w:r>
        <w:rPr>
          <w:b w:val="0"/>
          <w:i w:val="0"/>
          <w:color w:val="1F4E9E"/>
        </w:rPr>
        <w:t xml:space="preserve">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 xml:space="preserve">The spread across draws is a property of the architecture and not of the simulation. Re-simulating forty admissible draws per model on four independent seeds each and decomposing the variance of the delay-period slope </w:t>
      </w:r>
      <w:r>
        <w:rPr>
          <w:b w:val="0"/>
          <w:i w:val="0"/>
          <w:color w:val="1F4E9E"/>
        </w:rPr>
        <w:t>gives, for Model 1, a total standard deviation of 0.073 s⁻¹ of which 0.032 is Monte-Carlo and 0.066 between draws, and for Model 2 a total of 1.40 s⁻¹ of which 0.048 is Monte-Carlo and 1.40 between draws. Model 1’s slope is thus not merely centered near zero but pinned there: the whole span of its admissible parameter space moves it about a twentieth as much as Model 2’s space moves Model 2’s.</w:t>
      </w:r>
    </w:p>
    <w:p w14:paraId="168B8045" w14:textId="77777777" w:rsidR="00205CBC" w:rsidRDefault="00000000">
      <w:r>
        <w:rPr>
          <w:b w:val="0"/>
          <w:i w:val="0"/>
          <w:color w:val="1F4E9E"/>
        </w:rPr>
        <w:t>Figure S4 shows this at the level of the rate curve itself, and shows it across the parameter space rather than at one setting: every admissible parameter set of Model 1 gives a delay-period profile that is flat or declining, while Model 2’s fan out, many of them tracking the observed rise and beyond. This is the same statement as the frontier, seen in the time domain rather than as a pair of summary numbers.</w:t>
      </w:r>
    </w:p>
    <w:p w14:paraId="168B8045" w14:textId="77777777" w:rsidR="00205CBC" w:rsidRDefault="00000000">
      <w:r>
        <w:rPr>
          <w:b w:val="0"/>
          <w:i w:val="0"/>
          <w:color w:val="1F4E9E"/>
        </w:rPr>
        <w:t>One further quantity in this window is the paper’s clearest disagreement with its own model. Saturation of the maintained level predicts the coherence effect on the delay-period rate to shrink after a long stimulus; the data show it growing. Measured as the coherence effect after the 2 s stimulus minus the coherence effect after the 0.3 s stimulus, the observed value is +0.107 ± 0.051 s⁻¹, whereas the 5th to 95th percentiles of the admissible draws run from −0.764 to +0.001 s⁻¹ for Model 1 and −0.741 to +0.017 s⁻¹ for Model 2. The effect is significantly of the observed sign at 4% and 7% of admissible settings against significantly opposite at 85% and 87%. This is the one effect on which both architectures commit themselves clearly and both are wrong, and it is not a matter of parameter choice that some other setting in the same regime would repair.</w:t>
      </w:r>
    </w:p>
    <w:p w14:paraId="168B8045" w14:textId="77777777" w:rsidR="00205CBC" w:rsidRDefault="00000000">
      <w:r>
        <w:rPr>
          <w:b w:val="0"/>
          <w:i w:val="0"/>
          <w:color w:val="1F4E9E"/>
        </w:rPr>
        <w:t xml:space="preserve">The few settings that do produce the observed sign say what the disagreement costs. They are not scattered: they sit in one corner of the space, at the top of the range of the commitment threshold θ and the bottom of the range of the first-stage gain k, and in that corner the maintained level does not saturate. At 12% coherence a typical admissible draw has crossed θ before stimulus offset on 99% of long-duration trials; in this corner it has done so on 55 to 67% of them, and on essentially none of the short-duration trials. Proposition A.3 is derived from saturation, so where saturation fails the prediction has no premise and the interaction is free to reverse — which is what happens. The same corner supplies the two or three per cent of settings at which </w:t>
      </w:r>
      <w:r>
        <w:rPr>
          <w:b w:val="0"/>
          <w:i w:val="0"/>
          <w:color w:val="1F4E9E"/>
        </w:rPr>
        <w:t>the response-time interaction above</w:t>
      </w:r>
      <w:r>
        <w:rPr>
          <w:b w:val="0"/>
          <w:i w:val="0"/>
          <w:color w:val="1F4E9E"/>
        </w:rPr>
        <w:t xml:space="preserve"> comes out with the wrong sign. Within these architectures the observed growth of the coherence effect across the delay can be obtained, but only by giving up the saturation of the maintained level — which is the mechanism the rest of the account rests on. Nothing in the admissible space delivers both.</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w:t>
      </w:r>
      <w:r>
        <w:rPr>
          <w:color w:val="1F4E9E"/>
        </w:rPr>
        <w:t>duration: F(1,21) = 69.60, p &lt; .001, ηp² = 0.768; coherence: F(1.60,33.50) = 14.00, p &lt; .001, ηp² = 0.400; duration × coherence: F(1.72,36.14) = 3.58, p = .045, ηp² = 0.145</w:t>
      </w:r>
      <w:r>
        <w:rPr>
          <w:color w:val="1F4E9E"/>
        </w:rPr>
        <w:t>)</w:t>
      </w:r>
      <w:r>
        <w:t>. In contrast, mean MET was not significantly affected by any experimental factor</w:t>
      </w:r>
      <w:r>
        <w:rPr>
          <w:color w:val="1F4E9E"/>
        </w:rPr>
        <w:t xml:space="preserve"> (</w:t>
      </w:r>
      <w:r>
        <w:rPr>
          <w:color w:val="1F4E9E"/>
        </w:rPr>
        <w:t>duration: F(1,21) = 1.09, p = .307, ηp² = 0.050; coherence: F(1.51,31.73) = 0.62, p = .499, ηp² = 0.029; duration × coherence: F(1.86,39.12) = 2.44, p = .104, ηp² = 0.104</w:t>
      </w:r>
      <w:r>
        <w:rPr>
          <w:color w:val="1F4E9E"/>
        </w:rPr>
        <w:t>)</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the Appendix does not apply</w:t>
      </w:r>
      <w:r>
        <w:rPr>
          <w:color w:val="1F4E9E"/>
        </w:rPr>
        <w:t xml:space="preserve"> after the response signal: the criterion now acts as an absorbing barrier, and conditioning on survival destroys the Gaussianity on which </w:t>
      </w:r>
      <w:r>
        <w:rPr>
          <w:color w:val="1F4E9E"/>
        </w:rPr>
        <w:t>Equation (22)</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 xml:space="preserve">The parameter-space evaluation does constrain this window through the dissociation between the two components of response time. The conditions are predicted to move the premotor component and to leave the motor component alone, since nothing in either architecture makes the passage from the gate to the response criterion depend on coherence or duration. In the data the duration effect on premotor execution time was +49 ± 6 ms and </w:t>
      </w:r>
      <w:r>
        <w:rPr>
          <w:b w:val="0"/>
          <w:i w:val="0"/>
          <w:color w:val="1F4E9E"/>
        </w:rPr>
        <w:t>the duration effect on motor execution time was −0.5 ± 0.8 ms</w:t>
      </w:r>
      <w:r>
        <w:rPr>
          <w:b w:val="0"/>
          <w:i w:val="0"/>
          <w:color w:val="1F4E9E"/>
        </w:rPr>
        <w:t xml:space="preserve">. </w:t>
      </w:r>
      <w:r>
        <w:rPr>
          <w:b w:val="0"/>
          <w:i w:val="0"/>
          <w:color w:val="1F4E9E"/>
        </w:rPr>
        <w:t xml:space="preserve">Both architectures produce the premotor effect (Model 1, 3 to 108 ms; Model 2, 2 to 126 ms) </w:t>
      </w:r>
      <w:r>
        <w:rPr>
          <w:b w:val="0"/>
          <w:i w:val="0"/>
          <w:color w:val="1F4E9E"/>
        </w:rPr>
        <w:t>and both leave the motor component nearly alone (−46 to 0 ms and −62 to −1 ms). The dissociation is therefore reproduced, though not exactly: the models do not leave the motor component strictly alone. Its duration effect is significantly below zero at 87% and 86% of admissible settings, with medians of −5 and −8 ms, where the data give an effect indistinguishable from zero. The discrepancy is small — a few milliseconds on a component whose mean is 161 ms — but it is systematic, and it says that the passage from the gate to the response criterion is slightly faster in the simulation after the short stimulus than after the long one, whereas in the muscle it is not.</w:t>
      </w:r>
      <w:r>
        <w:rPr>
          <w:b w:val="0"/>
          <w:i w:val="0"/>
          <w:color w:val="1F4E9E"/>
        </w:rPr>
        <w:t xml:space="preserve"> It remains a weak test of the architectures, for a reason that is worth the reader’s attention: before the admissibility screen was given a criterion on the two components’ levels, the same ranges ran to −183 and −730 ms. What makes the present ranges narrow is the screen, not the architecture.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the Appendix)</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The modeling in this paper does and does not establish. No parameter is estimated from these data: the predictions tested are ordinal, derived analytically (Appendix),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the Appendix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153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15360"/>
                    </a:xfrm>
                    <a:prstGeom prst="rect">
                      <a:avLst/>
                    </a:prstGeom>
                  </pic:spPr>
                </pic:pic>
              </a:graphicData>
            </a:graphic>
          </wp:inline>
        </w:drawing>
      </w:r>
      <w:r>
        <w:br/>
      </w:r>
      <w:r>
        <w:rPr>
          <w:noProof/>
        </w:rPr>
        <w:drawing>
          <wp:inline distT="0" distB="0" distL="0" distR="0" wp14:anchorId="68E4C781" wp14:editId="2BC68CE3">
            <wp:extent cx="5760720" cy="20153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15360"/>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r>
      <w:r>
        <w:rPr>
          <w:color w:val="1F4E9E"/>
        </w:rPr>
        <w:t>Fig 1. Simulated dynamics under the two candidate models.</w:t>
      </w:r>
      <w:r>
        <w:rPr>
          <w:color w:val="1F4E9E"/>
        </w:rPr>
        <w:t xml:space="preserve"> </w:t>
      </w:r>
      <w:r>
        <w:rPr>
          <w:color w:val="1F4E9E"/>
        </w:rPr>
        <w:t xml:space="preserve">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w:t>
      </w:r>
      <w:r>
        <w:rPr>
          <w:color w:val="1F4E9E"/>
        </w:rPr>
        <w:t xml:space="preserve">time-locked to the four trial events (stimulus onset, stimulus offset, response signal, response); each trial is censored at its own response. </w:t>
      </w:r>
      <w:r>
        <w:rPr>
          <w:color w:val="1F4E9E"/>
        </w:rPr>
        <w:t>Each thin line is the mean over trials of one admissible parameter set, and the thick line the mean over parameter sets; thirty sets are shown, the same ones in both panels, so that the two differ in β and in nothing else. The variability displayed is therefore variability across the parameter space rather than across trials at one setting, which is the variability every claim in the paper is about. The vertical axis is in units of each set’s own distance from the maintained level to the gate, so that sets with different amplitudes are superimposable; 0 is the maintained level and 1 the gate.</w:t>
      </w:r>
      <w:r>
        <w:rPr>
          <w:color w:val="1F4E9E"/>
        </w:rPr>
      </w:r>
      <w:r>
        <w:rPr>
          <w:color w:val="1F4E9E"/>
        </w:rPr>
        <w:t xml:space="preserv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w:t>
      </w:r>
      <m:oMath>
        <m:r>
          <w:rPr>
            <w:rFonts w:ascii="Cambria Math" w:hAnsi="Cambria Math"/>
          </w:rPr>
          <m:t xml:space="preserve">β</m:t>
        </m:r>
        <m:r>
          <m:rPr>
            <m:nor/>
          </m:rPr>
          <w:rPr>
            <w:rFonts w:ascii="Cambria Math" w:hAnsi="Cambria Math"/>
          </w:rPr>
          <m:t xml:space="preserve">=</m:t>
        </m:r>
        <m:r>
          <m:rPr>
            <m:nor/>
          </m:rPr>
          <w:rPr>
            <w:rFonts w:ascii="Cambria Math" w:hAnsi="Cambria Math"/>
          </w:rPr>
          <m:t xml:space="preserve">0</m:t>
        </m:r>
      </m:oMath>
      <w:r>
        <w:rPr>
          <w:color w:val="1F4E9E"/>
        </w:rPr>
        <w:t xml:space="preserve">.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S2–S3.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S4). § Not significant on the omnibus test (p = .136) but significant as a linear trend (p = .046); reported here for consistency with the trend criterion used throughout this table. ¶ No quadratic contrast exists for RS or Response (only two time bins).</w:t>
      </w:r>
    </w:p>
    <w:p w14:paraId="73212C5D" w14:textId="77777777" w:rsidR="00205CBC" w:rsidRDefault="00000000" __title__="1">
      <w:pPr>
        <w:pStyle w:val="Titre1"/>
      </w:pPr>
      <w:r>
        <w:rPr>
          <w:color w:val="1F4E9E"/>
        </w:rPr>
        <w:t xml:space="preserve">Appendix. The rate of partial muscle activations</w:t>
      </w:r>
    </w:p>
    <w:p w14:paraId="73212C5D" w14:textId="77777777" w:rsidR="00205CBC" w:rsidRDefault="00000000">
      <w:r>
        <w:rPr>
          <w:color w:val="1F4E9E"/>
        </w:rPr>
        <w:t xml:space="preserve">This appendix derives the instantaneous rate at which the maintained motor-preparatory signal crosses the gate upward — a partial muscle activation — and the structural properties of that rate which the Results test. It contains no numerical evaluation: every quantity computed over the sampled parameter space is reported in Results, beside the data it is compared with.</w:t>
      </w:r>
    </w:p>
    <w:p w14:paraId="73212C5D" w14:textId="77777777" w:rsidR="00205CBC" w:rsidRDefault="00000000">
      <w:r>
        <w:rPr>
          <w:color w:val="1F4E9E"/>
          <w:i/>
          <w:b/>
        </w:rPr>
        <w:t xml:space="preserve">Setup and notation</w:t>
      </w:r>
    </w:p>
    <w:p w14:paraId="73212C5D" w14:textId="77777777" w:rsidR="00205CBC" w:rsidRDefault="00000000">
      <w:r>
        <w:rPr>
          <w:color w:val="1F4E9E"/>
        </w:rPr>
        <w:t xml:space="preserve">Notation follows Theory (Materials and Methods) and Table A1; </w:t>
      </w:r>
      <m:oMath>
        <m:r>
          <w:rPr>
            <w:rFonts w:ascii="Cambria Math" w:hAnsi="Cambria Math"/>
            <w:color w:val="1F4E9E"/>
          </w:rPr>
          <m:t xml:space="preserve">φ</m:t>
        </m:r>
      </m:oMath>
      <w:r>
        <w:rPr>
          <w:color w:val="1F4E9E"/>
        </w:rPr>
        <w:t xml:space="preserve"> and </w:t>
      </w:r>
      <m:oMath>
        <m:r>
          <w:rPr>
            <w:rFonts w:ascii="Cambria Math" w:hAnsi="Cambria Math"/>
            <w:color w:val="1F4E9E"/>
          </w:rPr>
          <m:t xml:space="preserve">Φ</m:t>
        </m:r>
      </m:oMath>
      <w:r>
        <w:rPr>
          <w:color w:val="1F4E9E"/>
        </w:rPr>
        <w:t xml:space="preserve"> are the standard normal density and distribution function. Fix a trial that has entered maintenance at time </w:t>
      </w:r>
      <m:oMath>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with selected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oMath>
      <w:r>
        <w:rPr>
          <w:color w:val="1F4E9E"/>
        </w:rPr>
        <w:t xml:space="preserve"> and maintained level </w:t>
      </w:r>
      <m:oMath>
        <m:r>
          <w:rPr>
            <w:rFonts w:ascii="Cambria Math" w:hAnsi="Cambria Math"/>
            <w:color w:val="1F4E9E"/>
          </w:rPr>
          <m:t xml:space="preserve">m</m:t>
        </m:r>
      </m:oMath>
      <w:r>
        <w:rPr>
          <w:color w:val="1F4E9E"/>
        </w:rPr>
        <w:t xml:space="preserve"> (Equation (4)), and write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for elapsed maintenance time. For </w:t>
      </w:r>
      <m:oMath>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τ</m:t>
            </m:r>
          </m:e>
          <m:sub>
            <m:r>
              <m:rPr>
                <m:nor/>
              </m:rPr>
              <w:rPr>
                <w:rFonts w:ascii="Cambria Math" w:hAnsi="Cambria Math"/>
                <w:color w:val="1F4E9E"/>
              </w:rPr>
              <m:t xml:space="preserve">0</m:t>
            </m:r>
          </m:sub>
        </m:sSub>
      </m:oMath>
      <w:r>
        <w:rPr>
          <w:color w:val="1F4E9E"/>
        </w:rPr>
        <w:t xml:space="preserve"> write </w:t>
      </w:r>
      <m:oMath>
        <m:r>
          <w:rPr>
            <w:rFonts w:ascii="Cambria Math" w:hAnsi="Cambria Math"/>
            <w:color w:val="1F4E9E"/>
          </w:rPr>
          <m:t xml:space="preserve">y</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oMath>
      <w:r>
        <w:rPr>
          <w:color w:val="1F4E9E"/>
        </w:rPr>
        <w:t xml:space="preserve">, so that </w:t>
      </w:r>
      <m:oMath>
        <m:r>
          <w:rPr>
            <w:rFonts w:ascii="Cambria Math" w:hAnsi="Cambria Math"/>
            <w:color w:val="1F4E9E"/>
          </w:rPr>
          <m:t xml:space="preserve">H</m:t>
        </m:r>
      </m:oMath>
      <w:r>
        <w:rPr>
          <w:color w:val="1F4E9E"/>
        </w:rPr>
        <w:t xml:space="preserve"> is the fluctuation of the motor-preparatory signal about its target, with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By Equations (5) and (6), </w:t>
      </w:r>
      <m:oMath>
        <m:r>
          <w:rPr>
            <w:rFonts w:ascii="Cambria Math" w:hAnsi="Cambria Math"/>
            <w:color w:val="1F4E9E"/>
          </w:rPr>
          <m:t xml:space="preserve">H</m:t>
        </m:r>
      </m:oMath>
      <w:r>
        <w:rPr>
          <w:color w:val="1F4E9E"/>
        </w:rPr>
        <w:t xml:space="preserve"> is the output of the first-order filter driven by the Ornstein–Uhlenbeck maintenance noise:</w:t>
      </w:r>
    </w:p>
    <w:p w14:paraId="73212C5D" w14:textId="77777777" w:rsidR="00205CBC" w:rsidRDefault="00000000">
      <m:oMathPara>
        <m:oMath>
          <m:eqArr>
            <m:eqArrPr>
              <m:maxDist m:val="1"/>
              <m:ctrlPr/>
            </m:eqArrPr>
            <m:e>
              <m:r>
                <m:rPr>
                  <m:nor/>
                </m:rPr>
                <w:rPr>
                  <w:rFonts w:ascii="Cambria Math" w:hAnsi="Cambria Math"/>
                  <w:color w:val="1F4E9E"/>
                </w:rPr>
                <m:t xml:space="preserve">d</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ε</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H</m:t>
                  </m:r>
                  <m:d>
                    <m:dPr>
                      <m:begChr m:val="("/>
                      <m:endChr m:val=")"/>
                      <m:ctrlPr/>
                    </m:dPr>
                    <m:e>
                      <m:r>
                        <w:rPr>
                          <w:rFonts w:ascii="Cambria Math" w:hAnsi="Cambria Math"/>
                          <w:color w:val="1F4E9E"/>
                        </w:rPr>
                        <m:t xml:space="preserve">t</m:t>
                      </m:r>
                    </m:e>
                  </m:d>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with </w:t>
      </w:r>
      <m:oMath>
        <m:sSub>
          <m:sSubPr>
            <m:ctrlPr/>
          </m:sSubPr>
          <m:e>
            <m:r>
              <w:rPr>
                <w:rFonts w:ascii="Cambria Math" w:hAnsi="Cambria Math"/>
                <w:color w:val="1F4E9E"/>
              </w:rPr>
              <m:t xml:space="preserve">σ</m:t>
            </m:r>
          </m:e>
          <m:sub>
            <m:r>
              <w:rPr>
                <w:rFonts w:ascii="Cambria Math" w:hAnsi="Cambria Math"/>
                <w:color w:val="1F4E9E"/>
              </w:rPr>
              <m:t xml:space="preserve">ε</m:t>
            </m:r>
          </m:sub>
        </m:sSub>
        <m:r>
          <m:rPr>
            <m:nor/>
          </m:rPr>
          <w:rPr>
            <w:rFonts w:ascii="Cambria Math" w:hAnsi="Cambria Math"/>
            <w:color w:val="1F4E9E"/>
          </w:rPr>
          <m:t xml:space="preserve">=</m:t>
        </m:r>
        <m:sSub>
          <m:sSubPr>
            <m:ctrlPr/>
          </m:sSubPr>
          <m:e>
            <m:r>
              <m:rPr>
                <m:nor/>
              </m:rPr>
              <w:rPr>
                <w:rFonts w:ascii="Cambria Math" w:hAnsi="Cambria Math"/>
                <w:color w:val="1F4E9E"/>
              </w:rPr>
              <m:t xml:space="preserve">SD</m:t>
            </m:r>
          </m:e>
          <m:sub>
            <m:r>
              <w:rPr>
                <w:rFonts w:ascii="Cambria Math" w:hAnsi="Cambria Math"/>
                <w:color w:val="1F4E9E"/>
              </w:rPr>
              <m:t xml:space="preserve">ε</m:t>
            </m:r>
          </m:sub>
        </m:sSub>
        <m:rad>
          <m:radPr>
            <m:degHide m:val="1"/>
            <m:ctrlPr/>
          </m:radPr>
          <m:deg/>
          <m:e>
            <m:r>
              <m:rPr>
                <m:nor/>
              </m:rPr>
              <w:rPr>
                <w:rFonts w:ascii="Cambria Math" w:hAnsi="Cambria Math"/>
                <w:color w:val="1F4E9E"/>
              </w:rPr>
              <m:t xml:space="preserve">2</m:t>
            </m:r>
            <m:r>
              <w:rPr>
                <w:rFonts w:ascii="Cambria Math" w:hAnsi="Cambria Math"/>
                <w:color w:val="1F4E9E"/>
              </w:rPr>
              <m:t xml:space="preserve">κ</m:t>
            </m:r>
          </m:e>
        </m:rad>
      </m:oMath>
      <w:r>
        <w:rPr>
          <w:color w:val="1F4E9E"/>
        </w:rPr>
        <w:t xml:space="preserve">, so that the stationary standard deviation of </w:t>
      </w:r>
      <m:oMath>
        <m:r>
          <w:rPr>
            <w:rFonts w:ascii="Cambria Math" w:hAnsi="Cambria Math"/>
            <w:color w:val="1F4E9E"/>
          </w:rPr>
          <m:t xml:space="preserve">ε</m:t>
        </m:r>
      </m:oMath>
      <w:r>
        <w:rPr>
          <w:color w:val="1F4E9E"/>
        </w:rPr>
        <w:t xml:space="preserve"> is </w:t>
      </w:r>
      <m:oMath>
        <m:sSub>
          <m:sSubPr>
            <m:ctrlPr/>
          </m:sSubPr>
          <m:e>
            <m:r>
              <m:rPr>
                <m:nor/>
              </m:rPr>
              <w:rPr>
                <w:rFonts w:ascii="Cambria Math" w:hAnsi="Cambria Math"/>
                <w:color w:val="1F4E9E"/>
              </w:rPr>
              <m:t xml:space="preserve">SD</m:t>
            </m:r>
          </m:e>
          <m:sub>
            <m:r>
              <w:rPr>
                <w:rFonts w:ascii="Cambria Math" w:hAnsi="Cambria Math"/>
                <w:color w:val="1F4E9E"/>
              </w:rPr>
              <m:t xml:space="preserve">ε</m:t>
            </m:r>
          </m:sub>
        </m:sSub>
      </m:oMath>
      <w:r>
        <w:rPr>
          <w:color w:val="1F4E9E"/>
        </w:rPr>
        <w:t xml:space="preserve"> whatever the value of </w:t>
      </w:r>
      <m:oMath>
        <m:r>
          <w:rPr>
            <w:rFonts w:ascii="Cambria Math" w:hAnsi="Cambria Math"/>
            <w:color w:val="1F4E9E"/>
          </w:rPr>
          <m:t xml:space="preserve">κ</m:t>
        </m:r>
      </m:oMath>
      <w:r>
        <w:rPr>
          <w:color w:val="1F4E9E"/>
        </w:rPr>
        <w:t xml:space="preserve">, and the two are sampled independently in Table A1. Because </w:t>
      </w:r>
      <m:oMath>
        <m:r>
          <w:rPr>
            <w:rFonts w:ascii="Cambria Math" w:hAnsi="Cambria Math"/>
            <w:color w:val="1F4E9E"/>
          </w:rPr>
          <m:t xml:space="preserve">ε</m:t>
        </m:r>
      </m:oMath>
      <w:r>
        <w:rPr>
          <w:color w:val="1F4E9E"/>
        </w:rPr>
        <w:t xml:space="preserve"> is symmetric and independent of the sign of the response,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has the same law as </w:t>
      </w:r>
      <m:oMath>
        <m:r>
          <w:rPr>
            <w:rFonts w:ascii="Cambria Math" w:hAnsi="Cambria Math"/>
            <w:color w:val="1F4E9E"/>
          </w:rPr>
          <m:t xml:space="preserve">H</m:t>
        </m:r>
      </m:oMath>
      <w:r>
        <w:rPr>
          <w:color w:val="1F4E9E"/>
        </w:rPr>
        <w:t xml:space="preserve">. Writing </w:t>
      </w:r>
      <m:oMath>
        <m:r>
          <w:rPr>
            <w:rFonts w:ascii="Cambria Math" w:hAnsi="Cambria Math"/>
            <w:color w:val="1F4E9E"/>
          </w:rPr>
          <m:t xml:space="preserve">δ</m:t>
        </m:r>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RS</m:t>
            </m:r>
          </m:sub>
        </m:sSub>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oMath>
      <w:r>
        <w:rPr>
          <w:color w:val="1F4E9E"/>
        </w:rPr>
        <w:t xml:space="preserve"> for the length of the preparation window and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for the distance from the maintained level to the gate,</w:t>
      </w:r>
    </w:p>
    <w:p w14:paraId="73212C5D" w14:textId="77777777" w:rsidR="00205CBC" w:rsidRDefault="00000000">
      <m:oMathPara>
        <m:oMath>
          <m:eqArr>
            <m:eqArrPr>
              <m:maxDist m:val="1"/>
              <m:ctrlPr/>
            </m:eqArr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g</m:t>
              </m:r>
              <m:r>
                <m:rPr>
                  <m:nor/>
                </m:rPr>
                <w:rPr>
                  <w:rFonts w:ascii="Cambria Math" w:hAnsi="Cambria Math"/>
                  <w:color w:val="1F4E9E"/>
                </w:rPr>
                <m:t xml:space="preserve">-</m:t>
              </m:r>
              <m:d>
                <m:dPr>
                  <m:begChr m:val="|"/>
                  <m:endChr m:val="|"/>
                  <m:ctrlPr/>
                </m:dPr>
                <m:e>
                  <m:r>
                    <w:rPr>
                      <w:rFonts w:ascii="Cambria Math" w:hAnsi="Cambria Math"/>
                      <w:color w:val="1F4E9E"/>
                    </w:rPr>
                    <m:t xml:space="preserve">m</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sSup>
                <m:sSupPr>
                  <m:ctrlPr/>
                </m:sSupPr>
                <m:e>
                  <m:d>
                    <m:dPr>
                      <m:begChr m:val="("/>
                      <m:endChr m:val=")"/>
                      <m:ctrlPr/>
                    </m:dPr>
                    <m:e>
                      <m:r>
                        <w:rPr>
                          <w:rFonts w:ascii="Cambria Math" w:hAnsi="Cambria Math"/>
                          <w:color w:val="1F4E9E"/>
                        </w:rPr>
                        <m:t xml:space="preserve">t</m:t>
                      </m:r>
                      <m:r>
                        <m:rPr>
                          <m:nor/>
                        </m:rPr>
                        <w:rPr>
                          <w:rFonts w:ascii="Cambria Math" w:hAnsi="Cambria Math"/>
                          <w:color w:val="1F4E9E"/>
                        </w:rPr>
                        <m:t xml:space="preserve">-</m:t>
                      </m:r>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e>
                <m:sup>
                  <m:r>
                    <m:rPr>
                      <m:nor/>
                    </m:rPr>
                    <w:rPr>
                      <w:rFonts w:ascii="Cambria Math" w:hAnsi="Cambria Math"/>
                      <w:color w:val="1F4E9E"/>
                    </w:rPr>
                    <m:t xml:space="preserve">+</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second term present only under temporal preparation, so that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under Model 1), a partial activation on the selected channel begins exactly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crosses </w:t>
      </w:r>
      <m:oMath>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upward. The ramp therefore approaches the gate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non-selected channel activates when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falls below the corresponding distance on the far side, which is several fluctuation standard deviations further away over the whole admissible space; the model predicts that channel to be silent, as it is observed to be, and it is not considered further.</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0.093 s (fixed; Dendauw et al. 2024)</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1F4E9E"/>
                <w:sz w:val="22"/>
                <w:szCs w:val="22"/>
              </w:rPr>
              <w:t xml:space="preserv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1F4E9E"/>
                <w:sz w:val="22"/>
                <w:szCs w:val="22"/>
              </w:rPr>
              <w:t xml:space="preserve">, with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Pr="0099074B">
              <w:rPr>
                <w:color w:val="1F4E9E"/>
                <w:sz w:val="22"/>
                <w:szCs w:val="22"/>
              </w:rPr>
              <w:t xml:space="preserve"> 0.003–0.060 (log-uniform)</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Model 1: 0; Model 2: 0.0015–0.100 (log-uniform)</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w:t>
      </w:r>
      <w:r>
        <w:rPr>
          <w:color w:val="1F4E9E"/>
        </w:rPr>
        <w:t>rather than fixed at them — as was the response criterion r, for the same reason. The residual motor latency Lmotor is the one exception: it is fixed at Dendauw et al.’s 0.093 s, on the ground that a peripheral electromechanical delay between muscle activation and the overt response has better reason to transfer between tasks than a decision-related constant does.</w:t>
      </w:r>
      <w:r>
        <w:rPr>
          <w:color w:val="1F4E9E"/>
        </w:rPr>
        <w:t xml:space="preserve"> The upper end of λ follows from reading 1/λ as the time constant of the filter relating decision-related input to motor preparation: the sampled range corresponds to time constants between 100 and 20 ms, whereas </w:t>
      </w:r>
      <m:oMath>
        <m:r>
          <w:rPr>
            <w:rFonts w:ascii="Cambria Math" w:hAnsi="Cambria Math"/>
          </w:rPr>
          <m:t xml:space="preserve">λ</m:t>
        </m:r>
        <m:r>
          <m:rPr>
            <m:nor/>
          </m:rPr>
          <w:rPr>
            <w:rFonts w:ascii="Cambria Math" w:hAnsi="Cambria Math"/>
          </w:rPr>
          <m:t xml:space="preserve">=</m:t>
        </m:r>
        <m:r>
          <m:rPr>
            <m:nor/>
          </m:rPr>
          <w:rPr>
            <w:rFonts w:ascii="Cambria Math" w:hAnsi="Cambria Math"/>
          </w:rPr>
          <m:t xml:space="preserve">100</m:t>
        </m:r>
        <m:r>
          <m:rPr>
            <m:nor/>
          </m:rPr>
          <w:rPr>
            <w:rFonts w:ascii="Cambria Math" w:hAnsi="Cambria Math"/>
          </w:rPr>
          <m:t xml:space="preserve"> </m:t>
        </m:r>
        <m:sSup>
          <m:sSupPr>
            <m:ctrlPr/>
          </m:sSupPr>
          <m:e>
            <m:r>
              <m:rPr>
                <m:nor/>
              </m:rPr>
              <w:rPr>
                <w:rFonts w:ascii="Cambria Math" w:hAnsi="Cambria Math"/>
              </w:rPr>
              <m:t xml:space="preserve">s</m:t>
            </m:r>
          </m:e>
          <m:sup>
            <m:r>
              <m:rPr>
                <m:nor/>
              </m:rPr>
              <w:rPr>
                <w:rFonts w:ascii="Cambria Math" w:hAnsi="Cambria Math"/>
              </w:rPr>
              <m:t xml:space="preserve">-</m:t>
            </m:r>
            <m:r>
              <m:rPr>
                <m:nor/>
              </m:rPr>
              <w:rPr>
                <w:rFonts w:ascii="Cambria Math" w:hAnsi="Cambria Math"/>
              </w:rPr>
              <m:t xml:space="preserve">1</m:t>
            </m:r>
          </m:sup>
        </m:sSup>
      </m:oMath>
      <w:r>
        <w:rPr>
          <w:color w:val="1F4E9E"/>
        </w:rPr>
        <w:t xml:space="preserve"> would imply 10 ms, faster than plausible neuromuscular filtering. That bound also bears on the ceiling argument of Results (Delay-locked), which weakens as λ grows, and is stated here so that it is visible as a modeling commitment rather than a convenience. </w:t>
      </w:r>
      <w:r>
        <w:rPr>
          <w:color w:val="1F4E9E"/>
        </w:rPr>
      </w:r>
      <w:r>
        <w:rPr>
          <w:color w:val="1F4E9E"/>
        </w:rPr>
        <w:t xml:space="preserve">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w:t>
      </w:r>
      <m:oMath>
        <m:d>
          <m:dPr>
            <m:begChr m:val="("/>
            <m:endChr m:val=")"/>
            <m:ctrlPr/>
          </m:dPr>
          <m:e>
            <m:r>
              <m:rPr>
                <m:nor/>
              </m:rPr>
              <w:rPr>
                <w:rFonts w:ascii="Cambria Math" w:hAnsi="Cambria Math"/>
              </w:rPr>
              <m:t xml:space="preserve">1</m:t>
            </m:r>
            <m:r>
              <m:rPr>
                <m:nor/>
              </m:rPr>
              <w:rPr>
                <w:rFonts w:ascii="Cambria Math" w:hAnsi="Cambria Math"/>
              </w:rPr>
              <m:t xml:space="preserve">/</m:t>
            </m:r>
            <m:r>
              <w:rPr>
                <w:rFonts w:ascii="Cambria Math" w:hAnsi="Cambria Math"/>
              </w:rPr>
              <m:t xml:space="preserve">κ</m:t>
            </m:r>
            <m:r>
              <m:rPr>
                <m:nor/>
              </m:rPr>
              <w:rPr>
                <w:rFonts w:ascii="Cambria Math" w:hAnsi="Cambria Math"/>
              </w:rPr>
              <m:t xml:space="preserve">=</m:t>
            </m:r>
            <m:r>
              <m:rPr>
                <m:nor/>
              </m:rPr>
              <w:rPr>
                <w:rFonts w:ascii="Cambria Math" w:hAnsi="Cambria Math"/>
              </w:rPr>
              <m:t xml:space="preserve">5</m:t>
            </m:r>
            <m:r>
              <m:rPr>
                <m:nor/>
              </m:rPr>
              <w:rPr>
                <w:rFonts w:ascii="Cambria Math" w:hAnsi="Cambria Math"/>
              </w:rPr>
              <m:t xml:space="preserve"> </m:t>
            </m:r>
            <m:r>
              <m:rPr>
                <m:nor/>
              </m:rPr>
              <w:rPr>
                <w:rFonts w:ascii="Cambria Math" w:hAnsi="Cambria Math"/>
              </w:rPr>
              <m:t xml:space="preserve">s</m:t>
            </m:r>
          </m:e>
        </m:d>
      </m:oMath>
      <w:r>
        <w:rPr>
          <w:color w:val="1F4E9E"/>
        </w:rPr>
        <w:t xml:space="preserve">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w:t>
      </w:r>
      <m:oMath>
        <m:r>
          <w:rPr>
            <w:rFonts w:ascii="Cambria Math" w:hAnsi="Cambria Math"/>
          </w:rPr>
          <m:t xml:space="preserve">θ</m:t>
        </m:r>
        <m:r>
          <m:rPr>
            <m:nor/>
          </m:rPr>
          <w:rPr>
            <w:rFonts w:ascii="Cambria Math" w:hAnsi="Cambria Math"/>
          </w:rPr>
          <m:t xml:space="preserve">/</m:t>
        </m:r>
        <m:r>
          <w:rPr>
            <w:rFonts w:ascii="Cambria Math" w:hAnsi="Cambria Math"/>
          </w:rPr>
          <m:t xml:space="preserve">g</m:t>
        </m:r>
      </m:oMath>
      <w:r>
        <w:rPr>
          <w:color w:val="1F4E9E"/>
        </w:rPr>
        <w:t xml:space="preserve">, rather than θ itself, was sampled to ensure </w:t>
      </w:r>
      <m:oMath>
        <m:r>
          <w:rPr>
            <w:rFonts w:ascii="Cambria Math" w:hAnsi="Cambria Math"/>
          </w:rPr>
          <m:t xml:space="preserve">θ</m:t>
        </m:r>
        <m:r>
          <m:rPr>
            <m:nor/>
          </m:rPr>
          <w:rPr>
            <w:rFonts w:ascii="Cambria Math" w:hAnsi="Cambria Math"/>
          </w:rPr>
          <m:t xml:space="preserve">&lt;</m:t>
        </m:r>
        <m:r>
          <w:rPr>
            <w:rFonts w:ascii="Cambria Math" w:hAnsi="Cambria Math"/>
          </w:rPr>
          <m:t xml:space="preserve">g</m:t>
        </m:r>
      </m:oMath>
      <w:r>
        <w:rPr>
          <w:color w:val="1F4E9E"/>
        </w:rPr>
        <w:t xml:space="preserve">, which the architecture requires. </w:t>
      </w:r>
      <w:r>
        <w:rPr>
          <w:color w:val="1F4E9E"/>
        </w:rPr>
        <w:t>For the maintenance-noise process, the stationary standard deviation SDε is sampled rather than σε, so that fluctuation amplitude varies independently of κ; it is sampled directly rather than through any quantity derived from it, so that the sampling law over the space is the one the table states.</w:t>
      </w:r>
      <w:r>
        <w:rPr>
          <w:color w:val="1F4E9E"/>
        </w:rPr>
        <w:t xml:space="preserve">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73212C5D" w14:textId="77777777" w:rsidR="00205CBC" w:rsidRDefault="00000000">
      <w:r>
        <w:rPr>
          <w:color w:val="1F4E9E"/>
          <w:i/>
          <w:b/>
        </w:rPr>
        <w:t xml:space="preserve">The maintained fluctuation</w:t>
      </w:r>
    </w:p>
    <w:p w14:paraId="73212C5D" w14:textId="77777777" w:rsidR="00205CBC" w:rsidRDefault="00000000">
      <w:r>
        <w:rPr>
          <w:color w:val="1F4E9E"/>
        </w:rPr>
        <w:t xml:space="preserve">Solving the two equations of (11) in sequence gives</w:t>
      </w:r>
    </w:p>
    <w:p w14:paraId="73212C5D" w14:textId="77777777" w:rsidR="00205CBC" w:rsidRDefault="00000000">
      <m:oMathPara>
        <m:oMath>
          <m:eqArr>
            <m:eqArrPr>
              <m:maxDist m:val="1"/>
              <m:ctrlPr/>
            </m:eqArrPr>
            <m:e>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r>
                <w:rPr>
                  <w:rFonts w:ascii="Cambria Math" w:hAnsi="Cambria Math"/>
                  <w:color w:val="1F4E9E"/>
                </w:rPr>
                <m:t xml:space="preserve">λ</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r>
                    <w:rPr>
                      <w:rFonts w:ascii="Cambria Math" w:hAnsi="Cambria Math"/>
                      <w:color w:val="1F4E9E"/>
                    </w:rPr>
                    <m:t xml:space="preserve">ε</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q</m:t>
                      </m:r>
                    </m:e>
                  </m:d>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The Ornstein–Uhlenbeck process admits a continuous modification, and </w:t>
      </w:r>
      <m:oMath>
        <m:r>
          <w:rPr>
            <w:rFonts w:ascii="Cambria Math" w:hAnsi="Cambria Math"/>
            <w:color w:val="1F4E9E"/>
          </w:rPr>
          <m:t xml:space="preserve">H</m:t>
        </m:r>
      </m:oMath>
      <w:r>
        <w:rPr>
          <w:color w:val="1F4E9E"/>
        </w:rPr>
        <w:t xml:space="preserve"> is then a Riemann integral of a continuous function, so almost surely </w:t>
      </w:r>
      <m:oMath>
        <m:r>
          <w:rPr>
            <w:rFonts w:ascii="Cambria Math" w:hAnsi="Cambria Math"/>
            <w:color w:val="1F4E9E"/>
          </w:rPr>
          <m:t xml:space="preserve">H</m:t>
        </m:r>
      </m:oMath>
      <w:r>
        <w:rPr>
          <w:color w:val="1F4E9E"/>
        </w:rPr>
        <w:t xml:space="preserve"> is continuously differentiable — which is what the crossing formula below requires and what an unfiltered diffusion would not provide. Substituting the first equation of (13) into the second and exchanging the order of integration — permissible because the integrand is bounded on the compact </w:t>
      </w:r>
      <m:oMath>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w:rPr>
            <w:rFonts w:ascii="Cambria Math" w:hAnsi="Cambria Math"/>
            <w:color w:val="1F4E9E"/>
          </w:rPr>
          <m:t xml:space="preserve">p</m:t>
        </m:r>
        <m:r>
          <m:rPr>
            <m:nor/>
          </m:rPr>
          <w:rPr>
            <w:rFonts w:ascii="Cambria Math" w:hAnsi="Cambria Math"/>
            <w:color w:val="1F4E9E"/>
          </w:rPr>
          <m:t xml:space="preserve">≤</m:t>
        </m:r>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ρ</m:t>
        </m:r>
        <m:r>
          <m:rPr>
            <m:nor/>
          </m:rPr>
          <w:rPr>
            <w:rFonts w:ascii="Cambria Math" w:hAnsi="Cambria Math"/>
            <w:color w:val="1F4E9E"/>
          </w:rPr>
          <m:t xml:space="preserve">}</m:t>
        </m:r>
      </m:oMath>
      <w:r>
        <w:rPr>
          <w:color w:val="1F4E9E"/>
        </w:rPr>
        <w:t xml:space="preserve"> — leaves the inner integral </w:t>
      </w:r>
      <m:oMath>
        <m:nary>
          <m:naryPr>
            <m:chr m:val="∫"/>
            <m:limLoc m:val="subSup"/>
            <m:subHide m:val="0"/>
            <m:supHide m:val="0"/>
            <m:ctrlPr/>
          </m:naryPr>
          <m:sub>
            <m:r>
              <w:rPr>
                <w:rFonts w:ascii="Cambria Math" w:hAnsi="Cambria Math"/>
                <w:color w:val="1F4E9E"/>
              </w:rPr>
              <m:t xml:space="preserve">p</m:t>
            </m:r>
          </m:sub>
          <m:sup>
            <m:r>
              <w:rPr>
                <w:rFonts w:ascii="Cambria Math" w:hAnsi="Cambria Math"/>
                <w:color w:val="1F4E9E"/>
              </w:rPr>
              <m:t xml:space="preserve">ρ</m:t>
            </m:r>
          </m:sup>
          <m:e>
            <m:r>
              <w:rPr>
                <w:rFonts w:ascii="Cambria Math" w:hAnsi="Cambria Math"/>
                <w:color w:val="1F4E9E"/>
              </w:rPr>
              <m:t xml:space="preserve">λ</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q</m:t>
                    </m:r>
                  </m:e>
                </m:d>
              </m:sup>
            </m:sSup>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d>
                  <m:dPr>
                    <m:begChr m:val="("/>
                    <m:endChr m:val=")"/>
                    <m:ctrlPr/>
                  </m:dPr>
                  <m:e>
                    <m:r>
                      <w:rPr>
                        <w:rFonts w:ascii="Cambria Math" w:hAnsi="Cambria Math"/>
                        <w:color w:val="1F4E9E"/>
                      </w:rPr>
                      <m:t xml:space="preserve">q</m:t>
                    </m:r>
                    <m:r>
                      <m:rPr>
                        <m:nor/>
                      </m:rPr>
                      <w:rPr>
                        <w:rFonts w:ascii="Cambria Math" w:hAnsi="Cambria Math"/>
                        <w:color w:val="1F4E9E"/>
                      </w:rPr>
                      <m:t xml:space="preserve">-</m:t>
                    </m:r>
                    <m:r>
                      <w:rPr>
                        <w:rFonts w:ascii="Cambria Math" w:hAnsi="Cambria Math"/>
                        <w:color w:val="1F4E9E"/>
                      </w:rPr>
                      <m:t xml:space="preserve">p</m:t>
                    </m:r>
                  </m:e>
                </m:d>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q</m:t>
            </m:r>
          </m:e>
        </m:nary>
      </m:oMath>
      <w:r>
        <w:rPr>
          <w:color w:val="1F4E9E"/>
        </w:rPr>
        <w:t xml:space="preserve">. Hence </w:t>
      </w:r>
      <m:oMath>
        <m:r>
          <w:rPr>
            <w:rFonts w:ascii="Cambria Math" w:hAnsi="Cambria Math"/>
            <w:color w:val="1F4E9E"/>
          </w:rPr>
          <m:t xml:space="preserve">H</m:t>
        </m:r>
      </m:oMath>
      <w:r>
        <w:rPr>
          <w:color w:val="1F4E9E"/>
        </w:rPr>
        <w:t xml:space="preserve"> is a Wiener integral against the impulse response of the two filters in series,</w:t>
      </w:r>
    </w:p>
    <w:p w14:paraId="73212C5D" w14:textId="77777777" w:rsidR="00205CBC" w:rsidRDefault="00000000">
      <m:oMathPara>
        <m:oMath>
          <m:eqArr>
            <m:eqArrPr>
              <m:maxDist m:val="1"/>
              <m:ctrlPr/>
            </m:eqArrPr>
            <m:e>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f>
                <m:fPr>
                  <m:ctrlPr/>
                </m:fPr>
                <m:num>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d>
                <m:dPr>
                  <m:begChr m:val="("/>
                  <m:endChr m:val=")"/>
                  <m:ctrlPr/>
                </m:dPr>
                <m:e>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and is therefore a centred Gaussian process.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which is the analytic form the differentiability takes, and </w:t>
      </w:r>
      <m:oMath>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oMath>
      <w:r>
        <w:rPr>
          <w:color w:val="1F4E9E"/>
        </w:rPr>
        <w:t xml:space="preserve">.</w:t>
      </w:r>
    </w:p>
    <w:p w14:paraId="73212C5D" w14:textId="77777777" w:rsidR="00205CBC" w:rsidRDefault="00000000">
      <w:r>
        <w:rPr>
          <w:color w:val="1F4E9E"/>
        </w:rPr>
        <w:t xml:space="preserve">Differentiating (14) under the integral, and using </w:t>
      </w:r>
      <m:oMath>
        <m:r>
          <w:rPr>
            <w:rFonts w:ascii="Cambria Math" w:hAnsi="Cambria Math"/>
            <w:color w:val="1F4E9E"/>
          </w:rPr>
          <m:t xml:space="preserve">K</m:t>
        </m:r>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to kill the boundary term, gives </w:t>
      </w:r>
      <m:oMath>
        <m:acc>
          <m:accPr>
            <m:chr m:val="̇"/>
            <m:ctrlPr/>
          </m:accPr>
          <m:e>
            <m:r>
              <w:rPr>
                <w:rFonts w:ascii="Cambria Math" w:hAnsi="Cambria Math"/>
                <w:color w:val="1F4E9E"/>
              </w:rPr>
              <m:t xml:space="preserve">H</m:t>
            </m:r>
          </m:e>
        </m:acc>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r>
              <m:rPr>
                <m:nor/>
              </m:rPr>
              <w:rPr>
                <w:rFonts w:ascii="Cambria Math" w:hAnsi="Cambria Math"/>
                <w:color w:val="1F4E9E"/>
              </w:rPr>
              <m:t xml:space="preserve">+</m:t>
            </m:r>
            <m:r>
              <w:rPr>
                <w:rFonts w:ascii="Cambria Math" w:hAnsi="Cambria Math"/>
                <w:color w:val="1F4E9E"/>
              </w:rPr>
              <m:t xml:space="preserve">ρ</m:t>
            </m:r>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ρ</m:t>
                </m:r>
                <m:r>
                  <m:rPr>
                    <m:nor/>
                  </m:rPr>
                  <w:rPr>
                    <w:rFonts w:ascii="Cambria Math" w:hAnsi="Cambria Math"/>
                    <w:color w:val="1F4E9E"/>
                  </w:rPr>
                  <m:t xml:space="preserve">-</m:t>
                </m:r>
                <m:r>
                  <w:rPr>
                    <w:rFonts w:ascii="Cambria Math" w:hAnsi="Cambria Math"/>
                    <w:color w:val="1F4E9E"/>
                  </w:rPr>
                  <m:t xml:space="preserve">p</m:t>
                </m:r>
              </m:e>
            </m:d>
            <m:r>
              <m:rPr>
                <m:nor/>
              </m:rPr>
              <w:rPr>
                <w:rFonts w:ascii="Cambria Math" w:hAnsi="Cambria Math"/>
                <w:color w:val="1F4E9E"/>
              </w:rPr>
              <m:t xml:space="preserve"> </m:t>
            </m:r>
            <m:r>
              <m:rPr>
                <m:nor/>
              </m:rPr>
              <w:rPr>
                <w:rFonts w:ascii="Cambria Math" w:hAnsi="Cambria Math"/>
                <w:color w:val="1F4E9E"/>
              </w:rPr>
              <m:t xml:space="preserve">d</m:t>
            </m:r>
            <m:sSub>
              <m:sSubPr>
                <m:ctrlPr/>
              </m:sSubPr>
              <m:e>
                <m:r>
                  <w:rPr>
                    <w:rFonts w:ascii="Cambria Math" w:hAnsi="Cambria Math"/>
                    <w:color w:val="1F4E9E"/>
                  </w:rPr>
                  <m:t xml:space="preserve">W</m:t>
                </m:r>
              </m:e>
              <m:sub>
                <m:r>
                  <w:rPr>
                    <w:rFonts w:ascii="Cambria Math" w:hAnsi="Cambria Math"/>
                    <w:color w:val="1F4E9E"/>
                  </w:rPr>
                  <m:t xml:space="preserve">ε</m:t>
                </m:r>
              </m:sub>
            </m:sSub>
            <m:d>
              <m:dPr>
                <m:begChr m:val="("/>
                <m:endChr m:val=")"/>
                <m:ctrlPr/>
              </m:dPr>
              <m:e>
                <m:r>
                  <w:rPr>
                    <w:rFonts w:ascii="Cambria Math" w:hAnsi="Cambria Math"/>
                    <w:color w:val="1F4E9E"/>
                  </w:rPr>
                  <m:t xml:space="preserve">p</m:t>
                </m:r>
              </m:e>
            </m:d>
          </m:e>
        </m:nary>
      </m:oMath>
      <w:r>
        <w:rPr>
          <w:color w:val="1F4E9E"/>
        </w:rPr>
        <w:t xml:space="preserve">. The Itô isometry then gives the three second moments as integrals of the kernel,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sSup>
              <m:sSupPr>
                <m:ctrlPr/>
              </m:sSupPr>
              <m:e>
                <m:d>
                  <m:dPr>
                    <m:begChr m:val="("/>
                    <m:endChr m:val=")"/>
                    <m:ctrlPr/>
                  </m:dPr>
                  <m:e>
                    <m:sSup>
                      <m:sSupPr>
                        <m:ctrlPr/>
                      </m:sSupPr>
                      <m:e>
                        <m:r>
                          <w:rPr>
                            <w:rFonts w:ascii="Cambria Math" w:hAnsi="Cambria Math"/>
                            <w:color w:val="1F4E9E"/>
                          </w:rPr>
                          <m:t xml:space="preserve">K</m:t>
                        </m:r>
                      </m:e>
                      <m:sup>
                        <m:r>
                          <m:rPr>
                            <m:nor/>
                          </m:rPr>
                          <w:rPr>
                            <w:rFonts w:ascii="Cambria Math" w:hAnsi="Cambria Math"/>
                            <w:color w:val="1F4E9E"/>
                          </w:rPr>
                          <m:t xml:space="preserve">′</m:t>
                        </m:r>
                      </m:sup>
                    </m:sSup>
                  </m:e>
                </m:d>
              </m:e>
              <m:sup>
                <m:r>
                  <m:rPr>
                    <m:nor/>
                  </m:rPr>
                  <w:rPr>
                    <w:rFonts w:ascii="Cambria Math" w:hAnsi="Cambria Math"/>
                    <w:color w:val="1F4E9E"/>
                  </w:rPr>
                  <m:t xml:space="preserve">2</m:t>
                </m:r>
              </m:sup>
            </m:sSup>
          </m:e>
        </m:nary>
      </m:oMath>
      <w:r>
        <w:rPr>
          <w:color w:val="1F4E9E"/>
        </w:rPr>
        <w:t xml:space="preserve"> and </w:t>
      </w:r>
      <m:oMath>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ρ</m:t>
            </m:r>
          </m:sup>
          <m:e>
            <m:r>
              <w:rPr>
                <w:rFonts w:ascii="Cambria Math" w:hAnsi="Cambria Math"/>
                <w:color w:val="1F4E9E"/>
              </w:rPr>
              <m:t xml:space="preserve">K</m:t>
            </m:r>
            <m:sSup>
              <m:sSupPr>
                <m:ctrlPr/>
              </m:sSupPr>
              <m:e>
                <m:r>
                  <w:rPr>
                    <w:rFonts w:ascii="Cambria Math" w:hAnsi="Cambria Math"/>
                    <w:color w:val="1F4E9E"/>
                  </w:rPr>
                  <m:t xml:space="preserve">K</m:t>
                </m:r>
              </m:e>
              <m:sup>
                <m:r>
                  <m:rPr>
                    <m:nor/>
                  </m:rPr>
                  <w:rPr>
                    <w:rFonts w:ascii="Cambria Math" w:hAnsi="Cambria Math"/>
                    <w:color w:val="1F4E9E"/>
                  </w:rPr>
                  <m:t xml:space="preserve">′</m:t>
                </m:r>
              </m:sup>
            </m:sSup>
          </m:e>
        </m:nary>
        <m:r>
          <m:rPr>
            <m:nor/>
          </m:rPr>
          <w:rPr>
            <w:rFonts w:ascii="Cambria Math" w:hAnsi="Cambria Math"/>
            <w:color w:val="1F4E9E"/>
          </w:rPr>
          <m:t xml:space="preserve">=</m:t>
        </m:r>
        <m:f>
          <m:fPr>
            <m:type m:val="lin"/>
            <m:ctrlPr/>
          </m:fPr>
          <m:num>
            <m:r>
              <m:rPr>
                <m:nor/>
              </m:rPr>
              <w:rPr>
                <w:rFonts w:ascii="Cambria Math" w:hAnsi="Cambria Math"/>
                <w:color w:val="1F4E9E"/>
              </w:rPr>
              <m:t xml:space="preserve">1</m:t>
            </m:r>
          </m:num>
          <m:den>
            <m:r>
              <m:rPr>
                <m:nor/>
              </m:rPr>
              <w:rPr>
                <w:rFonts w:ascii="Cambria Math" w:hAnsi="Cambria Math"/>
                <w:color w:val="1F4E9E"/>
              </w:rPr>
              <m:t xml:space="preserve">2</m:t>
            </m:r>
          </m:den>
        </m:f>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ρ</m:t>
                </m:r>
              </m:e>
            </m:d>
          </m:e>
          <m:sup>
            <m:r>
              <m:rPr>
                <m:nor/>
              </m:rPr>
              <w:rPr>
                <w:rFonts w:ascii="Cambria Math" w:hAnsi="Cambria Math"/>
                <w:color w:val="1F4E9E"/>
              </w:rPr>
              <m:t xml:space="preserve">2</m:t>
            </m:r>
          </m:sup>
        </m:sSup>
      </m:oMath>
      <w:r>
        <w:rPr>
          <w:color w:val="1F4E9E"/>
        </w:rPr>
        <w:t xml:space="preserve">, the last of which is half the derivative of the first. Evaluating them,</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2</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num>
                    <m:den>
                      <m:r>
                        <m:rPr>
                          <m:nor/>
                        </m:rPr>
                        <w:rPr>
                          <w:rFonts w:ascii="Cambria Math" w:hAnsi="Cambria Math"/>
                          <w:color w:val="1F4E9E"/>
                        </w:rPr>
                        <m:t xml:space="preserve">2</m:t>
                      </m:r>
                      <m:r>
                        <w:rPr>
                          <w:rFonts w:ascii="Cambria Math" w:hAnsi="Cambria Math"/>
                          <w:color w:val="1F4E9E"/>
                        </w:rPr>
                        <m:t xml:space="preserve">λ</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5</m:t>
                  </m:r>
                </m:e>
              </m:d>
            </m:e>
          </m:eqArr>
        </m:oMath>
      </m:oMathPara>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sSup>
                    <m:sSupPr>
                      <m:ctrlPr/>
                    </m:sSupPr>
                    <m:e>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e>
                    <m:sup>
                      <m:r>
                        <m:rPr>
                          <m:nor/>
                        </m:rPr>
                        <w:rPr>
                          <w:rFonts w:ascii="Cambria Math" w:hAnsi="Cambria Math"/>
                          <w:color w:val="1F4E9E"/>
                        </w:rPr>
                        <m:t xml:space="preserve">2</m:t>
                      </m:r>
                    </m:sup>
                  </m:sSup>
                </m:den>
              </m:f>
              <m:d>
                <m:dPr>
                  <m:begChr m:val="["/>
                  <m:endChr m:val="]"/>
                  <m:ctrlPr/>
                </m:dPr>
                <m:e>
                  <m:f>
                    <m:fPr>
                      <m:ctrlPr/>
                    </m:fPr>
                    <m:num>
                      <m:r>
                        <w:rPr>
                          <w:rFonts w:ascii="Cambria Math" w:hAnsi="Cambria Math"/>
                          <w:color w:val="1F4E9E"/>
                        </w:rPr>
                        <m:t xml:space="preserve">κ</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ρ</m:t>
                              </m:r>
                            </m:sup>
                          </m:sSup>
                        </m:e>
                      </m:d>
                    </m:num>
                    <m:den>
                      <m:r>
                        <m:rPr>
                          <m:nor/>
                        </m:rPr>
                        <w:rPr>
                          <w:rFonts w:ascii="Cambria Math" w:hAnsi="Cambria Math"/>
                          <w:color w:val="1F4E9E"/>
                        </w:rPr>
                        <m:t xml:space="preserve">2</m:t>
                      </m:r>
                    </m:den>
                  </m:f>
                  <m:r>
                    <m:rPr>
                      <m:nor/>
                    </m:rPr>
                    <w:rPr>
                      <w:rFonts w:ascii="Cambria Math" w:hAnsi="Cambria Math"/>
                      <w:color w:val="1F4E9E"/>
                    </w:rPr>
                    <m:t xml:space="preserve">-</m:t>
                  </m:r>
                  <m:f>
                    <m:fPr>
                      <m:ctrlPr/>
                    </m:fPr>
                    <m:num>
                      <m:r>
                        <m:rPr>
                          <m:nor/>
                        </m:rPr>
                        <w:rPr>
                          <w:rFonts w:ascii="Cambria Math" w:hAnsi="Cambria Math"/>
                          <w:color w:val="1F4E9E"/>
                        </w:rPr>
                        <m:t xml:space="preserve">2</m:t>
                      </m:r>
                      <m:r>
                        <w:rPr>
                          <w:rFonts w:ascii="Cambria Math" w:hAnsi="Cambria Math"/>
                          <w:color w:val="1F4E9E"/>
                        </w:rPr>
                        <m:t xml:space="preserve">κ</m:t>
                      </m:r>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r>
                                <w:rPr>
                                  <w:rFonts w:ascii="Cambria Math" w:hAnsi="Cambria Math"/>
                                  <w:color w:val="1F4E9E"/>
                                </w:rPr>
                                <m:t xml:space="preserve">ρ</m:t>
                              </m:r>
                            </m:sup>
                          </m:sSup>
                        </m:e>
                      </m:d>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f>
                    <m:fPr>
                      <m:ctrlPr/>
                    </m:fPr>
                    <m:num>
                      <m:r>
                        <w:rPr>
                          <w:rFonts w:ascii="Cambria Math" w:hAnsi="Cambria Math"/>
                          <w:color w:val="1F4E9E"/>
                        </w:rPr>
                        <m:t xml:space="preserve">λ</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e>
                      </m:d>
                    </m:num>
                    <m:den>
                      <m:r>
                        <m:rPr>
                          <m:nor/>
                        </m:rPr>
                        <w:rPr>
                          <w:rFonts w:ascii="Cambria Math" w:hAnsi="Cambria Math"/>
                          <w:color w:val="1F4E9E"/>
                        </w:rPr>
                        <m:t xml:space="preserve">2</m:t>
                      </m:r>
                    </m:den>
                  </m:f>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These hold when the two rates differ. When they coincide the cascade has a repeated pole: the basis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κ</m:t>
            </m:r>
            <m:r>
              <w:rPr>
                <w:rFonts w:ascii="Cambria Math" w:hAnsi="Cambria Math"/>
                <w:color w:val="1F4E9E"/>
              </w:rPr>
              <m:t xml:space="preserve">v</m:t>
            </m:r>
          </m:sup>
        </m:sSup>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degenerates into </w:t>
      </w:r>
      <m:oMath>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r>
          <m:rPr>
            <m:nor/>
          </m:rPr>
          <w:rPr>
            <w:rFonts w:ascii="Cambria Math" w:hAnsi="Cambria Math"/>
            <w:color w:val="1F4E9E"/>
          </w:rPr>
          <m:t xml:space="preserve">}</m:t>
        </m:r>
      </m:oMath>
      <w:r>
        <w:rPr>
          <w:color w:val="1F4E9E"/>
        </w:rPr>
        <w:t xml:space="preserve">, and (14) to (16) are replaced by their limits at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namely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r>
          <w:rPr>
            <w:rFonts w:ascii="Cambria Math" w:hAnsi="Cambria Math"/>
            <w:color w:val="1F4E9E"/>
          </w:rPr>
          <m:t xml:space="preserve">λ</m:t>
        </m:r>
        <m:sSub>
          <m:sSubPr>
            <m:ctrlPr/>
          </m:sSubPr>
          <m:e>
            <m:r>
              <w:rPr>
                <w:rFonts w:ascii="Cambria Math" w:hAnsi="Cambria Math"/>
                <w:color w:val="1F4E9E"/>
              </w:rPr>
              <m:t xml:space="preserve">σ</m:t>
            </m:r>
          </m:e>
          <m:sub>
            <m:r>
              <w:rPr>
                <w:rFonts w:ascii="Cambria Math" w:hAnsi="Cambria Math"/>
                <w:color w:val="1F4E9E"/>
              </w:rPr>
              <m:t xml:space="preserve">ε</m:t>
            </m:r>
          </m:sub>
        </m:sSub>
        <m:r>
          <w:rPr>
            <w:rFonts w:ascii="Cambria Math" w:hAnsi="Cambria Math"/>
            <w:color w:val="1F4E9E"/>
          </w:rPr>
          <m:t xml:space="preserve">v</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oMath>
      <w:r>
        <w:rPr>
          <w:color w:val="1F4E9E"/>
        </w:rPr>
        <w:t xml:space="preserve"> and, writing </w:t>
      </w:r>
      <m:oMath>
        <m:r>
          <w:rPr>
            <w:rFonts w:ascii="Cambria Math" w:hAnsi="Cambria Math"/>
            <w:color w:val="1F4E9E"/>
          </w:rPr>
          <m:t xml:space="preserve">E</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sup>
        </m:sSup>
      </m:oMath>
      <w:r>
        <w:rPr>
          <w:color w:val="1F4E9E"/>
        </w:rPr>
        <w:t xml:space="preserve">,</w:t>
      </w:r>
    </w:p>
    <w:p w14:paraId="73212C5D" w14:textId="77777777" w:rsidR="00205CBC" w:rsidRDefault="00000000">
      <m:oMathPara>
        <m:oMath>
          <m:eqArr>
            <m:eqArrPr>
              <m:maxDist m:val="1"/>
              <m:ctrlPr/>
            </m:eqArr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r>
                    <w:rPr>
                      <w:rFonts w:ascii="Cambria Math" w:hAnsi="Cambria Math"/>
                      <w:color w:val="1F4E9E"/>
                    </w:rPr>
                    <m:t xml:space="preserve">λ</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
                <m:dPr>
                  <m:begChr m:val="("/>
                  <m:endChr m:val=")"/>
                  <m:ctrlPr/>
                </m:dPr>
                <m:e>
                  <m:r>
                    <w:rPr>
                      <w:rFonts w:ascii="Cambria Math" w:hAnsi="Cambria Math"/>
                      <w:color w:val="1F4E9E"/>
                    </w:rPr>
                    <m:t xml:space="preserve">ρ</m:t>
                  </m:r>
                </m:e>
              </m:d>
              <m:r>
                <m:rPr>
                  <m:nor/>
                </m:rPr>
                <w:rPr>
                  <w:rFonts w:ascii="Cambria Math" w:hAnsi="Cambria Math"/>
                  <w:color w:val="1F4E9E"/>
                </w:rPr>
                <m:t xml:space="preserve">=</m:t>
              </m:r>
              <m:f>
                <m:fPr>
                  <m:ctrlPr/>
                </m:fPr>
                <m:num>
                  <m:r>
                    <w:rPr>
                      <w:rFonts w:ascii="Cambria Math" w:hAnsi="Cambria Math"/>
                      <w:color w:val="1F4E9E"/>
                    </w:rPr>
                    <m:t xml:space="preserve">λ</m:t>
                  </m:r>
                  <m:sSubSup>
                    <m:sSubSupPr>
                      <m:ctrlPr/>
                    </m:sSubSupPr>
                    <m:e>
                      <m:r>
                        <w:rPr>
                          <w:rFonts w:ascii="Cambria Math" w:hAnsi="Cambria Math"/>
                          <w:color w:val="1F4E9E"/>
                        </w:rPr>
                        <m:t xml:space="preserve">σ</m:t>
                      </m:r>
                    </m:e>
                    <m:sub>
                      <m:r>
                        <w:rPr>
                          <w:rFonts w:ascii="Cambria Math" w:hAnsi="Cambria Math"/>
                          <w:color w:val="1F4E9E"/>
                        </w:rPr>
                        <m:t xml:space="preserve">ε</m:t>
                      </m:r>
                    </m:sub>
                    <m:sup>
                      <m:r>
                        <m:rPr>
                          <m:nor/>
                        </m:rPr>
                        <w:rPr>
                          <w:rFonts w:ascii="Cambria Math" w:hAnsi="Cambria Math"/>
                          <w:color w:val="1F4E9E"/>
                        </w:rPr>
                        <m:t xml:space="preserve">2</m:t>
                      </m:r>
                    </m:sup>
                  </m:sSubSup>
                </m:num>
                <m:den>
                  <m:r>
                    <m:rPr>
                      <m:nor/>
                    </m:rPr>
                    <w:rPr>
                      <w:rFonts w:ascii="Cambria Math" w:hAnsi="Cambria Math"/>
                      <w:color w:val="1F4E9E"/>
                    </w:rPr>
                    <m:t xml:space="preserve">4</m:t>
                  </m:r>
                </m:den>
              </m:f>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λ</m:t>
                      </m:r>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2</m:t>
                      </m:r>
                      <m:sSup>
                        <m:sSupPr>
                          <m:ctrlPr/>
                        </m:sSupPr>
                        <m:e>
                          <m:r>
                            <w:rPr>
                              <w:rFonts w:ascii="Cambria Math" w:hAnsi="Cambria Math"/>
                              <w:color w:val="1F4E9E"/>
                            </w:rPr>
                            <m:t xml:space="preserve">λ</m:t>
                          </m:r>
                        </m:e>
                        <m:sup>
                          <m:r>
                            <m:rPr>
                              <m:nor/>
                            </m:rPr>
                            <w:rPr>
                              <w:rFonts w:ascii="Cambria Math" w:hAnsi="Cambria Math"/>
                              <w:color w:val="1F4E9E"/>
                            </w:rPr>
                            <m:t xml:space="preserve">2</m:t>
                          </m:r>
                        </m:sup>
                      </m:sSup>
                      <m:sSup>
                        <m:sSupPr>
                          <m:ctrlPr/>
                        </m:sSupPr>
                        <m:e>
                          <m:r>
                            <w:rPr>
                              <w:rFonts w:ascii="Cambria Math" w:hAnsi="Cambria Math"/>
                              <w:color w:val="1F4E9E"/>
                            </w:rPr>
                            <m:t xml:space="preserve">ρ</m:t>
                          </m:r>
                        </m:e>
                        <m:sup>
                          <m:r>
                            <m:rPr>
                              <m:nor/>
                            </m:rPr>
                            <w:rPr>
                              <w:rFonts w:ascii="Cambria Math" w:hAnsi="Cambria Math"/>
                              <w:color w:val="1F4E9E"/>
                            </w:rPr>
                            <m:t xml:space="preserve">2</m:t>
                          </m:r>
                        </m:sup>
                      </m:sSup>
                    </m:e>
                  </m:d>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The two cases meet continuously: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is a coincidence of the two rates, not a singularity of the process. It is also the one point in the space at which the model has no separation of timescales, the correlation time of the maintenance noise and the time constant of the motor filter being equal; the consequences are drawn where they arise, in A.5 and A.9.</w:t>
      </w:r>
    </w:p>
    <w:p w14:paraId="73212C5D" w14:textId="77777777" w:rsidR="00205CBC" w:rsidRDefault="00000000">
      <w:r>
        <w:rPr>
          <w:color w:val="1F4E9E"/>
        </w:rPr>
        <w:t xml:space="preserve">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m:t>
        </m:r>
      </m:oMath>
      <w:r>
        <w:rPr>
          <w:color w:val="1F4E9E"/>
        </w:rPr>
        <w:t xml:space="preserve"> both cases tend to the same stationary values, which will be written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and </w:t>
      </w:r>
      <m:oMath>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oMath>
      <w:r>
        <w:rPr>
          <w:color w:val="1F4E9E"/>
        </w:rPr>
        <w:t xml:space="preserve">:</w:t>
      </w:r>
    </w:p>
    <w:p w14:paraId="73212C5D" w14:textId="77777777" w:rsidR="00205CBC" w:rsidRDefault="00000000">
      <m:oMathPara>
        <m:oMath>
          <m:eqArr>
            <m:eqArrPr>
              <m:maxDist m:val="1"/>
              <m:ctrlPr/>
            </m:eqArrPr>
            <m:e>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r>
                    <w:rPr>
                      <w:rFonts w:ascii="Cambria Math" w:hAnsi="Cambria Math"/>
                      <w:color w:val="1F4E9E"/>
                    </w:rPr>
                    <m:t xml:space="preserve">λ</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r>
                <m:rPr>
                  <m:nor/>
                </m:rPr>
                <w:rPr>
                  <w:rFonts w:ascii="Cambria Math" w:hAnsi="Cambria Math"/>
                  <w:color w:val="1F4E9E"/>
                </w:rPr>
                <m:t xml:space="preserve">=</m:t>
              </m:r>
              <m:f>
                <m:fPr>
                  <m:ctrlPr/>
                </m:fPr>
                <m:num>
                  <m:sSup>
                    <m:sSupPr>
                      <m:ctrlPr/>
                    </m:sSupPr>
                    <m:e>
                      <m:r>
                        <w:rPr>
                          <w:rFonts w:ascii="Cambria Math" w:hAnsi="Cambria Math"/>
                          <w:color w:val="1F4E9E"/>
                        </w:rPr>
                        <m:t xml:space="preserve">λ</m:t>
                      </m:r>
                    </m:e>
                    <m:sup>
                      <m:r>
                        <m:rPr>
                          <m:nor/>
                        </m:rPr>
                        <w:rPr>
                          <w:rFonts w:ascii="Cambria Math" w:hAnsi="Cambria Math"/>
                          <w:color w:val="1F4E9E"/>
                        </w:rPr>
                        <m:t xml:space="preserve">2</m:t>
                      </m:r>
                    </m:sup>
                  </m:sSup>
                  <m:r>
                    <w:rPr>
                      <w:rFonts w:ascii="Cambria Math" w:hAnsi="Cambria Math"/>
                      <w:color w:val="1F4E9E"/>
                    </w:rPr>
                    <m:t xml:space="preserve">κ</m:t>
                  </m:r>
                  <m:r>
                    <m:rPr>
                      <m:nor/>
                    </m:rPr>
                    <w:rPr>
                      <w:rFonts w:ascii="Cambria Math" w:hAnsi="Cambria Math"/>
                      <w:color w:val="1F4E9E"/>
                    </w:rPr>
                    <m:t xml:space="preserve"> </m:t>
                  </m:r>
                  <m:sSubSup>
                    <m:sSubSupPr>
                      <m:ctrlPr/>
                    </m:sSubSupPr>
                    <m:e>
                      <m:r>
                        <m:rPr>
                          <m:nor/>
                        </m:rPr>
                        <w:rPr>
                          <w:rFonts w:ascii="Cambria Math" w:hAnsi="Cambria Math"/>
                          <w:color w:val="1F4E9E"/>
                        </w:rPr>
                        <m:t xml:space="preserve">SD</m:t>
                      </m:r>
                    </m:e>
                    <m:sub>
                      <m:r>
                        <w:rPr>
                          <w:rFonts w:ascii="Cambria Math" w:hAnsi="Cambria Math"/>
                          <w:color w:val="1F4E9E"/>
                        </w:rPr>
                        <m:t xml:space="preserve">ε</m:t>
                      </m:r>
                    </m:sub>
                    <m:sup>
                      <m:r>
                        <m:rPr>
                          <m:nor/>
                        </m:rPr>
                        <w:rPr>
                          <w:rFonts w:ascii="Cambria Math" w:hAnsi="Cambria Math"/>
                          <w:color w:val="1F4E9E"/>
                        </w:rPr>
                        <m:t xml:space="preserve">2</m:t>
                      </m:r>
                    </m:sup>
                  </m:sSubSup>
                </m:num>
                <m:den>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den>
              </m:f>
              <m:r>
                <m:rPr>
                  <m:nor/>
                </m:rPr>
                <w:rPr>
                  <w:rFonts w:ascii="Cambria Math" w:hAnsi="Cambria Math"/>
                  <w:color w:val="1F4E9E"/>
                </w:rPr>
                <m:t xml:space="preserve">,</m:t>
              </m:r>
              <m:r>
                <m:rPr>
                  <m:nor/>
                </m:rPr>
                <w:rPr>
                  <w:rFonts w:ascii="Cambria Math" w:hAnsi="Cambria Math"/>
                  <w:color w:val="1F4E9E"/>
                </w:rPr>
                <m:t xml:space="preserve"> </m:t>
              </m:r>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r>
                <m:rPr>
                  <m:nor/>
                </m:rPr>
                <w:rPr>
                  <w:rFonts w:ascii="Cambria Math" w:hAnsi="Cambria Math"/>
                  <w:color w:val="1F4E9E"/>
                </w:rPr>
                <m:t xml:space="preserve">→</m:t>
              </m:r>
              <m:r>
                <m:rPr>
                  <m:nor/>
                </m:rPr>
                <w:rPr>
                  <w:rFonts w:ascii="Cambria Math" w:hAnsi="Cambria Math"/>
                  <w:color w:val="1F4E9E"/>
                </w:rPr>
                <m:t xml:space="preserve">0</m:t>
              </m:r>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m:t>
              </m:r>
              <m:f>
                <m:fPr>
                  <m:ctrlPr/>
                </m:fPr>
                <m:num>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num>
                <m:den>
                  <m:sSub>
                    <m:sSubPr>
                      <m:ctrlPr/>
                    </m:sSubPr>
                    <m:e>
                      <m:r>
                        <w:rPr>
                          <w:rFonts w:ascii="Cambria Math" w:hAnsi="Cambria Math"/>
                          <w:color w:val="1F4E9E"/>
                        </w:rPr>
                        <m:t xml:space="preserve">σ</m:t>
                      </m:r>
                    </m:e>
                    <m:sub>
                      <m:r>
                        <w:rPr>
                          <w:rFonts w:ascii="Cambria Math" w:hAnsi="Cambria Math"/>
                          <w:color w:val="1F4E9E"/>
                        </w:rPr>
                        <m:t xml:space="preserve">H</m:t>
                      </m:r>
                    </m:sub>
                  </m:sSub>
                </m:den>
              </m:f>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8</m:t>
                  </m:r>
                </m:e>
              </m:d>
            </m:e>
          </m:eqArr>
        </m:oMath>
      </m:oMathPara>
    </w:p>
    <w:p w14:paraId="73212C5D" w14:textId="77777777" w:rsidR="00205CBC" w:rsidRDefault="00000000">
      <m:oMath>
        <m:r>
          <w:rPr>
            <w:rFonts w:ascii="Cambria Math" w:hAnsi="Cambria Math"/>
            <w:color w:val="1F4E9E"/>
          </w:rPr>
          <m:t xml:space="preserve">ω</m:t>
        </m:r>
      </m:oMath>
      <w:r>
        <w:rPr>
          <w:color w:val="1F4E9E"/>
        </w:rPr>
        <w:t xml:space="preserve"> is the characteristic frequency of the fluctuation. The preparation ramp is added outside the filter (Equation (7)), so it shifts the mean of the gate-facing signal and leaves all three moments untouched; (15) to (18) hold for both models. The relative departure of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from </w:t>
      </w:r>
      <m:oMath>
        <m:sSubSup>
          <m:sSubSupPr>
            <m:ctrlPr/>
          </m:sSubSupPr>
          <m:e>
            <m:r>
              <w:rPr>
                <w:rFonts w:ascii="Cambria Math" w:hAnsi="Cambria Math"/>
                <w:color w:val="1F4E9E"/>
              </w:rPr>
              <m:t xml:space="preserve">σ</m:t>
            </m:r>
          </m:e>
          <m:sub>
            <m:r>
              <w:rPr>
                <w:rFonts w:ascii="Cambria Math" w:hAnsi="Cambria Math"/>
                <w:color w:val="1F4E9E"/>
              </w:rPr>
              <m:t xml:space="preserve">H</m:t>
            </m:r>
          </m:sub>
          <m:sup>
            <m:r>
              <m:rPr>
                <m:nor/>
              </m:rPr>
              <w:rPr>
                <w:rFonts w:ascii="Cambria Math" w:hAnsi="Cambria Math"/>
                <w:color w:val="1F4E9E"/>
              </w:rPr>
              <m:t xml:space="preserve">2</m:t>
            </m:r>
          </m:sup>
        </m:sSubSup>
      </m:oMath>
      <w:r>
        <w:rPr>
          <w:color w:val="1F4E9E"/>
        </w:rPr>
        <w:t xml:space="preserve"> one second into maintenance is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κ</m:t>
            </m:r>
          </m:sup>
        </m:sSup>
      </m:oMath>
      <w:r>
        <w:rPr>
          <w:color w:val="1F4E9E"/>
        </w:rPr>
        <w:t xml:space="preserve">, which is negligible at the top of the range of </w:t>
      </w:r>
      <m:oMath>
        <m:r>
          <w:rPr>
            <w:rFonts w:ascii="Cambria Math" w:hAnsi="Cambria Math"/>
            <w:color w:val="1F4E9E"/>
          </w:rPr>
          <m:t xml:space="preserve">κ</m:t>
        </m:r>
      </m:oMath>
      <w:r>
        <w:rPr>
          <w:color w:val="1F4E9E"/>
        </w:rPr>
        <w:t xml:space="preserve"> in Table A1 and of order one at its bottom. The stationary forms are therefore used only where that condition is checked; wherever the value of </w:t>
      </w:r>
      <m:oMath>
        <m:r>
          <w:rPr>
            <w:rFonts w:ascii="Cambria Math" w:hAnsi="Cambria Math"/>
            <w:color w:val="1F4E9E"/>
          </w:rPr>
          <m:t xml:space="preserve">κ</m:t>
        </m:r>
      </m:oMath>
      <w:r>
        <w:rPr>
          <w:color w:val="1F4E9E"/>
        </w:rPr>
        <w:t xml:space="preserve"> bears on a conclusion the moments are taken from (15) to (17) directly. That is the region most favorable to Model 1, and therefore the region a bound must not approximate away.</w:t>
      </w:r>
    </w:p>
    <w:p w14:paraId="73212C5D" w14:textId="77777777" w:rsidR="00205CBC" w:rsidRDefault="00000000">
      <w:r>
        <w:rPr>
          <w:color w:val="1F4E9E"/>
          <w:i/>
          <w:b/>
        </w:rPr>
        <w:t xml:space="preserve">The crossing rate</w:t>
      </w:r>
    </w:p>
    <w:p w14:paraId="73212C5D" w14:textId="77777777" w:rsidR="00205CBC" w:rsidRDefault="00000000">
      <w:r>
        <w:rPr>
          <w:color w:val="1F4E9E"/>
        </w:rPr>
        <w:t xml:space="preserve">Let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oMath>
      <w:r>
        <w:rPr>
          <w:color w:val="1F4E9E"/>
        </w:rPr>
        <w:t xml:space="preserve">, so that upcrossings of </w:t>
      </w:r>
      <m:oMath>
        <m:r>
          <w:rPr>
            <w:rFonts w:ascii="Cambria Math" w:hAnsi="Cambria Math"/>
            <w:color w:val="1F4E9E"/>
          </w:rPr>
          <m:t xml:space="preserve">d</m:t>
        </m:r>
      </m:oMath>
      <w:r>
        <w:rPr>
          <w:color w:val="1F4E9E"/>
        </w:rPr>
        <w:t xml:space="preserve"> by </w:t>
      </w:r>
      <m:oMath>
        <m:sSub>
          <m:sSubPr>
            <m:ctrlPr/>
          </m:sSubPr>
          <m:e>
            <m:r>
              <w:rPr>
                <w:rFonts w:ascii="Cambria Math" w:hAnsi="Cambria Math"/>
                <w:color w:val="1F4E9E"/>
              </w:rPr>
              <m:t xml:space="preserve">s</m:t>
            </m:r>
          </m:e>
          <m:sub>
            <m:r>
              <m:rPr>
                <m:nor/>
              </m:rPr>
              <w:rPr>
                <w:rFonts w:ascii="Cambria Math" w:hAnsi="Cambria Math"/>
                <w:color w:val="1F4E9E"/>
              </w:rPr>
              <m:t xml:space="preserve">resp</m:t>
            </m:r>
          </m:sub>
        </m:sSub>
        <m:r>
          <w:rPr>
            <w:rFonts w:ascii="Cambria Math" w:hAnsi="Cambria Math"/>
            <w:color w:val="1F4E9E"/>
          </w:rPr>
          <m:t xml:space="preserve">H</m:t>
        </m:r>
      </m:oMath>
      <w:r>
        <w:rPr>
          <w:color w:val="1F4E9E"/>
        </w:rPr>
        <w:t xml:space="preserve"> are upcrossings of zero by </w:t>
      </w:r>
      <m:oMath>
        <m:r>
          <w:rPr>
            <w:rFonts w:ascii="Cambria Math" w:hAnsi="Cambria Math"/>
            <w:color w:val="1F4E9E"/>
          </w:rPr>
          <m:t xml:space="preserve">Z</m:t>
        </m:r>
      </m:oMath>
      <w:r>
        <w:rPr>
          <w:color w:val="1F4E9E"/>
        </w:rPr>
        <w:t xml:space="preserve">, and </w:t>
      </w:r>
      <m:oMath>
        <m:acc>
          <m:accPr>
            <m:chr m:val="̇"/>
            <m:ctrlPr/>
          </m:accPr>
          <m:e>
            <m:r>
              <w:rPr>
                <w:rFonts w:ascii="Cambria Math" w:hAnsi="Cambria Math"/>
                <w:color w:val="1F4E9E"/>
              </w:rPr>
              <m:t xml:space="preserve">Z</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Trajectories that reach the response criterion before the end of the delay are neglected; they are premature responses, excluded from the empirical analysis and held to a small fraction of trials by the admissibility screen. Since </w:t>
      </w:r>
      <m:oMath>
        <m:r>
          <w:rPr>
            <w:rFonts w:ascii="Cambria Math" w:hAnsi="Cambria Math"/>
            <w:color w:val="1F4E9E"/>
          </w:rPr>
          <m:t xml:space="preserve">H</m:t>
        </m:r>
      </m:oMath>
      <w:r>
        <w:rPr>
          <w:color w:val="1F4E9E"/>
        </w:rPr>
        <w:t xml:space="preserve"> is almost surely continuously differentiable and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and non-degenerate for </w:t>
      </w:r>
      <m:oMath>
        <m:r>
          <w:rPr>
            <w:rFonts w:ascii="Cambria Math" w:hAnsi="Cambria Math"/>
            <w:color w:val="1F4E9E"/>
          </w:rPr>
          <m:t xml:space="preserve">ρ</m:t>
        </m:r>
        <m:r>
          <m:rPr>
            <m:nor/>
          </m:rPr>
          <w:rPr>
            <w:rFonts w:ascii="Cambria Math" w:hAnsi="Cambria Math"/>
            <w:color w:val="1F4E9E"/>
          </w:rPr>
          <m:t xml:space="preserve">&gt;</m:t>
        </m:r>
        <m:r>
          <m:rPr>
            <m:nor/>
          </m:rPr>
          <w:rPr>
            <w:rFonts w:ascii="Cambria Math" w:hAnsi="Cambria Math"/>
            <w:color w:val="1F4E9E"/>
          </w:rPr>
          <m:t xml:space="preserve">0</m:t>
        </m:r>
      </m:oMath>
      <w:r>
        <w:rPr>
          <w:color w:val="1F4E9E"/>
        </w:rPr>
        <w:t xml:space="preserve">, the Kac–Rice formula gives the expected upcrossing rate (Azaïs &amp; Wschebor, 2009, ch. 3):</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 </m:t>
              </m:r>
              <m:r>
                <m:rPr>
                  <m:nor/>
                </m:rPr>
                <w:rPr>
                  <w:rFonts w:ascii="Cambria Math" w:hAnsi="Cambria Math"/>
                  <w:color w:val="1F4E9E"/>
                </w:rPr>
                <m:t xml:space="preserve">E</m:t>
              </m:r>
              <m:d>
                <m:dPr>
                  <m:begChr m:val="["/>
                  <m:endChr m:val="]"/>
                  <m:ctrlPr/>
                </m:dPr>
                <m:e>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sSub>
                    <m:sSubPr>
                      <m:ctrlPr/>
                    </m:sSubPr>
                    <m:e>
                      <m:r>
                        <m:rPr>
                          <m:nor/>
                        </m:rPr>
                        <w:rPr>
                          <w:rFonts w:ascii="Cambria Math" w:hAnsi="Cambria Math"/>
                          <w:color w:val="1F4E9E"/>
                        </w:rPr>
                        <m:t xml:space="preserve">1</m:t>
                      </m:r>
                    </m:e>
                    <m:sub>
                      <m:r>
                        <m:rPr>
                          <m:nor/>
                        </m:rPr>
                        <w:rPr>
                          <w:rFonts w:ascii="Cambria Math" w:hAnsi="Cambria Math"/>
                          <w:color w:val="1F4E9E"/>
                        </w:rPr>
                        <m:t xml:space="preserve">{</m:t>
                      </m:r>
                      <m:acc>
                        <m:accPr>
                          <m:chr m:val="̇"/>
                          <m:ctrlPr/>
                        </m:accPr>
                        <m:e>
                          <m:r>
                            <w:rPr>
                              <w:rFonts w:ascii="Cambria Math" w:hAnsi="Cambria Math"/>
                              <w:color w:val="1F4E9E"/>
                            </w:rPr>
                            <m:t xml:space="preserve">Z</m:t>
                          </m:r>
                        </m:e>
                      </m:acc>
                      <m:d>
                        <m:dPr>
                          <m:begChr m:val="("/>
                          <m:endChr m:val=")"/>
                          <m:ctrlPr/>
                        </m:dPr>
                        <m:e>
                          <m:r>
                            <w:rPr>
                              <w:rFonts w:ascii="Cambria Math" w:hAnsi="Cambria Math"/>
                              <w:color w:val="1F4E9E"/>
                            </w:rPr>
                            <m:t xml:space="preserve">t</m:t>
                          </m:r>
                        </m:e>
                      </m:d>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r>
                    <m:rPr>
                      <m:nor/>
                    </m:rPr>
                    <w:rPr>
                      <w:rFonts w:ascii="Cambria Math" w:hAnsi="Cambria Math"/>
                      <w:color w:val="1F4E9E"/>
                    </w:rPr>
                    <m:t xml:space="preserve"> | </m:t>
                  </m:r>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0</m:t>
                  </m:r>
                </m:e>
              </m:d>
              <m:r>
                <w:rPr>
                  <w:rFonts w:ascii="Cambria Math" w:hAnsi="Cambria Math"/>
                  <w:color w:val="1F4E9E"/>
                </w:rPr>
                <m:t xml:space="preserve">#</m:t>
              </m:r>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9</m:t>
                  </m:r>
                </m:e>
              </m:d>
            </m:e>
          </m:eqArr>
        </m:oMath>
      </m:oMathPara>
    </w:p>
    <w:p w14:paraId="73212C5D" w14:textId="77777777" w:rsidR="00205CBC" w:rsidRDefault="00000000">
      <w:r>
        <w:rPr>
          <w:color w:val="1F4E9E"/>
        </w:rPr>
        <w:t xml:space="preserve">No stationarity is assumed: the formula requires only continuous differentiability and non-degenerate one-dimensional marginals, both of which hold from the moment maintenance begins. Since </w:t>
      </w:r>
      <m:oMath>
        <m:r>
          <w:rPr>
            <w:rFonts w:ascii="Cambria Math" w:hAnsi="Cambria Math"/>
            <w:color w:val="1F4E9E"/>
          </w:rPr>
          <m:t xml:space="preserve">H</m:t>
        </m:r>
      </m:oMath>
      <w:r>
        <w:rPr>
          <w:color w:val="1F4E9E"/>
        </w:rPr>
        <w:t xml:space="preserve"> is centred, </w:t>
      </w:r>
      <m:oMath>
        <m:r>
          <w:rPr>
            <w:rFonts w:ascii="Cambria Math" w:hAnsi="Cambria Math"/>
            <w:color w:val="1F4E9E"/>
          </w:rPr>
          <m:t xml:space="preserve">Z</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oMath>
      <w:r>
        <w:rPr>
          <w:color w:val="1F4E9E"/>
        </w:rPr>
        <w:t xml:space="preserve"> and </w:t>
      </w:r>
      <m:oMath>
        <m:sSub>
          <m:sSubPr>
            <m:ctrlPr/>
          </m:sSubPr>
          <m:e>
            <m:r>
              <w:rPr>
                <w:rFonts w:ascii="Cambria Math" w:hAnsi="Cambria Math"/>
                <w:color w:val="1F4E9E"/>
              </w:rPr>
              <m:t xml:space="preserve">p</m:t>
            </m:r>
          </m:e>
          <m:sub>
            <m:r>
              <w:rPr>
                <w:rFonts w:ascii="Cambria Math" w:hAnsi="Cambria Math"/>
                <w:color w:val="1F4E9E"/>
              </w:rPr>
              <m:t xml:space="preserve">Z</m:t>
            </m:r>
            <m:d>
              <m:dPr>
                <m:begChr m:val="("/>
                <m:endChr m:val=")"/>
                <m:ctrlPr/>
              </m:dPr>
              <m:e>
                <m:r>
                  <w:rPr>
                    <w:rFonts w:ascii="Cambria Math" w:hAnsi="Cambria Math"/>
                    <w:color w:val="1F4E9E"/>
                  </w:rPr>
                  <m:t xml:space="preserve">t</m:t>
                </m:r>
              </m:e>
            </m:d>
          </m:sub>
        </m:sSub>
        <m:d>
          <m:dPr>
            <m:begChr m:val="("/>
            <m:endChr m:val=")"/>
            <m:ctrlPr/>
          </m:dPr>
          <m:e>
            <m:r>
              <m:rPr>
                <m:nor/>
              </m:rPr>
              <w:rPr>
                <w:rFonts w:ascii="Cambria Math" w:hAnsi="Cambria Math"/>
                <w:color w:val="1F4E9E"/>
              </w:rPr>
              <m:t xml:space="preserve">0</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Because </w:t>
      </w:r>
      <m:oMath>
        <m:d>
          <m:dPr>
            <m:begChr m:val="("/>
            <m:endChr m:val=")"/>
            <m:ctrlPr/>
          </m:dPr>
          <m:e>
            <m:r>
              <w:rPr>
                <w:rFonts w:ascii="Cambria Math" w:hAnsi="Cambria Math"/>
                <w:color w:val="1F4E9E"/>
              </w:rPr>
              <m:t xml:space="preserve">Z</m:t>
            </m:r>
            <m:r>
              <m:rPr>
                <m:nor/>
              </m:rPr>
              <w:rPr>
                <w:rFonts w:ascii="Cambria Math" w:hAnsi="Cambria Math"/>
                <w:color w:val="1F4E9E"/>
              </w:rPr>
              <m:t xml:space="preserve">,</m:t>
            </m:r>
            <m:acc>
              <m:accPr>
                <m:chr m:val="̇"/>
                <m:ctrlPr/>
              </m:accPr>
              <m:e>
                <m:r>
                  <w:rPr>
                    <w:rFonts w:ascii="Cambria Math" w:hAnsi="Cambria Math"/>
                    <w:color w:val="1F4E9E"/>
                  </w:rPr>
                  <m:t xml:space="preserve">Z</m:t>
                </m:r>
              </m:e>
            </m:acc>
          </m:e>
        </m:d>
      </m:oMath>
      <w:r>
        <w:rPr>
          <w:color w:val="1F4E9E"/>
        </w:rPr>
        <w:t xml:space="preserve"> is jointly Gaussian, </w:t>
      </w:r>
      <m:oMath>
        <m:acc>
          <m:accPr>
            <m:chr m:val="̇"/>
            <m:ctrlPr/>
          </m:accPr>
          <m:e>
            <m:r>
              <w:rPr>
                <w:rFonts w:ascii="Cambria Math" w:hAnsi="Cambria Math"/>
                <w:color w:val="1F4E9E"/>
              </w:rPr>
              <m:t xml:space="preserve">Z</m:t>
            </m:r>
          </m:e>
        </m:acc>
      </m:oMath>
      <w:r>
        <w:rPr>
          <w:color w:val="1F4E9E"/>
        </w:rPr>
        <w:t xml:space="preserve"> given </w:t>
      </w:r>
      <m:oMath>
        <m:r>
          <w:rPr>
            <w:rFonts w:ascii="Cambria Math" w:hAnsi="Cambria Math"/>
            <w:color w:val="1F4E9E"/>
          </w:rPr>
          <m:t xml:space="preserve">Z</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is Gaussian with</w:t>
      </w:r>
    </w:p>
    <w:p w14:paraId="73212C5D" w14:textId="77777777" w:rsidR="00205CBC" w:rsidRDefault="00000000">
      <m:oMathPara>
        <m:oMath>
          <m:eqArr>
            <m:eqArrPr>
              <m:maxDist m:val="1"/>
              <m:ctrlPr/>
            </m:eqArrPr>
            <m:e>
              <m:r>
                <w:rPr>
                  <w:rFonts w:ascii="Cambria Math" w:hAnsi="Cambria Math"/>
                  <w:color w:val="1F4E9E"/>
                </w:rPr>
                <m:t xml:space="preserve">M</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den>
              </m:f>
              <m:r>
                <m:rPr>
                  <m:nor/>
                </m:rPr>
                <w:rPr>
                  <w:rFonts w:ascii="Cambria Math" w:hAnsi="Cambria Math"/>
                  <w:color w:val="1F4E9E"/>
                </w:rPr>
                <m:t xml:space="preserve">+</m:t>
              </m:r>
              <m:f>
                <m:fPr>
                  <m:ctrlPr/>
                </m:fPr>
                <m:num>
                  <m:r>
                    <m:rPr>
                      <m:nor/>
                    </m:rPr>
                    <w:rPr>
                      <w:rFonts w:ascii="Cambria Math" w:hAnsi="Cambria Math"/>
                      <w:color w:val="1F4E9E"/>
                    </w:rPr>
                    <m:t xml:space="preserve">Cov</m:t>
                  </m:r>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 </m:t>
              </m:r>
              <m:r>
                <w:rPr>
                  <w:rFonts w:ascii="Cambria Math" w:hAnsi="Cambria Math"/>
                  <w:color w:val="1F4E9E"/>
                </w:rPr>
                <m:t xml:space="preserve">S</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0</m:t>
                  </m:r>
                </m:e>
              </m:d>
            </m:e>
          </m:eqArr>
        </m:oMath>
      </m:oMathPara>
    </w:p>
    <w:p w14:paraId="73212C5D" w14:textId="77777777" w:rsidR="00205CBC" w:rsidRDefault="00000000">
      <w:r>
        <w:rPr>
          <w:color w:val="1F4E9E"/>
        </w:rPr>
        <w:t xml:space="preserve">and for </w:t>
      </w:r>
      <m:oMath>
        <m:r>
          <w:rPr>
            <w:rFonts w:ascii="Cambria Math" w:hAnsi="Cambria Math"/>
            <w:color w:val="1F4E9E"/>
          </w:rPr>
          <m:t xml:space="preserve">X</m:t>
        </m:r>
        <m:r>
          <m:rPr>
            <m:nor/>
          </m:rPr>
          <w:rPr>
            <w:rFonts w:ascii="Cambria Math" w:hAnsi="Cambria Math"/>
            <w:color w:val="1F4E9E"/>
          </w:rPr>
          <m:t xml:space="preserve">∼</m:t>
        </m:r>
        <m:r>
          <m:rPr>
            <m:nor/>
          </m:rPr>
          <w:rPr>
            <w:rFonts w:ascii="Cambria Math" w:hAnsi="Cambria Math"/>
            <w:color w:val="1F4E9E"/>
          </w:rPr>
          <m:t xml:space="preserve">N</m:t>
        </m:r>
        <m:d>
          <m:dPr>
            <m:begChr m:val="("/>
            <m:endChr m:val=")"/>
            <m:ctrlPr/>
          </m:dPr>
          <m:e>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S</m:t>
            </m:r>
          </m:e>
        </m:d>
      </m:oMath>
      <w:r>
        <w:rPr>
          <w:color w:val="1F4E9E"/>
        </w:rPr>
        <w:t xml:space="preserve"> one has </w:t>
      </w:r>
      <m:oMath>
        <m:r>
          <m:rPr>
            <m:nor/>
          </m:rPr>
          <w:rPr>
            <w:rFonts w:ascii="Cambria Math" w:hAnsi="Cambria Math"/>
            <w:color w:val="1F4E9E"/>
          </w:rPr>
          <m:t xml:space="preserve">E</m:t>
        </m:r>
        <m:d>
          <m:dPr>
            <m:begChr m:val="["/>
            <m:endChr m:val="]"/>
            <m:ctrlPr/>
          </m:dPr>
          <m:e>
            <m:r>
              <w:rPr>
                <w:rFonts w:ascii="Cambria Math" w:hAnsi="Cambria Math"/>
                <w:color w:val="1F4E9E"/>
              </w:rPr>
              <m:t xml:space="preserve">X</m:t>
            </m:r>
            <m:sSub>
              <m:sSubPr>
                <m:ctrlPr/>
              </m:sSubPr>
              <m:e>
                <m:r>
                  <m:rPr>
                    <m:nor/>
                  </m:rPr>
                  <w:rPr>
                    <w:rFonts w:ascii="Cambria Math" w:hAnsi="Cambria Math"/>
                    <w:color w:val="1F4E9E"/>
                  </w:rPr>
                  <m:t xml:space="preserve">1</m:t>
                </m:r>
              </m:e>
              <m:sub>
                <m:r>
                  <m:rPr>
                    <m:nor/>
                  </m:rPr>
                  <w:rPr>
                    <w:rFonts w:ascii="Cambria Math" w:hAnsi="Cambria Math"/>
                    <w:color w:val="1F4E9E"/>
                  </w:rPr>
                  <m:t xml:space="preserve">{</m:t>
                </m:r>
                <m:r>
                  <w:rPr>
                    <w:rFonts w:ascii="Cambria Math" w:hAnsi="Cambria Math"/>
                    <w:color w:val="1F4E9E"/>
                  </w:rPr>
                  <m:t xml:space="preserve">X</m:t>
                </m:r>
                <m:r>
                  <m:rPr>
                    <m:nor/>
                  </m:rPr>
                  <w:rPr>
                    <w:rFonts w:ascii="Cambria Math" w:hAnsi="Cambria Math"/>
                    <w:color w:val="1F4E9E"/>
                  </w:rPr>
                  <m:t xml:space="preserve">&gt;</m:t>
                </m:r>
                <m:r>
                  <m:rPr>
                    <m:nor/>
                  </m:rPr>
                  <w:rPr>
                    <w:rFonts w:ascii="Cambria Math" w:hAnsi="Cambria Math"/>
                    <w:color w:val="1F4E9E"/>
                  </w:rPr>
                  <m:t xml:space="preserve">0</m:t>
                </m:r>
                <m:r>
                  <m:rPr>
                    <m:nor/>
                  </m:rPr>
                  <w:rPr>
                    <w:rFonts w:ascii="Cambria Math" w:hAnsi="Cambria Math"/>
                    <w:color w:val="1F4E9E"/>
                  </w:rPr>
                  <m:t xml:space="preserve">}</m:t>
                </m:r>
              </m:sub>
            </m:sSub>
          </m:e>
        </m:d>
        <m:r>
          <m:rPr>
            <m:nor/>
          </m:rPr>
          <w:rPr>
            <w:rFonts w:ascii="Cambria Math" w:hAnsi="Cambria Math"/>
            <w:color w:val="1F4E9E"/>
          </w:rPr>
          <m:t xml:space="preserve">=</m:t>
        </m:r>
        <m:r>
          <w:rPr>
            <w:rFonts w:ascii="Cambria Math" w:hAnsi="Cambria Math"/>
            <w:color w:val="1F4E9E"/>
          </w:rPr>
          <m:t xml:space="preserve">M</m:t>
        </m:r>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r>
          <w:rPr>
            <w:rFonts w:ascii="Cambria Math" w:hAnsi="Cambria Math"/>
            <w:color w:val="1F4E9E"/>
          </w:rPr>
          <m:t xml:space="preserve">φ</m:t>
        </m:r>
        <m:d>
          <m:dPr>
            <m:begChr m:val="("/>
            <m:endChr m:val=")"/>
            <m:ctrlPr/>
          </m:dPr>
          <m:e>
            <m:r>
              <w:rPr>
                <w:rFonts w:ascii="Cambria Math" w:hAnsi="Cambria Math"/>
                <w:color w:val="1F4E9E"/>
              </w:rPr>
              <m:t xml:space="preserve">M</m:t>
            </m:r>
            <m:r>
              <m:rPr>
                <m:nor/>
              </m:rPr>
              <w:rPr>
                <w:rFonts w:ascii="Cambria Math" w:hAnsi="Cambria Math"/>
                <w:color w:val="1F4E9E"/>
              </w:rPr>
              <m:t xml:space="preserve">/</m:t>
            </m:r>
            <m:rad>
              <m:radPr>
                <m:degHide m:val="1"/>
                <m:ctrlPr/>
              </m:radPr>
              <m:deg/>
              <m:e>
                <m:r>
                  <w:rPr>
                    <w:rFonts w:ascii="Cambria Math" w:hAnsi="Cambria Math"/>
                    <w:color w:val="1F4E9E"/>
                  </w:rPr>
                  <m:t xml:space="preserve">S</m:t>
                </m:r>
              </m:e>
            </m:rad>
          </m:e>
        </m:d>
      </m:oMath>
      <w:r>
        <w:rPr>
          <w:color w:val="1F4E9E"/>
        </w:rPr>
        <w:t xml:space="preserve">. Substituting into (19) gives the rate in general form,</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f>
                <m:fPr>
                  <m:ctrlPr/>
                </m:fPr>
                <m:num>
                  <m:r>
                    <w:rPr>
                      <w:rFonts w:ascii="Cambria Math" w:hAnsi="Cambria Math"/>
                      <w:color w:val="1F4E9E"/>
                    </w:rPr>
                    <m:t xml:space="preserve">φ</m:t>
                  </m:r>
                  <m:d>
                    <m:dPr>
                      <m:begChr m:val="("/>
                      <m:endChr m:val=")"/>
                      <m:ctrlPr/>
                    </m:dPr>
                    <m:e>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e>
                  </m:d>
                </m:num>
                <m:den>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den>
              </m:f>
              <m:d>
                <m:dPr>
                  <m:begChr m:val="["/>
                  <m:endChr m:val="]"/>
                  <m:ctrlPr/>
                </m:dPr>
                <m:e>
                  <m:r>
                    <w:rPr>
                      <w:rFonts w:ascii="Cambria Math" w:hAnsi="Cambria Math"/>
                      <w:color w:val="1F4E9E"/>
                    </w:rPr>
                    <m:t xml:space="preserve">M</m:t>
                  </m:r>
                  <m:d>
                    <m:dPr>
                      <m:begChr m:val="("/>
                      <m:endChr m:val=")"/>
                      <m:ctrlPr/>
                    </m:dPr>
                    <m:e>
                      <m:r>
                        <w:rPr>
                          <w:rFonts w:ascii="Cambria Math" w:hAnsi="Cambria Math"/>
                          <w:color w:val="1F4E9E"/>
                        </w:rPr>
                        <m:t xml:space="preserve">t</m:t>
                      </m:r>
                    </m:e>
                  </m: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r>
                    <m:rPr>
                      <m:nor/>
                    </m:rPr>
                    <w:rPr>
                      <w:rFonts w:ascii="Cambria Math" w:hAnsi="Cambria Math"/>
                      <w:color w:val="1F4E9E"/>
                    </w:rPr>
                    <m:t xml:space="preserve">+</m:t>
                  </m:r>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r>
                    <w:rPr>
                      <w:rFonts w:ascii="Cambria Math" w:hAnsi="Cambria Math"/>
                      <w:color w:val="1F4E9E"/>
                    </w:rPr>
                    <m:t xml:space="preserve">φ</m:t>
                  </m:r>
                  <m:d>
                    <m:dPr>
                      <m:begChr m:val="("/>
                      <m:endChr m:val=")"/>
                      <m:ctrlPr/>
                    </m:dPr>
                    <m:e>
                      <m:f>
                        <m:fPr>
                          <m:ctrlPr/>
                        </m:fPr>
                        <m:num>
                          <m:r>
                            <w:rPr>
                              <w:rFonts w:ascii="Cambria Math" w:hAnsi="Cambria Math"/>
                              <w:color w:val="1F4E9E"/>
                            </w:rPr>
                            <m:t xml:space="preserve">M</m:t>
                          </m:r>
                          <m:d>
                            <m:dPr>
                              <m:begChr m:val="("/>
                              <m:endChr m:val=")"/>
                              <m:ctrlPr/>
                            </m:dPr>
                            <m:e>
                              <m:r>
                                <w:rPr>
                                  <w:rFonts w:ascii="Cambria Math" w:hAnsi="Cambria Math"/>
                                  <w:color w:val="1F4E9E"/>
                                </w:rPr>
                                <m:t xml:space="preserve">t</m:t>
                              </m:r>
                            </m:e>
                          </m:d>
                        </m:num>
                        <m:den>
                          <m:rad>
                            <m:radPr>
                              <m:degHide m:val="1"/>
                              <m:ctrlPr/>
                            </m:radPr>
                            <m:deg/>
                            <m:e>
                              <m:r>
                                <w:rPr>
                                  <w:rFonts w:ascii="Cambria Math" w:hAnsi="Cambria Math"/>
                                  <w:color w:val="1F4E9E"/>
                                </w:rPr>
                                <m:t xml:space="preserve">S</m:t>
                              </m:r>
                              <m:d>
                                <m:dPr>
                                  <m:begChr m:val="("/>
                                  <m:endChr m:val=")"/>
                                  <m:ctrlPr/>
                                </m:dPr>
                                <m:e>
                                  <m:r>
                                    <w:rPr>
                                      <w:rFonts w:ascii="Cambria Math" w:hAnsi="Cambria Math"/>
                                      <w:color w:val="1F4E9E"/>
                                    </w:rPr>
                                    <m:t xml:space="preserve">t</m:t>
                                  </m:r>
                                </m:e>
                              </m:d>
                            </m:e>
                          </m:rad>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1</m:t>
                  </m:r>
                </m:e>
              </m:d>
            </m:e>
          </m:eqArr>
        </m:oMath>
      </m:oMathPara>
    </w:p>
    <w:p w14:paraId="73212C5D" w14:textId="77777777" w:rsidR="00205CBC" w:rsidRDefault="00000000">
      <w:r>
        <w:rPr>
          <w:color w:val="1F4E9E"/>
        </w:rPr>
        <w:t xml:space="preserve">Once the transient has passed the covariance vanishes, so </w:t>
      </w:r>
      <m:oMath>
        <m:r>
          <w:rPr>
            <w:rFonts w:ascii="Cambria Math" w:hAnsi="Cambria Math"/>
            <w:color w:val="1F4E9E"/>
          </w:rPr>
          <m:t xml:space="preserve">M</m:t>
        </m:r>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sSubSup>
          <m:sSubSupPr>
            <m:ctrlPr/>
          </m:sSubSupPr>
          <m:e>
            <m:r>
              <w:rPr>
                <w:rFonts w:ascii="Cambria Math" w:hAnsi="Cambria Math"/>
                <w:color w:val="1F4E9E"/>
              </w:rPr>
              <m:t xml:space="preserve">σ</m:t>
            </m:r>
          </m:e>
          <m:sub>
            <m:acc>
              <m:accPr>
                <m:chr m:val="̇"/>
                <m:ctrlPr/>
              </m:accPr>
              <m:e>
                <m:r>
                  <w:rPr>
                    <w:rFonts w:ascii="Cambria Math" w:hAnsi="Cambria Math"/>
                    <w:color w:val="1F4E9E"/>
                  </w:rPr>
                  <m:t xml:space="preserve">H</m:t>
                </m:r>
              </m:e>
            </m:acc>
          </m:sub>
          <m:sup>
            <m:r>
              <m:rPr>
                <m:nor/>
              </m:rPr>
              <w:rPr>
                <w:rFonts w:ascii="Cambria Math" w:hAnsi="Cambria Math"/>
                <w:color w:val="1F4E9E"/>
              </w:rPr>
              <m:t xml:space="preserve">2</m:t>
            </m:r>
          </m:sup>
        </m:sSubSup>
      </m:oMath>
      <w:r>
        <w:rPr>
          <w:color w:val="1F4E9E"/>
        </w:rPr>
        <w:t xml:space="preserve">. Writing </w:t>
      </w:r>
      <m:oMath>
        <m:r>
          <w:rPr>
            <w:rFonts w:ascii="Cambria Math" w:hAnsi="Cambria Math"/>
            <w:color w:val="1F4E9E"/>
          </w:rPr>
          <m:t xml:space="preserve">a</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m:rPr>
            <m:nor/>
          </m:rPr>
          <w:rPr>
            <w:rFonts w:ascii="Cambria Math" w:hAnsi="Cambria Math"/>
            <w:color w:val="1F4E9E"/>
          </w:rPr>
          <m:t xml:space="preserve">=</m:t>
        </m:r>
        <m:r>
          <w:rPr>
            <w:rFonts w:ascii="Cambria Math" w:hAnsi="Cambria Math"/>
            <w:color w:val="1F4E9E"/>
          </w:rPr>
          <m:t xml:space="preserve">d</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for the standardized distance from the maintained level to the gate — the one abbreviation kept, because it is the quantity every result below turns on — (21) becomes</w:t>
      </w:r>
    </w:p>
    <w:p w14:paraId="73212C5D" w14:textId="77777777" w:rsidR="00205CBC" w:rsidRDefault="00000000">
      <m:oMathPara>
        <m:oMath>
          <m:eqArr>
            <m:eqArrPr>
              <m:maxDist m:val="1"/>
              <m:ctrlPr/>
            </m:eqArrPr>
            <m:e>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r>
                <w:rPr>
                  <w:rFonts w:ascii="Cambria Math" w:hAnsi="Cambria Math"/>
                  <w:color w:val="1F4E9E"/>
                </w:rPr>
                <m:t xml:space="preserve">φ</m:t>
              </m:r>
              <m:d>
                <m:dPr>
                  <m:begChr m:val="("/>
                  <m:endChr m:val=")"/>
                  <m:ctrlPr/>
                </m:dPr>
                <m:e>
                  <m:r>
                    <w:rPr>
                      <w:rFonts w:ascii="Cambria Math" w:hAnsi="Cambria Math"/>
                      <w:color w:val="1F4E9E"/>
                    </w:rPr>
                    <m:t xml:space="preserve">a</m:t>
                  </m:r>
                  <m:d>
                    <m:dPr>
                      <m:begChr m:val="("/>
                      <m:endChr m:val=")"/>
                      <m:ctrlPr/>
                    </m:dPr>
                    <m:e>
                      <m:r>
                        <w:rPr>
                          <w:rFonts w:ascii="Cambria Math" w:hAnsi="Cambria Math"/>
                          <w:color w:val="1F4E9E"/>
                        </w:rPr>
                        <m:t xml:space="preserve">t</m:t>
                      </m:r>
                    </m:e>
                  </m:d>
                </m:e>
              </m:d>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r>
                    <m:rPr>
                      <m:nor/>
                    </m:rPr>
                    <w:rPr>
                      <w:rFonts w:ascii="Cambria Math" w:hAnsi="Cambria Math"/>
                      <w:color w:val="1F4E9E"/>
                    </w:rPr>
                    <m:t xml:space="preserve">+</m:t>
                  </m:r>
                  <m:r>
                    <w:rPr>
                      <w:rFonts w:ascii="Cambria Math" w:hAnsi="Cambria Math"/>
                      <w:color w:val="1F4E9E"/>
                    </w:rPr>
                    <m:t xml:space="preserve">ω</m:t>
                  </m:r>
                  <m:r>
                    <w:rPr>
                      <w:rFonts w:ascii="Cambria Math" w:hAnsi="Cambria Math"/>
                      <w:color w:val="1F4E9E"/>
                    </w:rPr>
                    <m:t xml:space="preserve">φ</m:t>
                  </m:r>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acc>
                                <m:accPr>
                                  <m:chr m:val="̇"/>
                                  <m:ctrlPr/>
                                </m:accPr>
                                <m:e>
                                  <m:r>
                                    <w:rPr>
                                      <w:rFonts w:ascii="Cambria Math" w:hAnsi="Cambria Math"/>
                                      <w:color w:val="1F4E9E"/>
                                    </w:rPr>
                                    <m:t xml:space="preserve">H</m:t>
                                  </m:r>
                                </m:e>
                              </m:acc>
                            </m:sub>
                          </m:sSub>
                        </m:den>
                      </m:f>
                    </m:e>
                  </m:d>
                </m:e>
              </m: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2</m:t>
                  </m:r>
                </m:e>
              </m:d>
            </m:e>
          </m:eqArr>
        </m:oMath>
      </m:oMathPara>
    </w:p>
    <w:p w14:paraId="73212C5D" w14:textId="77777777" w:rsidR="00205CBC" w:rsidRDefault="00000000">
      <w:r>
        <w:rPr>
          <w:color w:val="1F4E9E"/>
        </w:rPr>
        <w:t xml:space="preserve">the expression used in Results (Delay-locked). The bracket does not depend on the distance to the gate, and the ramp enters it only through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the speed at which temporal preparation carries the signal toward the gate.</w:t>
      </w:r>
    </w:p>
    <w:p w14:paraId="73212C5D" w14:textId="77777777" w:rsidR="00205CBC" w:rsidRDefault="00000000">
      <w:r>
        <w:rPr>
          <w:color w:val="1F4E9E"/>
        </w:rPr>
        <w:t xml:space="preserve">Corollary A.1 (the ceiling on Model 1’s delay-period rate, and when it applies).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(22) — Model 1 — gives the classical Rice formula,</w:t>
      </w:r>
    </w:p>
    <w:p w14:paraId="73212C5D" w14:textId="77777777" w:rsidR="00205CBC" w:rsidRDefault="00000000">
      <m:oMathPara>
        <m:oMath>
          <m:eqArr>
            <m:eqArrPr>
              <m:maxDist m:val="1"/>
              <m:ctrlPr/>
            </m:eqArrPr>
            <m:e>
              <m:r>
                <w:rPr>
                  <w:rFonts w:ascii="Cambria Math" w:hAnsi="Cambria Math"/>
                  <w:color w:val="1F4E9E"/>
                </w:rPr>
                <m:t xml:space="preserve">ν</m:t>
              </m:r>
              <m:r>
                <m:rPr>
                  <m:nor/>
                </m:rPr>
                <w:rPr>
                  <w:rFonts w:ascii="Cambria Math" w:hAnsi="Cambria Math"/>
                  <w:color w:val="1F4E9E"/>
                </w:rPr>
                <m:t xml:space="preserve">=</m:t>
              </m:r>
              <m:f>
                <m:fPr>
                  <m:ctrlPr/>
                </m:fPr>
                <m:num>
                  <m:r>
                    <w:rPr>
                      <w:rFonts w:ascii="Cambria Math" w:hAnsi="Cambria Math"/>
                      <w:color w:val="1F4E9E"/>
                    </w:rPr>
                    <m:t xml:space="preserve">ω</m:t>
                  </m:r>
                </m:num>
                <m:den>
                  <m:r>
                    <m:rPr>
                      <m:nor/>
                    </m:rPr>
                    <w:rPr>
                      <w:rFonts w:ascii="Cambria Math" w:hAnsi="Cambria Math"/>
                      <w:color w:val="1F4E9E"/>
                    </w:rPr>
                    <m:t xml:space="preserve">2</m:t>
                  </m:r>
                  <m:r>
                    <w:rPr>
                      <w:rFonts w:ascii="Cambria Math" w:hAnsi="Cambria Math"/>
                      <w:color w:val="1F4E9E"/>
                    </w:rPr>
                    <m:t xml:space="preserve">π</m:t>
                  </m:r>
                </m:den>
              </m:f>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3</m:t>
                  </m:r>
                </m:e>
              </m:d>
            </m:e>
          </m:eqArr>
        </m:oMath>
      </m:oMathPara>
    </w:p>
    <w:p w14:paraId="73212C5D" w14:textId="77777777" w:rsidR="00205CBC" w:rsidRDefault="00000000">
      <w:r>
        <w:rPr>
          <w:color w:val="1F4E9E"/>
        </w:rPr>
        <w:t xml:space="preserve">whose maximum over the standardized distance is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r>
          <m:rPr>
            <m:nor/>
          </m:rPr>
          <w:rPr>
            <w:rFonts w:ascii="Cambria Math" w:hAnsi="Cambria Math"/>
            <w:color w:val="1F4E9E"/>
          </w:rPr>
          <m:t xml:space="preserve">=</m:t>
        </m:r>
        <m:rad>
          <m:radPr>
            <m:degHide m:val="1"/>
            <m:ctrlPr/>
          </m:radPr>
          <m:deg/>
          <m:e>
            <m:r>
              <w:rPr>
                <w:rFonts w:ascii="Cambria Math" w:hAnsi="Cambria Math"/>
                <w:color w:val="1F4E9E"/>
              </w:rPr>
              <m:t xml:space="preserve">λ</m:t>
            </m:r>
            <m:r>
              <w:rPr>
                <w:rFonts w:ascii="Cambria Math" w:hAnsi="Cambria Math"/>
                <w:color w:val="1F4E9E"/>
              </w:rPr>
              <m:t xml:space="preserve">κ</m:t>
            </m:r>
          </m:e>
        </m:ra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attained when the gate sits at the maintained level. That bound holds only once the fluctuation is stationary. Before then, setting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d</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gives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the exact ceiling</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1</m:t>
                  </m:r>
                </m:num>
                <m:den>
                  <m:r>
                    <m:rPr>
                      <m:nor/>
                    </m:rPr>
                    <w:rPr>
                      <w:rFonts w:ascii="Cambria Math" w:hAnsi="Cambria Math"/>
                      <w:color w:val="1F4E9E"/>
                    </w:rPr>
                    <m:t xml:space="preserve">2</m:t>
                  </m:r>
                  <m:r>
                    <w:rPr>
                      <w:rFonts w:ascii="Cambria Math" w:hAnsi="Cambria Math"/>
                      <w:color w:val="1F4E9E"/>
                    </w:rPr>
                    <m:t xml:space="preserve">π</m:t>
                  </m:r>
                </m:den>
              </m:f>
              <m:rad>
                <m:radPr>
                  <m:degHide m:val="1"/>
                  <m:ctrlPr/>
                </m:radPr>
                <m:deg/>
                <m:e>
                  <m:f>
                    <m:fPr>
                      <m:ctrlPr/>
                    </m:fPr>
                    <m:num>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m:rPr>
                      <m:nor/>
                    </m:rPr>
                    <w:rPr>
                      <w:rFonts w:ascii="Cambria Math" w:hAnsi="Cambria Math"/>
                      <w:color w:val="1F4E9E"/>
                    </w:rPr>
                    <m:t xml:space="preserve">-</m:t>
                  </m:r>
                  <m:f>
                    <m:fPr>
                      <m:ctrlPr/>
                    </m:fPr>
                    <m:num>
                      <m:r>
                        <m:rPr>
                          <m:nor/>
                        </m:rPr>
                        <w:rPr>
                          <w:rFonts w:ascii="Cambria Math" w:hAnsi="Cambria Math"/>
                          <w:color w:val="1F4E9E"/>
                        </w:rPr>
                        <m:t xml:space="preserve">Cov</m:t>
                      </m:r>
                      <m:sSup>
                        <m:sSupPr>
                          <m:ctrlPr/>
                        </m:sSupPr>
                        <m:e>
                          <m:d>
                            <m:dPr>
                              <m:begChr m:val="("/>
                              <m:endChr m:val=")"/>
                              <m:ctrlPr/>
                            </m:dPr>
                            <m:e>
                              <m:r>
                                <w:rPr>
                                  <w:rFonts w:ascii="Cambria Math" w:hAnsi="Cambria Math"/>
                                  <w:color w:val="1F4E9E"/>
                                </w:rPr>
                                <m:t xml:space="preserve">H</m:t>
                              </m:r>
                              <m:r>
                                <m:rPr>
                                  <m:nor/>
                                </m:rPr>
                                <w:rPr>
                                  <w:rFonts w:ascii="Cambria Math" w:hAnsi="Cambria Math"/>
                                  <w:color w:val="1F4E9E"/>
                                </w:rPr>
                                <m:t xml:space="preserve">,</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2</m:t>
                          </m:r>
                        </m:sup>
                      </m:sSup>
                    </m:num>
                    <m:den>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2</m:t>
                          </m:r>
                        </m:sup>
                      </m:sSup>
                    </m:den>
                  </m:f>
                </m:e>
              </m:rad>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4</m:t>
                  </m:r>
                </m:e>
              </m:d>
            </m:e>
          </m:eqArr>
        </m:oMath>
      </m:oMathPara>
    </w:p>
    <w:p w14:paraId="73212C5D" w14:textId="77777777" w:rsidR="00205CBC" w:rsidRDefault="00000000">
      <w:r>
        <w:rPr>
          <w:color w:val="1F4E9E"/>
        </w:rPr>
        <w:t xml:space="preserve">which exceeds </w:t>
      </w:r>
      <m:oMath>
        <m:r>
          <w:rPr>
            <w:rFonts w:ascii="Cambria Math" w:hAnsi="Cambria Math"/>
            <w:color w:val="1F4E9E"/>
          </w:rPr>
          <m:t xml:space="preserve">ω</m:t>
        </m:r>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oMath>
      <w:r>
        <w:rPr>
          <w:color w:val="1F4E9E"/>
        </w:rPr>
        <w:t xml:space="preserve"> while the variance is still filling in, and diverges as </w:t>
      </w:r>
      <m:oMath>
        <m:r>
          <w:rPr>
            <w:rFonts w:ascii="Cambria Math" w:hAnsi="Cambria Math"/>
            <w:color w:val="1F4E9E"/>
          </w:rPr>
          <m:t xml:space="preserve">ρ</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at the very start of maintenance the fluctuation is smooth but its variance is small, so a gate placed at the maintained level is crossed very often. Non-stationarity therefore RAISES the ceiling rather than lowering it, and the covariance term subtracted in (24) offsets only a small part of that. The bound used in Results is (24), evaluated in the analyzed window. ∎</w:t>
      </w:r>
    </w:p>
    <w:p w14:paraId="73212C5D" w14:textId="77777777" w:rsidR="00205CBC" w:rsidRDefault="00000000">
      <w:r>
        <w:rPr>
          <w:color w:val="1F4E9E"/>
        </w:rPr>
        <w:t xml:space="preserve">Corollary A.2 (the log-rate slope). Under Model 2 the barrier moves at constant speed, so by (12) the standardized distance falls linearly,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a</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w:rPr>
            <w:rFonts w:ascii="Cambria Math" w:hAnsi="Cambria Math"/>
            <w:color w:val="1F4E9E"/>
          </w:rPr>
          <m:t xml:space="preserve">β</m:t>
        </m:r>
        <m:r>
          <w:rPr>
            <w:rFonts w:ascii="Cambria Math" w:hAnsi="Cambria Math"/>
            <w:color w:val="1F4E9E"/>
          </w:rPr>
          <m:t xml:space="preserve">τ</m:t>
        </m:r>
        <m:r>
          <m:rPr>
            <m:nor/>
          </m:rPr>
          <w:rPr>
            <w:rFonts w:ascii="Cambria Math" w:hAnsi="Cambria Math"/>
            <w:color w:val="1F4E9E"/>
          </w:rPr>
          <m:t xml:space="preserve">/</m:t>
        </m:r>
        <m:d>
          <m:dPr>
            <m:begChr m:val="("/>
            <m:endChr m:val=")"/>
            <m:ctrlPr/>
          </m:dPr>
          <m:e>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e>
        </m:d>
      </m:oMath>
      <w:r>
        <w:rPr>
          <w:color w:val="1F4E9E"/>
        </w:rPr>
        <w:t xml:space="preserve">. Taking logarithms in (22), the bracket is constant in </w:t>
      </w:r>
      <m:oMath>
        <m:r>
          <w:rPr>
            <w:rFonts w:ascii="Cambria Math" w:hAnsi="Cambria Math"/>
            <w:color w:val="1F4E9E"/>
          </w:rPr>
          <m:t xml:space="preserve">τ</m:t>
        </m:r>
      </m:oMath>
      <w:r>
        <w:rPr>
          <w:color w:val="1F4E9E"/>
        </w:rPr>
        <w:t xml:space="preserve"> and </w:t>
      </w:r>
      <m:oMath>
        <m:r>
          <m:rPr>
            <m:nor/>
          </m:rPr>
          <w:rPr>
            <w:rFonts w:ascii="Cambria Math" w:hAnsi="Cambria Math"/>
            <w:color w:val="1F4E9E"/>
          </w:rPr>
          <m:t xml:space="preserve">ln</m:t>
        </m:r>
        <m:r>
          <w:rPr>
            <w:rFonts w:ascii="Cambria Math" w:hAnsi="Cambria Math"/>
            <w:color w:val="1F4E9E"/>
          </w:rPr>
          <m:t xml:space="preserve">φ</m:t>
        </m:r>
        <m:d>
          <m:dPr>
            <m:begChr m:val="("/>
            <m:endChr m:val=")"/>
            <m:ctrlPr/>
          </m:dPr>
          <m:e>
            <m:r>
              <w:rPr>
                <w:rFonts w:ascii="Cambria Math" w:hAnsi="Cambria Math"/>
                <w:color w:val="1F4E9E"/>
              </w:rPr>
              <m:t xml:space="preserve">a</m:t>
            </m:r>
          </m:e>
        </m:d>
        <m:r>
          <m:rPr>
            <m:nor/>
          </m:rPr>
          <w:rPr>
            <w:rFonts w:ascii="Cambria Math" w:hAnsi="Cambria Math"/>
            <w:color w:val="1F4E9E"/>
          </w:rPr>
          <m:t xml:space="preserve">=</m:t>
        </m:r>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r>
          <m:rPr>
            <m:nor/>
          </m:rPr>
          <w:rPr>
            <w:rFonts w:ascii="Cambria Math" w:hAnsi="Cambria Math"/>
            <w:color w:val="1F4E9E"/>
          </w:rPr>
          <m:t xml:space="preserve">-</m:t>
        </m:r>
        <m:r>
          <m:rPr>
            <m:nor/>
          </m:rPr>
          <w:rPr>
            <w:rFonts w:ascii="Cambria Math" w:hAnsi="Cambria Math"/>
            <w:color w:val="1F4E9E"/>
          </w:rPr>
          <m:t xml:space="preserve">ln</m:t>
        </m:r>
        <m:rad>
          <m:radPr>
            <m:degHide m:val="1"/>
            <m:ctrlPr/>
          </m:radPr>
          <m:deg/>
          <m:e>
            <m:r>
              <m:rPr>
                <m:nor/>
              </m:rPr>
              <w:rPr>
                <w:rFonts w:ascii="Cambria Math" w:hAnsi="Cambria Math"/>
                <w:color w:val="1F4E9E"/>
              </w:rPr>
              <m:t xml:space="preserve">2</m:t>
            </m:r>
            <m:r>
              <w:rPr>
                <w:rFonts w:ascii="Cambria Math" w:hAnsi="Cambria Math"/>
                <w:color w:val="1F4E9E"/>
              </w:rPr>
              <m:t xml:space="preserve">π</m:t>
            </m:r>
          </m:e>
        </m:rad>
      </m:oMath>
      <w:r>
        <w:rPr>
          <w:color w:val="1F4E9E"/>
        </w:rPr>
        <w:t xml:space="preserve">, so</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  </m:t>
              </m:r>
              <m:f>
                <m:fPr>
                  <m:ctrlPr/>
                </m:fPr>
                <m:num>
                  <m:sSup>
                    <m:sSupPr>
                      <m:ctrlPr/>
                    </m:sSupPr>
                    <m:e>
                      <m:r>
                        <m:rPr>
                          <m:nor/>
                        </m:rPr>
                        <w:rPr>
                          <w:rFonts w:ascii="Cambria Math" w:hAnsi="Cambria Math"/>
                          <w:color w:val="1F4E9E"/>
                        </w:rPr>
                        <m:t xml:space="preserve">d</m:t>
                      </m:r>
                    </m:e>
                    <m:sup>
                      <m:r>
                        <m:rPr>
                          <m:nor/>
                        </m:rPr>
                        <w:rPr>
                          <w:rFonts w:ascii="Cambria Math" w:hAnsi="Cambria Math"/>
                          <w:color w:val="1F4E9E"/>
                        </w:rPr>
                        <m:t xml:space="preserve">2</m:t>
                      </m:r>
                    </m:sup>
                  </m:sSup>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sSup>
                    <m:sSupPr>
                      <m:ctrlPr/>
                    </m:sSupPr>
                    <m:e>
                      <m:r>
                        <w:rPr>
                          <w:rFonts w:ascii="Cambria Math" w:hAnsi="Cambria Math"/>
                          <w:color w:val="1F4E9E"/>
                        </w:rPr>
                        <m:t xml:space="preserve">τ</m:t>
                      </m:r>
                    </m:e>
                    <m:sup>
                      <m:r>
                        <m:rPr>
                          <m:nor/>
                        </m:rPr>
                        <w:rPr>
                          <w:rFonts w:ascii="Cambria Math" w:hAnsi="Cambria Math"/>
                          <w:color w:val="1F4E9E"/>
                        </w:rPr>
                        <m:t xml:space="preserve">2</m:t>
                      </m:r>
                    </m:sup>
                  </m:sSup>
                </m:den>
              </m:f>
              <m:r>
                <m:rPr>
                  <m:nor/>
                </m:rPr>
                <w:rPr>
                  <w:rFonts w:ascii="Cambria Math" w:hAnsi="Cambria Math"/>
                  <w:color w:val="1F4E9E"/>
                </w:rPr>
                <m:t xml:space="preserve">=</m:t>
              </m:r>
              <m:r>
                <m:rPr>
                  <m:nor/>
                </m:rPr>
                <w:rPr>
                  <w:rFonts w:ascii="Cambria Math" w:hAnsi="Cambria Math"/>
                  <w:color w:val="1F4E9E"/>
                </w:rPr>
                <m:t xml:space="preserve">-</m:t>
              </m:r>
              <m:sSup>
                <m:sSupPr>
                  <m:ctrlPr/>
                </m:sSupPr>
                <m:e>
                  <m:d>
                    <m:dPr>
                      <m:begChr m:val="("/>
                      <m:endChr m:val=")"/>
                      <m:ctrlPr/>
                    </m:dPr>
                    <m:e>
                      <m:f>
                        <m:fPr>
                          <m:ctrlPr/>
                        </m:fPr>
                        <m:num>
                          <m:r>
                            <w:rPr>
                              <w:rFonts w:ascii="Cambria Math" w:hAnsi="Cambria Math"/>
                              <w:color w:val="1F4E9E"/>
                            </w:rPr>
                            <m:t xml:space="preserve">β</m:t>
                          </m:r>
                        </m:num>
                        <m:den>
                          <m:r>
                            <w:rPr>
                              <w:rFonts w:ascii="Cambria Math" w:hAnsi="Cambria Math"/>
                              <w:color w:val="1F4E9E"/>
                            </w:rPr>
                            <m:t xml:space="preserve">δ</m:t>
                          </m:r>
                          <m:sSub>
                            <m:sSubPr>
                              <m:ctrlPr/>
                            </m:sSubPr>
                            <m:e>
                              <m:r>
                                <w:rPr>
                                  <w:rFonts w:ascii="Cambria Math" w:hAnsi="Cambria Math"/>
                                  <w:color w:val="1F4E9E"/>
                                </w:rPr>
                                <m:t xml:space="preserve">σ</m:t>
                              </m:r>
                            </m:e>
                            <m:sub>
                              <m:r>
                                <w:rPr>
                                  <w:rFonts w:ascii="Cambria Math" w:hAnsi="Cambria Math"/>
                                  <w:color w:val="1F4E9E"/>
                                </w:rPr>
                                <m:t xml:space="preserve">H</m:t>
                              </m:r>
                            </m:sub>
                          </m:sSub>
                        </m:den>
                      </m:f>
                    </m:e>
                  </m:d>
                </m:e>
                <m:sup>
                  <m:r>
                    <m:rPr>
                      <m:nor/>
                    </m:rPr>
                    <w:rPr>
                      <w:rFonts w:ascii="Cambria Math" w:hAnsi="Cambria Math"/>
                      <w:color w:val="1F4E9E"/>
                    </w:rPr>
                    <m:t xml:space="preserve">2</m:t>
                  </m:r>
                </m:sup>
              </m:sSup>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5</m:t>
                  </m:r>
                </m:e>
              </m:d>
            </m:e>
          </m:eqArr>
        </m:oMath>
      </m:oMathPara>
    </w:p>
    <w:p w14:paraId="73212C5D" w14:textId="77777777" w:rsidR="00205CBC" w:rsidRDefault="00000000">
      <w:r>
        <w:rPr>
          <w:color w:val="1F4E9E"/>
        </w:rPr>
        <w:t xml:space="preserve">The log rate rises at a rate proportional to the current standardized distance to the gate. Its curvature is negative, and constant in time — the log rate is exactly a downward parabola — with the same value in all six conditions, since </w:t>
      </w:r>
      <m:oMath>
        <m:r>
          <w:rPr>
            <w:rFonts w:ascii="Cambria Math" w:hAnsi="Cambria Math"/>
            <w:color w:val="1F4E9E"/>
          </w:rPr>
          <m:t xml:space="preserve">β</m:t>
        </m:r>
      </m:oMath>
      <w:r>
        <w:rPr>
          <w:color w:val="1F4E9E"/>
        </w:rPr>
        <w:t xml:space="preserve">, </w:t>
      </w:r>
      <m:oMath>
        <m:r>
          <w:rPr>
            <w:rFonts w:ascii="Cambria Math" w:hAnsi="Cambria Math"/>
            <w:color w:val="1F4E9E"/>
          </w:rPr>
          <m:t xml:space="preserve">δ</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properties of the participant and not of the condition. A cell with a higher rate has a smaller standardized distance and so a shallower predicted log-rate slope. ∎</w:t>
      </w:r>
    </w:p>
    <w:p w14:paraId="73212C5D" w14:textId="77777777" w:rsidR="00205CBC" w:rsidRDefault="00000000">
      <w:r>
        <w:rPr>
          <w:color w:val="1F4E9E"/>
        </w:rPr>
        <w:t xml:space="preserve">Proposition A.3 (saturation and the coherence × duration interaction). The model predicts the effect of coherence on the delay-period rate to be smaller, not larger, after a long stimulus. Proof. The maintained TARGET is capped pathwise at </w:t>
      </w:r>
      <m:oMath>
        <m:r>
          <w:rPr>
            <w:rFonts w:ascii="Cambria Math" w:hAnsi="Cambria Math"/>
            <w:color w:val="1F4E9E"/>
          </w:rPr>
          <m:t xml:space="preserve">θ</m:t>
        </m:r>
      </m:oMath>
      <w:r>
        <w:rPr>
          <w:color w:val="1F4E9E"/>
        </w:rPr>
        <w:t xml:space="preserve">: a trial that reaches the threshold has its target pinned there for the rest of the delay, though its signal continues to fluctuate about that target. On such a trial the distance </w:t>
      </w:r>
      <m:oMath>
        <m:r>
          <w:rPr>
            <w:rFonts w:ascii="Cambria Math" w:hAnsi="Cambria Math"/>
            <w:color w:val="1F4E9E"/>
          </w:rPr>
          <m:t xml:space="preserve">d</m:t>
        </m:r>
      </m:oMath>
      <w:r>
        <w:rPr>
          <w:color w:val="1F4E9E"/>
        </w:rPr>
        <w:t xml:space="preserve"> entering (21) is </w:t>
      </w:r>
      <m:oMath>
        <m:r>
          <w:rPr>
            <w:rFonts w:ascii="Cambria Math" w:hAnsi="Cambria Math"/>
            <w:color w:val="1F4E9E"/>
          </w:rPr>
          <m:t xml:space="preserve">g</m:t>
        </m:r>
        <m:r>
          <m:rPr>
            <m:nor/>
          </m:rPr>
          <w:rPr>
            <w:rFonts w:ascii="Cambria Math" w:hAnsi="Cambria Math"/>
            <w:color w:val="1F4E9E"/>
          </w:rPr>
          <m:t xml:space="preserve">-</m:t>
        </m:r>
        <m:r>
          <w:rPr>
            <w:rFonts w:ascii="Cambria Math" w:hAnsi="Cambria Math"/>
            <w:color w:val="1F4E9E"/>
          </w:rPr>
          <m:t xml:space="preserve">θ</m:t>
        </m:r>
      </m:oMath>
      <w:r>
        <w:rPr>
          <w:color w:val="1F4E9E"/>
        </w:rPr>
        <w:t xml:space="preserve"> less the ramp, the same in every condition, and the law of </w:t>
      </w:r>
      <m:oMath>
        <m:r>
          <w:rPr>
            <w:rFonts w:ascii="Cambria Math" w:hAnsi="Cambria Math"/>
            <w:color w:val="1F4E9E"/>
          </w:rPr>
          <m:t xml:space="preserve">H</m:t>
        </m:r>
      </m:oMath>
      <w:r>
        <w:rPr>
          <w:color w:val="1F4E9E"/>
        </w:rPr>
        <w:t xml:space="preserve"> does not depend on coherence either, so the rate is coherence-independent. Writing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oMath>
      <w:r>
        <w:rPr>
          <w:color w:val="1F4E9E"/>
        </w:rPr>
        <w:t xml:space="preserve"> for the fraction of trials at duration </w:t>
      </w:r>
      <m:oMath>
        <m:r>
          <w:rPr>
            <w:rFonts w:ascii="Cambria Math" w:hAnsi="Cambria Math"/>
            <w:color w:val="1F4E9E"/>
          </w:rPr>
          <m:t xml:space="preserve">D</m:t>
        </m:r>
      </m:oMath>
      <w:r>
        <w:rPr>
          <w:color w:val="1F4E9E"/>
        </w:rPr>
        <w:t xml:space="preserve"> and coherence </w:t>
      </w:r>
      <m:oMath>
        <m:r>
          <w:rPr>
            <w:rFonts w:ascii="Cambria Math" w:hAnsi="Cambria Math"/>
            <w:color w:val="1F4E9E"/>
          </w:rPr>
          <m:t xml:space="preserve">c</m:t>
        </m:r>
      </m:oMath>
      <w:r>
        <w:rPr>
          <w:color w:val="1F4E9E"/>
        </w:rPr>
        <w:t xml:space="preserve"> whose target has reached </w:t>
      </w:r>
      <m:oMath>
        <m:r>
          <w:rPr>
            <w:rFonts w:ascii="Cambria Math" w:hAnsi="Cambria Math"/>
            <w:color w:val="1F4E9E"/>
          </w:rPr>
          <m:t xml:space="preserve">θ</m:t>
        </m:r>
      </m:oMath>
      <w:r>
        <w:rPr>
          <w:color w:val="1F4E9E"/>
        </w:rPr>
        <w:t xml:space="preserve">, the coherence levels therefore converge on a common value as </w:t>
      </w:r>
      <m:oMath>
        <m:r>
          <w:rPr>
            <w:rFonts w:ascii="Cambria Math" w:hAnsi="Cambria Math"/>
            <w:color w:val="1F4E9E"/>
          </w:rPr>
          <m:t xml:space="preserve">F</m:t>
        </m:r>
        <m:d>
          <m:dPr>
            <m:begChr m:val="("/>
            <m:endChr m:val=")"/>
            <m:ctrlPr/>
          </m:dPr>
          <m:e>
            <m:r>
              <w:rPr>
                <w:rFonts w:ascii="Cambria Math" w:hAnsi="Cambria Math"/>
                <w:color w:val="1F4E9E"/>
              </w:rPr>
              <m:t xml:space="preserve">D</m:t>
            </m:r>
            <m:r>
              <m:rPr>
                <m:nor/>
              </m:rPr>
              <w:rPr>
                <w:rFonts w:ascii="Cambria Math" w:hAnsi="Cambria Math"/>
                <w:color w:val="1F4E9E"/>
              </w:rPr>
              <m:t xml:space="preserve">,</m:t>
            </m:r>
            <m:r>
              <w:rPr>
                <w:rFonts w:ascii="Cambria Math" w:hAnsi="Cambria Math"/>
                <w:color w:val="1F4E9E"/>
              </w:rPr>
              <m:t xml:space="preserve">c</m:t>
            </m:r>
          </m:e>
        </m:d>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and a longer stimulus raises </w:t>
      </w:r>
      <m:oMath>
        <m:r>
          <w:rPr>
            <w:rFonts w:ascii="Cambria Math" w:hAnsi="Cambria Math"/>
            <w:color w:val="1F4E9E"/>
          </w:rPr>
          <m:t xml:space="preserve">F</m:t>
        </m:r>
      </m:oMath>
      <w:r>
        <w:rPr>
          <w:color w:val="1F4E9E"/>
        </w:rPr>
        <w:t xml:space="preserve"> at every coherence, moving every cell closer to it.</w:t>
      </w:r>
    </w:p>
    <w:p w14:paraId="73212C5D" w14:textId="77777777" w:rsidR="00205CBC" w:rsidRDefault="00000000">
      <w:r>
        <w:rPr>
          <w:color w:val="1F4E9E"/>
        </w:rPr>
        <w:t xml:space="preserve">The argument is a limit argument, and the prediction holds only as the limit is approached. It requires the LOWEST-coherence long-duration cell to be near the cap: the effect is a difference between coherences, and the cap can shrink that difference only once both of its terms are capped. Where that fails the prediction reverses, for the converse reason: below the cap the target is free, its mean grows about as </w:t>
      </w:r>
      <m:oMath>
        <m:r>
          <w:rPr>
            <w:rFonts w:ascii="Cambria Math" w:hAnsi="Cambria Math"/>
            <w:color w:val="1F4E9E"/>
          </w:rPr>
          <m:t xml:space="preserve">k</m:t>
        </m:r>
        <m:r>
          <w:rPr>
            <w:rFonts w:ascii="Cambria Math" w:hAnsi="Cambria Math"/>
            <w:color w:val="1F4E9E"/>
          </w:rPr>
          <m:t xml:space="preserve">c</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and its coherence derivative </w:t>
      </w:r>
      <m:oMath>
        <m:r>
          <w:rPr>
            <w:rFonts w:ascii="Cambria Math" w:hAnsi="Cambria Math"/>
            <w:color w:val="1F4E9E"/>
          </w:rPr>
          <m:t xml:space="preserve">k</m:t>
        </m:r>
        <m:d>
          <m:dPr>
            <m:begChr m:val="("/>
            <m:endChr m:val=")"/>
            <m:ctrlPr/>
          </m:dPr>
          <m:e>
            <m:r>
              <w:rPr>
                <w:rFonts w:ascii="Cambria Math" w:hAnsi="Cambria Math"/>
                <w:color w:val="1F4E9E"/>
              </w:rPr>
              <m:t xml:space="preserve">t</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r>
              <w:rPr>
                <w:rFonts w:ascii="Cambria Math" w:hAnsi="Cambria Math"/>
                <w:color w:val="1F4E9E"/>
              </w:rPr>
              <m:t xml:space="preserve">λ</m:t>
            </m:r>
          </m:e>
        </m:d>
      </m:oMath>
      <w:r>
        <w:rPr>
          <w:color w:val="1F4E9E"/>
        </w:rPr>
        <w:t xml:space="preserve"> grows with duration. Saturation is what turns that growth into a shrinkage. The condition cannot be enforced through accuracy, because the contrast is taken against the zero-coherence cell, whose accuracy is one half by symmetry at every parameter setting.</w:t>
      </w:r>
    </w:p>
    <w:p w14:paraId="73212C5D" w14:textId="77777777" w:rsidR="00205CBC" w:rsidRDefault="00000000">
      <w:r>
        <w:rPr>
          <w:color w:val="1F4E9E"/>
        </w:rPr>
        <w:t xml:space="preserve">A second channel works in the same direction and is not covered by the argument above. The delay window is timed from stimulus offset, not from the crossing of </w:t>
      </w:r>
      <m:oMath>
        <m:r>
          <w:rPr>
            <w:rFonts w:ascii="Cambria Math" w:hAnsi="Cambria Math"/>
            <w:color w:val="1F4E9E"/>
          </w:rPr>
          <m:t xml:space="preserve">θ</m:t>
        </m:r>
      </m:oMath>
      <w:r>
        <w:rPr>
          <w:color w:val="1F4E9E"/>
        </w:rPr>
        <w:t xml:space="preserve">, and the crossing occurs earlier at higher coherence. Capped trials at high coherence have therefore been in maintenance longer when the window opens, their variance has filled in further, and their rate is correspondingly higher — a residual coherence effect among capped trials, larger after the long stimulus than after the short one. It vanishes once the fluctuation is stationary well before the window opens, and so bites only at small </w:t>
      </w:r>
      <m:oMath>
        <m:r>
          <w:rPr>
            <w:rFonts w:ascii="Cambria Math" w:hAnsi="Cambria Math"/>
            <w:color w:val="1F4E9E"/>
          </w:rPr>
          <m:t xml:space="preserve">κ</m:t>
        </m:r>
      </m:oMath>
      <w:r>
        <w:rPr>
          <w:color w:val="1F4E9E"/>
        </w:rPr>
        <w:t xml:space="preserve">, which is the regime in which Model 1 can produce any ramp at all. Its size, and the frequency with which either failure occurs over the admissible space, are reported in Results (Delay-locked). ∎</w:t>
      </w:r>
    </w:p>
    <w:p w14:paraId="73212C5D" w14:textId="77777777" w:rsidR="00205CBC" w:rsidRDefault="00000000">
      <w:r>
        <w:rPr>
          <w:color w:val="1F4E9E"/>
        </w:rPr>
        <w:t xml:space="preserve">Remark A.4. Corollary A.2 and Proposition A.3 pull in opposite directions on the coherence dependence of the delay-period rate, and are consistent. A.3 concerns the rate itself, whose coherence dependence saturates; A.2 concerns the slope of its logarithm, which remains coherence-dependent — shallower where the rate is higher — precisely because the distance to the gate is smaller there. A residual coherence dependence of the log-rate slope is a signature of saturated maintenance, not of continued evidence accumulation.</w:t>
      </w:r>
    </w:p>
    <w:p w14:paraId="73212C5D" w14:textId="77777777" w:rsidR="00205CBC" w:rsidRDefault="00000000">
      <w:r>
        <w:rPr>
          <w:color w:val="1F4E9E"/>
        </w:rPr>
        <w:t xml:space="preserve">Corollary A.5 (Model 1 cannot ramp and activate at the same rate). Under Model 1 any delay-period ramp exists only by virtue of the non-stationarity of </w:t>
      </w:r>
      <m:oMath>
        <m:r>
          <w:rPr>
            <w:rFonts w:ascii="Cambria Math" w:hAnsi="Cambria Math"/>
            <w:color w:val="1F4E9E"/>
          </w:rPr>
          <m:t xml:space="preserve">H</m:t>
        </m:r>
      </m:oMath>
      <w:r>
        <w:rPr>
          <w:color w:val="1F4E9E"/>
        </w:rPr>
        <w:t xml:space="preserve">, and it is traded off against the rate itself, the trade-off being carried by the standardized distance. Proof. Maintenance begins with the filtered signal exactly at its target and the Ornstein–Uhlenbeck input at its own mean, so </w:t>
      </w:r>
      <m:oMath>
        <m:r>
          <w:rPr>
            <w:rFonts w:ascii="Cambria Math" w:hAnsi="Cambria Math"/>
            <w:color w:val="1F4E9E"/>
          </w:rPr>
          <m:t xml:space="preserve">H</m:t>
        </m:r>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with zero variance and the moments (15) and (16) relax to their stationary limits from below. Set </w:t>
      </w:r>
      <m:oMath>
        <m:r>
          <w:rPr>
            <w:rFonts w:ascii="Cambria Math" w:hAnsi="Cambria Math"/>
            <w:color w:val="1F4E9E"/>
          </w:rPr>
          <m:t xml:space="preserve">β</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(21) and drop the covariance term — take </w:t>
      </w:r>
      <m:oMath>
        <m:r>
          <w:rPr>
            <w:rFonts w:ascii="Cambria Math" w:hAnsi="Cambria Math"/>
            <w:color w:val="1F4E9E"/>
          </w:rPr>
          <m:t xml:space="preserve">M</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and </w:t>
      </w:r>
      <m:oMath>
        <m:r>
          <w:rPr>
            <w:rFonts w:ascii="Cambria Math" w:hAnsi="Cambria Math"/>
            <w:color w:val="1F4E9E"/>
          </w:rPr>
          <m:t xml:space="preserve">S</m:t>
        </m:r>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in (20), which is exact at stationarity. Writing </w:t>
      </w:r>
      <m:oMath>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and </w:t>
      </w:r>
      <m:oMath>
        <m:r>
          <w:rPr>
            <w:rFonts w:ascii="Cambria Math" w:hAnsi="Cambria Math"/>
            <w:color w:val="1F4E9E"/>
          </w:rPr>
          <m:t xml:space="preserve">a</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w:rPr>
            <w:rFonts w:ascii="Cambria Math" w:hAnsi="Cambria Math"/>
            <w:color w:val="1F4E9E"/>
          </w:rPr>
          <m:t xml:space="preserve">d</m:t>
        </m:r>
        <m:r>
          <m:rPr>
            <m:nor/>
          </m:rPr>
          <w:rPr>
            <w:rFonts w:ascii="Cambria Math" w:hAnsi="Cambria Math"/>
            <w:color w:val="1F4E9E"/>
          </w:rPr>
          <m:t xml:space="preserve">/</m:t>
        </m:r>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with </w:t>
      </w:r>
      <m:oMath>
        <m:r>
          <w:rPr>
            <w:rFonts w:ascii="Cambria Math" w:hAnsi="Cambria Math"/>
            <w:color w:val="1F4E9E"/>
          </w:rPr>
          <m:t xml:space="preserve">d</m:t>
        </m:r>
      </m:oMath>
      <w:r>
        <w:rPr>
          <w:color w:val="1F4E9E"/>
        </w:rPr>
        <w:t xml:space="preserve"> constant, </w:t>
      </w:r>
      <m:oMath>
        <m:r>
          <m:rPr>
            <m:nor/>
          </m:rPr>
          <w:rPr>
            <w:rFonts w:ascii="Cambria Math" w:hAnsi="Cambria Math"/>
            <w:color w:val="1F4E9E"/>
          </w:rPr>
          <m:t xml:space="preserve">ln</m:t>
        </m:r>
        <m:r>
          <w:rPr>
            <w:rFonts w:ascii="Cambria Math" w:hAnsi="Cambria Math"/>
            <w:color w:val="1F4E9E"/>
          </w:rPr>
          <m:t xml:space="preserve">ν</m:t>
        </m:r>
        <m:r>
          <m:rPr>
            <m:nor/>
          </m:rPr>
          <w:rPr>
            <w:rFonts w:ascii="Cambria Math" w:hAnsi="Cambria Math"/>
            <w:color w:val="1F4E9E"/>
          </w:rPr>
          <m:t xml:space="preserve">=</m:t>
        </m:r>
        <m:r>
          <m:rPr>
            <m:nor/>
          </m:rPr>
          <w:rPr>
            <w:rFonts w:ascii="Cambria Math" w:hAnsi="Cambria Math"/>
            <w:color w:val="1F4E9E"/>
          </w:rPr>
          <m:t xml:space="preserve">ln</m:t>
        </m:r>
        <m:d>
          <m:dPr>
            <m:begChr m:val="["/>
            <m:endChr m:val="]"/>
            <m:ctrlPr/>
          </m:dPr>
          <m:e>
            <m:r>
              <w:rPr>
                <w:rFonts w:ascii="Cambria Math" w:hAnsi="Cambria Math"/>
                <w:color w:val="1F4E9E"/>
              </w:rPr>
              <m:t xml:space="preserve">ω</m:t>
            </m:r>
            <m:d>
              <m:dPr>
                <m:begChr m:val="("/>
                <m:endChr m:val=")"/>
                <m:ctrlPr/>
              </m:dPr>
              <m:e>
                <m:r>
                  <w:rPr>
                    <w:rFonts w:ascii="Cambria Math" w:hAnsi="Cambria Math"/>
                    <w:color w:val="1F4E9E"/>
                  </w:rPr>
                  <m:t xml:space="preserve">τ</m:t>
                </m:r>
              </m:e>
            </m:d>
            <m:r>
              <m:rPr>
                <m:nor/>
              </m:rPr>
              <w:rPr>
                <w:rFonts w:ascii="Cambria Math" w:hAnsi="Cambria Math"/>
                <w:color w:val="1F4E9E"/>
              </w:rPr>
              <m:t xml:space="preserve">/</m:t>
            </m:r>
            <m:r>
              <m:rPr>
                <m:nor/>
              </m:rPr>
              <w:rPr>
                <w:rFonts w:ascii="Cambria Math" w:hAnsi="Cambria Math"/>
                <w:color w:val="1F4E9E"/>
              </w:rPr>
              <m:t xml:space="preserve">2</m:t>
            </m:r>
            <m:r>
              <w:rPr>
                <w:rFonts w:ascii="Cambria Math" w:hAnsi="Cambria Math"/>
                <w:color w:val="1F4E9E"/>
              </w:rPr>
              <m:t xml:space="preserve">π</m:t>
            </m:r>
          </m:e>
        </m:d>
        <m:r>
          <m:rPr>
            <m:nor/>
          </m:rPr>
          <w:rPr>
            <w:rFonts w:ascii="Cambria Math" w:hAnsi="Cambria Math"/>
            <w:color w:val="1F4E9E"/>
          </w:rPr>
          <m:t xml:space="preserve">-</m:t>
        </m:r>
        <m:r>
          <w:rPr>
            <w:rFonts w:ascii="Cambria Math" w:hAnsi="Cambria Math"/>
            <w:color w:val="1F4E9E"/>
          </w:rPr>
          <m:t xml:space="preserve">a</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and</w:t>
      </w:r>
    </w:p>
    <w:p w14:paraId="73212C5D" w14:textId="77777777" w:rsidR="00205CBC" w:rsidRDefault="00000000">
      <m:oMathPara>
        <m:oMath>
          <m:eqArr>
            <m:eqArrPr>
              <m:maxDist m:val="1"/>
              <m:ctrlPr/>
            </m:eqArrPr>
            <m:e>
              <m:f>
                <m:fPr>
                  <m:ctrlPr/>
                </m:fPr>
                <m:num>
                  <m:r>
                    <m:rPr>
                      <m:nor/>
                    </m:rPr>
                    <w:rPr>
                      <w:rFonts w:ascii="Cambria Math" w:hAnsi="Cambria Math"/>
                      <w:color w:val="1F4E9E"/>
                    </w:rPr>
                    <m:t xml:space="preserve">d</m:t>
                  </m:r>
                  <m:d>
                    <m:dPr>
                      <m:begChr m:val="("/>
                      <m:endChr m:val=")"/>
                      <m:ctrlPr/>
                    </m:dPr>
                    <m:e>
                      <m:r>
                        <m:rPr>
                          <m:nor/>
                        </m:rPr>
                        <w:rPr>
                          <w:rFonts w:ascii="Cambria Math" w:hAnsi="Cambria Math"/>
                          <w:color w:val="1F4E9E"/>
                        </w:rPr>
                        <m:t xml:space="preserve">ln</m:t>
                      </m:r>
                      <m:r>
                        <w:rPr>
                          <w:rFonts w:ascii="Cambria Math" w:hAnsi="Cambria Math"/>
                          <w:color w:val="1F4E9E"/>
                        </w:rPr>
                        <m:t xml:space="preserve">ν</m:t>
                      </m:r>
                    </m:e>
                  </m:d>
                </m:num>
                <m:den>
                  <m:r>
                    <m:rPr>
                      <m:nor/>
                    </m:rPr>
                    <w:rPr>
                      <w:rFonts w:ascii="Cambria Math" w:hAnsi="Cambria Math"/>
                      <w:color w:val="1F4E9E"/>
                    </w:rPr>
                    <m:t xml:space="preserve">d</m:t>
                  </m:r>
                  <m:r>
                    <w:rPr>
                      <w:rFonts w:ascii="Cambria Math" w:hAnsi="Cambria Math"/>
                      <w:color w:val="1F4E9E"/>
                    </w:rPr>
                    <m:t xml:space="preserve">τ</m:t>
                  </m:r>
                </m:den>
              </m:f>
              <m:r>
                <m:rPr>
                  <m:nor/>
                </m:rPr>
                <w:rPr>
                  <w:rFonts w:ascii="Cambria Math" w:hAnsi="Cambria Math"/>
                  <w:color w:val="1F4E9E"/>
                </w:rPr>
                <m:t xml:space="preserve">=</m:t>
              </m:r>
              <m:f>
                <m:fPr>
                  <m:ctrlPr/>
                </m:fPr>
                <m:num>
                  <m:r>
                    <m:rPr>
                      <m:nor/>
                    </m:rPr>
                    <w:rPr>
                      <w:rFonts w:ascii="Cambria Math" w:hAnsi="Cambria Math"/>
                      <w:color w:val="1F4E9E"/>
                    </w:rPr>
                    <m:t xml:space="preserve">1</m:t>
                  </m:r>
                </m:num>
                <m:den>
                  <m:r>
                    <m:rPr>
                      <m:nor/>
                    </m:rPr>
                    <w:rPr>
                      <w:rFonts w:ascii="Cambria Math" w:hAnsi="Cambria Math"/>
                      <w:color w:val="1F4E9E"/>
                    </w:rPr>
                    <m:t xml:space="preserve">2</m:t>
                  </m:r>
                </m:den>
              </m:f>
              <m:d>
                <m:dPr>
                  <m:begChr m:val="["/>
                  <m:endChr m:val="]"/>
                  <m:ctrlPr/>
                </m:d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den>
                  </m:f>
                  <m:r>
                    <m:rPr>
                      <m:nor/>
                    </m:rPr>
                    <w:rPr>
                      <w:rFonts w:ascii="Cambria Math" w:hAnsi="Cambria Math"/>
                      <w:color w:val="1F4E9E"/>
                    </w:rPr>
                    <m:t xml:space="preserve">-</m:t>
                  </m:r>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e>
              </m:d>
              <m:r>
                <m:rPr>
                  <m:nor/>
                </m:rPr>
                <w:rPr>
                  <w:rFonts w:ascii="Cambria Math" w:hAnsi="Cambria Math"/>
                  <w:color w:val="1F4E9E"/>
                </w:rPr>
                <m:t xml:space="preserve">+</m:t>
              </m:r>
              <m:f>
                <m:fPr>
                  <m:ctrlPr/>
                </m:fPr>
                <m:num>
                  <m:sSup>
                    <m:sSupPr>
                      <m:ctrlPr/>
                    </m:sSupPr>
                    <m:e>
                      <m:r>
                        <w:rPr>
                          <w:rFonts w:ascii="Cambria Math" w:hAnsi="Cambria Math"/>
                          <w:color w:val="1F4E9E"/>
                        </w:rPr>
                        <m:t xml:space="preserve">a</m:t>
                      </m:r>
                    </m:e>
                    <m:sup>
                      <m:r>
                        <m:rPr>
                          <m:nor/>
                        </m:rPr>
                        <w:rPr>
                          <w:rFonts w:ascii="Cambria Math" w:hAnsi="Cambria Math"/>
                          <w:color w:val="1F4E9E"/>
                        </w:rPr>
                        <m:t xml:space="preserve">2</m:t>
                      </m:r>
                    </m:sup>
                  </m:sSup>
                </m:num>
                <m:den>
                  <m:r>
                    <m:rPr>
                      <m:nor/>
                    </m:rPr>
                    <w:rPr>
                      <w:rFonts w:ascii="Cambria Math" w:hAnsi="Cambria Math"/>
                      <w:color w:val="1F4E9E"/>
                    </w:rPr>
                    <m:t xml:space="preserve">2</m:t>
                  </m:r>
                </m:den>
              </m:f>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6</m:t>
                  </m:r>
                </m:e>
              </m:d>
            </m:e>
          </m:eqArr>
        </m:oMath>
      </m:oMathPara>
    </w:p>
    <w:p w14:paraId="73212C5D" w14:textId="77777777" w:rsidR="00205CBC" w:rsidRDefault="00000000">
      <w:r>
        <w:rPr>
          <w:color w:val="1F4E9E"/>
        </w:rPr>
        <w:t xml:space="preserve">The second term is positive — the variance is still filling in — and is what produces the ramp. The first is negative throughout the analyzed window, and by a margin that can be read off (15) and (16): both variances carry both modes, but the slow mode enters </w:t>
      </w:r>
      <m:oMath>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oMath>
      <w:r>
        <w:rPr>
          <w:color w:val="1F4E9E"/>
        </w:rPr>
        <w:t xml:space="preserve"> with relative weight </w:t>
      </w:r>
      <m:oMath>
        <m:r>
          <w:rPr>
            <w:rFonts w:ascii="Cambria Math" w:hAnsi="Cambria Math"/>
            <w:color w:val="1F4E9E"/>
          </w:rPr>
          <m:t xml:space="preserve">κ</m:t>
        </m:r>
        <m:r>
          <m:rPr>
            <m:nor/>
          </m:rPr>
          <w:rPr>
            <w:rFonts w:ascii="Cambria Math" w:hAnsi="Cambria Math"/>
            <w:color w:val="1F4E9E"/>
          </w:rPr>
          <m:t xml:space="preserve">/</m:t>
        </m:r>
        <m:d>
          <m:dPr>
            <m:begChr m:val="("/>
            <m:endChr m:val=")"/>
            <m:ctrlPr/>
          </m:dPr>
          <m:e>
            <m:r>
              <w:rPr>
                <w:rFonts w:ascii="Cambria Math" w:hAnsi="Cambria Math"/>
                <w:color w:val="1F4E9E"/>
              </w:rPr>
              <m:t xml:space="preserve">λ</m:t>
            </m:r>
            <m:r>
              <m:rPr>
                <m:nor/>
              </m:rPr>
              <w:rPr>
                <w:rFonts w:ascii="Cambria Math" w:hAnsi="Cambria Math"/>
                <w:color w:val="1F4E9E"/>
              </w:rPr>
              <m:t xml:space="preserve">+</m:t>
            </m:r>
            <m:r>
              <w:rPr>
                <w:rFonts w:ascii="Cambria Math" w:hAnsi="Cambria Math"/>
                <w:color w:val="1F4E9E"/>
              </w:rPr>
              <m:t xml:space="preserve">κ</m:t>
            </m:r>
          </m:e>
        </m:d>
      </m:oMath>
      <w:r>
        <w:rPr>
          <w:color w:val="1F4E9E"/>
        </w:rPr>
        <w:t xml:space="preserve"> and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oMath>
      <w:r>
        <w:rPr>
          <w:color w:val="1F4E9E"/>
        </w:rPr>
        <w:t xml:space="preserve"> with relative weight of order one, so once the fast mode has died the first bracket is smaller than the second by about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Two consequences follow. At </w:t>
      </w:r>
      <m:oMath>
        <m:r>
          <w:rPr>
            <w:rFonts w:ascii="Cambria Math" w:hAnsi="Cambria Math"/>
            <w:color w:val="1F4E9E"/>
          </w:rPr>
          <m:t xml:space="preserve">a</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 where the ceiling of A.1 is attained — the slope is strictly negative: the configuration that maximizes Model 1’s delay-period rate is one in which that rate declines, so the ceiling is not the binding constraint. And a positive slope requires </w:t>
      </w:r>
      <m:oMath>
        <m:r>
          <w:rPr>
            <w:rFonts w:ascii="Cambria Math" w:hAnsi="Cambria Math"/>
            <w:color w:val="1F4E9E"/>
          </w:rPr>
          <m:t xml:space="preserve">a</m:t>
        </m:r>
        <m:r>
          <m:rPr>
            <m:nor/>
          </m:rPr>
          <w:rPr>
            <w:rFonts w:ascii="Cambria Math" w:hAnsi="Cambria Math"/>
            <w:color w:val="1F4E9E"/>
          </w:rPr>
          <m:t xml:space="preserve">&gt;</m:t>
        </m:r>
        <m:r>
          <m:rPr>
            <m:nor/>
          </m:rPr>
          <w:rPr>
            <w:rFonts w:ascii="Cambria Math" w:hAnsi="Cambria Math"/>
            <w:color w:val="1F4E9E"/>
          </w:rPr>
          <m:t xml:space="preserve">1</m:t>
        </m:r>
      </m:oMath>
      <w:r>
        <w:rPr>
          <w:color w:val="1F4E9E"/>
        </w:rPr>
        <w:t xml:space="preserve"> to good approximation, while by (23) every further unit of standardized distance costs a factor </w:t>
      </w:r>
      <m:oMath>
        <m:sSup>
          <m:sSupPr>
            <m:ctrlPr/>
          </m:sSupPr>
          <m:e>
            <m:r>
              <w:rPr>
                <w:rFonts w:ascii="Cambria Math" w:hAnsi="Cambria Math"/>
                <w:color w:val="1F4E9E"/>
              </w:rPr>
              <m:t xml:space="preserve">e</m:t>
            </m:r>
          </m:e>
          <m:sup>
            <m:r>
              <m:rPr>
                <m:nor/>
              </m:rPr>
              <w:rPr>
                <w:rFonts w:ascii="Cambria Math" w:hAnsi="Cambria Math"/>
                <w:color w:val="1F4E9E"/>
              </w:rPr>
              <m:t xml:space="preserve">-</m:t>
            </m:r>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sup>
        </m:sSup>
      </m:oMath>
      <w:r>
        <w:rPr>
          <w:color w:val="1F4E9E"/>
        </w:rPr>
        <w:t xml:space="preserve"> in the rate. Ramp and rate are governed by the same quantity in opposite directions. The covariance term dropped above is non-negative, so it raises the rate at every distance without changing which distances give a rising one, and it is retained in the numerical evaluation. Where </w:t>
      </w:r>
      <m:oMath>
        <m:r>
          <w:rPr>
            <w:rFonts w:ascii="Cambria Math" w:hAnsi="Cambria Math"/>
            <w:color w:val="1F4E9E"/>
          </w:rPr>
          <m:t xml:space="preserve">κ</m:t>
        </m:r>
        <m:r>
          <m:rPr>
            <m:nor/>
          </m:rPr>
          <w:rPr>
            <w:rFonts w:ascii="Cambria Math" w:hAnsi="Cambria Math"/>
            <w:color w:val="1F4E9E"/>
          </w:rPr>
          <m:t xml:space="preserve">=</m:t>
        </m:r>
        <m:r>
          <w:rPr>
            <w:rFonts w:ascii="Cambria Math" w:hAnsi="Cambria Math"/>
            <w:color w:val="1F4E9E"/>
          </w:rPr>
          <m:t xml:space="preserve">λ</m:t>
        </m:r>
      </m:oMath>
      <w:r>
        <w:rPr>
          <w:color w:val="1F4E9E"/>
        </w:rPr>
        <w:t xml:space="preserve"> the margin argued above is absent, both terms being of the same order; but there the fluctuation is stationary long before the window opens, both terms are negligible, and the slope is flat. ∎</w:t>
      </w:r>
    </w:p>
    <w:p w14:paraId="73212C5D" w14:textId="77777777" w:rsidR="00205CBC" w:rsidRDefault="00000000">
      <w:r>
        <w:rPr>
          <w:color w:val="1F4E9E"/>
        </w:rPr>
        <w:t xml:space="preserve">Remark A.6 (the same trade-off for Model 2). Temporal preparation moves the barrier: with </w:t>
      </w:r>
      <m:oMath>
        <m:r>
          <w:rPr>
            <w:rFonts w:ascii="Cambria Math" w:hAnsi="Cambria Math"/>
            <w:color w:val="1F4E9E"/>
          </w:rPr>
          <m:t xml:space="preserve">d</m:t>
        </m:r>
        <m:d>
          <m:dPr>
            <m:begChr m:val="("/>
            <m:endChr m:val=")"/>
            <m:ctrlPr/>
          </m:dPr>
          <m:e>
            <m:r>
              <w:rPr>
                <w:rFonts w:ascii="Cambria Math" w:hAnsi="Cambria Math"/>
                <w:color w:val="1F4E9E"/>
              </w:rPr>
              <m:t xml:space="preserve">τ</m:t>
            </m:r>
          </m:e>
        </m:d>
      </m:oMath>
      <w:r>
        <w:rPr>
          <w:color w:val="1F4E9E"/>
        </w:rPr>
        <w:t xml:space="preserve"> falling at the constant speed </w:t>
      </w:r>
      <m:oMath>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by (12), the Kac–Rice formula (19) is unchanged except that the relevant derivative is </w:t>
      </w:r>
      <m:oMath>
        <m:acc>
          <m:accPr>
            <m:chr m:val="̇"/>
            <m:ctrlPr/>
          </m:accPr>
          <m:e>
            <m:r>
              <w:rPr>
                <w:rFonts w:ascii="Cambria Math" w:hAnsi="Cambria Math"/>
                <w:color w:val="1F4E9E"/>
              </w:rPr>
              <m:t xml:space="preserve">H</m:t>
            </m:r>
          </m:e>
        </m:acc>
        <m:r>
          <m:rPr>
            <m:nor/>
          </m:rPr>
          <w:rPr>
            <w:rFonts w:ascii="Cambria Math" w:hAnsi="Cambria Math"/>
            <w:color w:val="1F4E9E"/>
          </w:rPr>
          <m:t xml:space="preserve">-</m:t>
        </m:r>
        <m:acc>
          <m:accPr>
            <m:chr m:val="̇"/>
            <m:ctrlPr/>
          </m:accPr>
          <m:e>
            <m:r>
              <w:rPr>
                <w:rFonts w:ascii="Cambria Math" w:hAnsi="Cambria Math"/>
                <w:color w:val="1F4E9E"/>
              </w:rPr>
              <m:t xml:space="preserve">d</m:t>
            </m:r>
          </m:e>
        </m:acc>
        <m:r>
          <m:rPr>
            <m:nor/>
          </m:rPr>
          <w:rPr>
            <w:rFonts w:ascii="Cambria Math" w:hAnsi="Cambria Math"/>
            <w:color w:val="1F4E9E"/>
          </w:rPr>
          <m:t xml:space="preserve">=</m:t>
        </m:r>
        <m:acc>
          <m:accPr>
            <m:chr m:val="̇"/>
            <m:ctrlPr/>
          </m:accPr>
          <m:e>
            <m:r>
              <w:rPr>
                <w:rFonts w:ascii="Cambria Math" w:hAnsi="Cambria Math"/>
                <w:color w:val="1F4E9E"/>
              </w:rPr>
              <m:t xml:space="preserve">H</m:t>
            </m:r>
          </m:e>
        </m:acc>
        <m:r>
          <m:rPr>
            <m:nor/>
          </m:rPr>
          <w:rPr>
            <w:rFonts w:ascii="Cambria Math" w:hAnsi="Cambria Math"/>
            <w:color w:val="1F4E9E"/>
          </w:rPr>
          <m:t xml:space="preserve">+</m:t>
        </m:r>
        <m:r>
          <w:rPr>
            <w:rFonts w:ascii="Cambria Math" w:hAnsi="Cambria Math"/>
            <w:color w:val="1F4E9E"/>
          </w:rPr>
          <m:t xml:space="preserve">β</m:t>
        </m:r>
        <m:r>
          <m:rPr>
            <m:nor/>
          </m:rPr>
          <w:rPr>
            <w:rFonts w:ascii="Cambria Math" w:hAnsi="Cambria Math"/>
            <w:color w:val="1F4E9E"/>
          </w:rPr>
          <m:t xml:space="preserve">/</m:t>
        </m:r>
        <m:r>
          <w:rPr>
            <w:rFonts w:ascii="Cambria Math" w:hAnsi="Cambria Math"/>
            <w:color w:val="1F4E9E"/>
          </w:rPr>
          <m:t xml:space="preserve">δ</m:t>
        </m:r>
      </m:oMath>
      <w:r>
        <w:rPr>
          <w:color w:val="1F4E9E"/>
        </w:rPr>
        <w:t xml:space="preserve">, which shifts the conditional mean </w:t>
      </w:r>
      <m:oMath>
        <m:r>
          <w:rPr>
            <w:rFonts w:ascii="Cambria Math" w:hAnsi="Cambria Math"/>
            <w:color w:val="1F4E9E"/>
          </w:rPr>
          <m:t xml:space="preserve">M</m:t>
        </m:r>
      </m:oMath>
      <w:r>
        <w:rPr>
          <w:color w:val="1F4E9E"/>
        </w:rPr>
        <w:t xml:space="preserve"> of (20) and leaves the density at the barrier alone. The same computation therefore gives Model 2’s attainable region, with one addition: the calculation knows nothing of admissibility, and an unbounded ramp would give an unbounded slope, whereas in the model a ramp large enough to carry the signal past the response criterion during the delay produces premature responses and is rejected. The ramp must therefore be bounded by hand; the bound used, and what it excludes, are stated in Results.</w:t>
      </w:r>
    </w:p>
    <w:p w14:paraId="73212C5D" w14:textId="77777777" w:rsidR="00205CBC" w:rsidRDefault="00000000">
      <w:r>
        <w:rPr>
          <w:color w:val="1F4E9E"/>
        </w:rPr>
        <w:t xml:space="preserve">Remark A.7 (the slope must be estimated as the data’s slope is estimated). A comparison between a model quantity and an observed one requires the two to be the same functional of the rate curve. The observed slope is the coefficient of an offset-Poisson regression of the partial-activation counts on time over the bins of the window; the model quantity is therefore obtained by evaluating </w:t>
      </w:r>
      <m:oMath>
        <m:r>
          <w:rPr>
            <w:rFonts w:ascii="Cambria Math" w:hAnsi="Cambria Math"/>
            <w:color w:val="1F4E9E"/>
          </w:rPr>
          <m:t xml:space="preserve">ν</m:t>
        </m:r>
      </m:oMath>
      <w:r>
        <w:rPr>
          <w:color w:val="1F4E9E"/>
        </w:rPr>
        <w:t xml:space="preserve"> at those same bins and fitting the same regression, not by taking the secant between the ends of the window. The distinction matters under Model 1, whose log-rate is strongly concave by (26): the regression weights the late, event-rich bins, where the variance transient has already flattened. Using the secant would credit Model 1 with a ramp its own data analysis would not have measured.</w:t>
      </w:r>
    </w:p>
    <w:p w14:paraId="73212C5D" w14:textId="77777777" w:rsidR="00205CBC" w:rsidRDefault="00000000">
      <w:r>
        <w:rPr>
          <w:color w:val="1F4E9E"/>
        </w:rPr>
        <w:t xml:space="preserve">Corollary A.8 (a bound at one distance bounds a mixture of distances). Within a participant </w:t>
      </w:r>
      <m:oMath>
        <m:r>
          <w:rPr>
            <w:rFonts w:ascii="Cambria Math" w:hAnsi="Cambria Math"/>
            <w:color w:val="1F4E9E"/>
          </w:rPr>
          <m:t xml:space="preserve">κ</m:t>
        </m:r>
      </m:oMath>
      <w:r>
        <w:rPr>
          <w:color w:val="1F4E9E"/>
        </w:rPr>
        <w:t xml:space="preserve">, </w:t>
      </w:r>
      <m:oMath>
        <m:r>
          <w:rPr>
            <w:rFonts w:ascii="Cambria Math" w:hAnsi="Cambria Math"/>
            <w:color w:val="1F4E9E"/>
          </w:rPr>
          <m:t xml:space="preserve">λ</m:t>
        </m:r>
      </m:oMath>
      <w:r>
        <w:rPr>
          <w:color w:val="1F4E9E"/>
        </w:rPr>
        <w:t xml:space="preserve"> and </w:t>
      </w:r>
      <m:oMath>
        <m:sSub>
          <m:sSubPr>
            <m:ctrlPr/>
          </m:sSubPr>
          <m:e>
            <m:r>
              <w:rPr>
                <w:rFonts w:ascii="Cambria Math" w:hAnsi="Cambria Math"/>
                <w:color w:val="1F4E9E"/>
              </w:rPr>
              <m:t xml:space="preserve">σ</m:t>
            </m:r>
          </m:e>
          <m:sub>
            <m:r>
              <w:rPr>
                <w:rFonts w:ascii="Cambria Math" w:hAnsi="Cambria Math"/>
                <w:color w:val="1F4E9E"/>
              </w:rPr>
              <m:t xml:space="preserve">H</m:t>
            </m:r>
          </m:sub>
        </m:sSub>
      </m:oMath>
      <w:r>
        <w:rPr>
          <w:color w:val="1F4E9E"/>
        </w:rPr>
        <w:t xml:space="preserve"> are the same on every trial, but the maintained level is not — it is </w:t>
      </w:r>
      <m:oMath>
        <m:r>
          <w:rPr>
            <w:rFonts w:ascii="Cambria Math" w:hAnsi="Cambria Math"/>
            <w:color w:val="1F4E9E"/>
          </w:rPr>
          <m:t xml:space="preserve">θ</m:t>
        </m:r>
      </m:oMath>
      <w:r>
        <w:rPr>
          <w:color w:val="1F4E9E"/>
        </w:rPr>
        <w:t xml:space="preserve"> on trials that reached the internal threshold and </w:t>
      </w:r>
      <m:oMath>
        <m:r>
          <w:rPr>
            <w:rFonts w:ascii="Cambria Math" w:hAnsi="Cambria Math"/>
            <w:color w:val="1F4E9E"/>
          </w:rPr>
          <m:t xml:space="preserve">y</m:t>
        </m:r>
        <m:d>
          <m:dPr>
            <m:begChr m:val="("/>
            <m:endChr m:val=")"/>
            <m:ctrlPr/>
          </m:dPr>
          <m:e>
            <m:sSub>
              <m:sSubPr>
                <m:ctrlPr/>
              </m:sSubPr>
              <m:e>
                <m:r>
                  <w:rPr>
                    <w:rFonts w:ascii="Cambria Math" w:hAnsi="Cambria Math"/>
                    <w:color w:val="1F4E9E"/>
                  </w:rPr>
                  <m:t xml:space="preserve">t</m:t>
                </m:r>
              </m:e>
              <m:sub>
                <m:r>
                  <m:rPr>
                    <m:nor/>
                  </m:rPr>
                  <w:rPr>
                    <w:rFonts w:ascii="Cambria Math" w:hAnsi="Cambria Math"/>
                    <w:color w:val="1F4E9E"/>
                  </w:rPr>
                  <m:t xml:space="preserve">offset</m:t>
                </m:r>
              </m:sub>
            </m:sSub>
          </m:e>
        </m:d>
      </m:oMath>
      <w:r>
        <w:rPr>
          <w:color w:val="1F4E9E"/>
        </w:rPr>
        <w:t xml:space="preserve"> on the rest — so the measured rate is a mixture over the distance </w:t>
      </w:r>
      <m:oMath>
        <m:r>
          <w:rPr>
            <w:rFonts w:ascii="Cambria Math" w:hAnsi="Cambria Math"/>
            <w:color w:val="1F4E9E"/>
          </w:rPr>
          <m:t xml:space="preserve">d</m:t>
        </m:r>
      </m:oMath>
      <w:r>
        <w:rPr>
          <w:color w:val="1F4E9E"/>
        </w:rPr>
        <w:t xml:space="preserve">, and a bound proved at a single distance does not automatically bound a mixture. It does here, because the maximization is a linear programme. Fix the mixture’s rate at the end of the window,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e>
        </m:nary>
        <m:r>
          <m:rPr>
            <m:nor/>
          </m:rPr>
          <w:rPr>
            <w:rFonts w:ascii="Cambria Math" w:hAnsi="Cambria Math"/>
            <w:color w:val="1F4E9E"/>
          </w:rPr>
          <m:t xml:space="preserve">=</m:t>
        </m:r>
        <m:r>
          <w:rPr>
            <w:rFonts w:ascii="Cambria Math" w:hAnsi="Cambria Math"/>
            <w:color w:val="1F4E9E"/>
          </w:rPr>
          <m:t xml:space="preserve">R</m:t>
        </m:r>
      </m:oMath>
      <w:r>
        <w:rPr>
          <w:color w:val="1F4E9E"/>
        </w:rPr>
        <w:t xml:space="preserve">. Maximizing the mixture’s log-rate slope then means minimizing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nary>
      </m:oMath>
      <w:r>
        <w:rPr>
          <w:color w:val="1F4E9E"/>
        </w:rPr>
        <w:t xml:space="preserve"> subject to that constraint and to </w:t>
      </w:r>
      <m:oMath>
        <m:nary>
          <m:naryPr>
            <m:chr m:val="∑"/>
            <m:limLoc m:val="undOvr"/>
            <m:subHide m:val="0"/>
            <m:supHide m:val="1"/>
            <m:ctrlPr/>
          </m:naryPr>
          <m:sub>
            <m:r>
              <w:rPr>
                <w:rFonts w:ascii="Cambria Math" w:hAnsi="Cambria Math"/>
                <w:color w:val="1F4E9E"/>
              </w:rPr>
              <m:t xml:space="preserve">d</m:t>
            </m:r>
          </m:sub>
          <m:sup/>
          <m:e>
            <m:sSub>
              <m:sSubPr>
                <m:ctrlPr/>
              </m:sSubPr>
              <m:e>
                <m:r>
                  <w:rPr>
                    <w:rFonts w:ascii="Cambria Math" w:hAnsi="Cambria Math"/>
                    <w:color w:val="1F4E9E"/>
                  </w:rPr>
                  <m:t xml:space="preserve">p</m:t>
                </m:r>
              </m:e>
              <m:sub>
                <m:r>
                  <w:rPr>
                    <w:rFonts w:ascii="Cambria Math" w:hAnsi="Cambria Math"/>
                    <w:color w:val="1F4E9E"/>
                  </w:rPr>
                  <m:t xml:space="preserve">d</m:t>
                </m:r>
              </m:sub>
            </m:sSub>
          </m:e>
        </m:nary>
        <m:r>
          <m:rPr>
            <m:nor/>
          </m:rPr>
          <w:rPr>
            <w:rFonts w:ascii="Cambria Math" w:hAnsi="Cambria Math"/>
            <w:color w:val="1F4E9E"/>
          </w:rPr>
          <m:t xml:space="preserve">=</m:t>
        </m:r>
        <m:r>
          <m:rPr>
            <m:nor/>
          </m:rPr>
          <w:rPr>
            <w:rFonts w:ascii="Cambria Math" w:hAnsi="Cambria Math"/>
            <w:color w:val="1F4E9E"/>
          </w:rPr>
          <m:t xml:space="preserve">1</m:t>
        </m:r>
      </m:oMath>
      <w:r>
        <w:rPr>
          <w:color w:val="1F4E9E"/>
        </w:rPr>
        <w:t xml:space="preserve">: two equality constraints, so the optimum sits at a vertex of the simplex with at most two non-zero components, and the bound follows from the lower convex envelope of the planar curve </w:t>
      </w:r>
      <m:oMath>
        <m:r>
          <w:rPr>
            <w:rFonts w:ascii="Cambria Math" w:hAnsi="Cambria Math"/>
            <w:color w:val="1F4E9E"/>
          </w:rPr>
          <m:t xml:space="preserve">d</m:t>
        </m:r>
        <m:r>
          <m:rPr>
            <m:nor/>
          </m:rPr>
          <w:rPr>
            <w:rFonts w:ascii="Cambria Math" w:hAnsi="Cambria Math"/>
            <w:color w:val="1F4E9E"/>
          </w:rPr>
          <m:t xml:space="preserve">↦</m:t>
        </m:r>
        <m:d>
          <m:dPr>
            <m:begChr m:val="("/>
            <m:endChr m:val=")"/>
            <m:ctrlPr/>
          </m:dPr>
          <m:e>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1</m:t>
                    </m:r>
                  </m:sub>
                </m:sSub>
              </m:e>
            </m:d>
            <m:r>
              <m:rPr>
                <m:nor/>
              </m:rPr>
              <w:rPr>
                <w:rFonts w:ascii="Cambria Math" w:hAnsi="Cambria Math"/>
                <w:color w:val="1F4E9E"/>
              </w:rPr>
              <m:t xml:space="preserve">,</m:t>
            </m:r>
            <m:sSub>
              <m:sSubPr>
                <m:ctrlPr/>
              </m:sSubPr>
              <m:e>
                <m:r>
                  <w:rPr>
                    <w:rFonts w:ascii="Cambria Math" w:hAnsi="Cambria Math"/>
                    <w:color w:val="1F4E9E"/>
                  </w:rPr>
                  <m:t xml:space="preserve">ν</m:t>
                </m:r>
              </m:e>
              <m:sub>
                <m:r>
                  <w:rPr>
                    <w:rFonts w:ascii="Cambria Math" w:hAnsi="Cambria Math"/>
                    <w:color w:val="1F4E9E"/>
                  </w:rPr>
                  <m:t xml:space="preserve">d</m:t>
                </m:r>
              </m:sub>
            </m:sSub>
            <m:d>
              <m:dPr>
                <m:begChr m:val="("/>
                <m:endChr m:val=")"/>
                <m:ctrlPr/>
              </m:dPr>
              <m:e>
                <m:sSub>
                  <m:sSubPr>
                    <m:ctrlPr/>
                  </m:sSubPr>
                  <m:e>
                    <m:r>
                      <w:rPr>
                        <w:rFonts w:ascii="Cambria Math" w:hAnsi="Cambria Math"/>
                        <w:color w:val="1F4E9E"/>
                      </w:rPr>
                      <m:t xml:space="preserve">τ</m:t>
                    </m:r>
                  </m:e>
                  <m:sub>
                    <m:r>
                      <m:rPr>
                        <m:nor/>
                      </m:rPr>
                      <w:rPr>
                        <w:rFonts w:ascii="Cambria Math" w:hAnsi="Cambria Math"/>
                        <w:color w:val="1F4E9E"/>
                      </w:rPr>
                      <m:t xml:space="preserve">0</m:t>
                    </m:r>
                  </m:sub>
                </m:sSub>
              </m:e>
            </m:d>
          </m:e>
        </m:d>
      </m:oMath>
      <w:r>
        <w:rPr>
          <w:color w:val="1F4E9E"/>
        </w:rPr>
        <w:t xml:space="preserve">. Mixing over PARAMETERS is a different operation and does violate a single-draw bound; it is not the relevant one, because the observed slope is estimated within participant and condition and then averaged, not estimated on a profile pooled across participants. ∎</w:t>
      </w:r>
    </w:p>
    <w:p w14:paraId="73212C5D" w14:textId="77777777" w:rsidR="00205CBC" w:rsidRDefault="00000000">
      <w:r>
        <w:rPr>
          <w:color w:val="1F4E9E"/>
        </w:rPr>
        <w:t xml:space="preserve">Corollary A.9 (Model 1 cannot hold a ramp to the response signal). Under Model 1 the log-rate slope must decay across the analysis window. Proof. By (26) the ramp is carried by the relative rate of variance growth, and since </w:t>
      </w:r>
      <m:oMath>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sSup>
              <m:sSupPr>
                <m:ctrlPr/>
              </m:sSupPr>
              <m:e>
                <m:r>
                  <w:rPr>
                    <w:rFonts w:ascii="Cambria Math" w:hAnsi="Cambria Math"/>
                    <w:color w:val="1F4E9E"/>
                  </w:rPr>
                  <m:t xml:space="preserve">K</m:t>
                </m:r>
              </m:e>
              <m:sup>
                <m:r>
                  <m:rPr>
                    <m:nor/>
                  </m:rPr>
                  <w:rPr>
                    <w:rFonts w:ascii="Cambria Math" w:hAnsi="Cambria Math"/>
                    <w:color w:val="1F4E9E"/>
                  </w:rPr>
                  <m:t xml:space="preserve">2</m:t>
                </m:r>
              </m:sup>
            </m:sSup>
          </m:e>
        </m:nary>
      </m:oMath>
      <w:r>
        <w:rPr>
          <w:color w:val="1F4E9E"/>
        </w:rPr>
        <w:t xml:space="preserve"> that quantity has the exact form</w:t>
      </w:r>
    </w:p>
    <w:p w14:paraId="73212C5D" w14:textId="77777777" w:rsidR="00205CBC" w:rsidRDefault="00000000">
      <m:oMathPara>
        <m:oMath>
          <m:eqArr>
            <m:eqArrPr>
              <m:maxDist m:val="1"/>
              <m:ctrlPr/>
            </m:eqArrPr>
            <m:e>
              <m:f>
                <m:fPr>
                  <m:ctrlPr/>
                </m:fPr>
                <m:num>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d>
                    <m:dPr>
                      <m:begChr m:val="("/>
                      <m:endChr m:val=")"/>
                      <m:ctrlPr/>
                    </m:dPr>
                    <m:e>
                      <m:r>
                        <w:rPr>
                          <w:rFonts w:ascii="Cambria Math" w:hAnsi="Cambria Math"/>
                          <w:color w:val="1F4E9E"/>
                        </w:rPr>
                        <m:t xml:space="preserve">τ</m:t>
                      </m:r>
                    </m:e>
                  </m:d>
                </m:num>
                <m:den>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d>
                    <m:dPr>
                      <m:begChr m:val="("/>
                      <m:endChr m:val=")"/>
                      <m:ctrlPr/>
                    </m:dPr>
                    <m:e>
                      <m:r>
                        <w:rPr>
                          <w:rFonts w:ascii="Cambria Math" w:hAnsi="Cambria Math"/>
                          <w:color w:val="1F4E9E"/>
                        </w:rPr>
                        <m:t xml:space="preserve">τ</m:t>
                      </m:r>
                    </m:e>
                  </m:d>
                </m:den>
              </m:f>
              <m:r>
                <m:rPr>
                  <m:nor/>
                </m:rPr>
                <w:rPr>
                  <w:rFonts w:ascii="Cambria Math" w:hAnsi="Cambria Math"/>
                  <w:color w:val="1F4E9E"/>
                </w:rPr>
                <m:t xml:space="preserve">=</m:t>
              </m:r>
              <m:f>
                <m:fPr>
                  <m:ctrlPr/>
                </m:fPr>
                <m:num>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τ</m:t>
                          </m:r>
                        </m:e>
                      </m:d>
                    </m:e>
                    <m:sup>
                      <m:r>
                        <m:rPr>
                          <m:nor/>
                        </m:rPr>
                        <w:rPr>
                          <w:rFonts w:ascii="Cambria Math" w:hAnsi="Cambria Math"/>
                          <w:color w:val="1F4E9E"/>
                        </w:rPr>
                        <m:t xml:space="preserve">2</m:t>
                      </m:r>
                    </m:sup>
                  </m:sSup>
                </m:num>
                <m:den>
                  <m:nary>
                    <m:naryPr>
                      <m:chr m:val="∫"/>
                      <m:limLoc m:val="subSup"/>
                      <m:subHide m:val="0"/>
                      <m:supHide m:val="0"/>
                      <m:ctrlPr/>
                    </m:naryPr>
                    <m:sub>
                      <m:r>
                        <m:rPr>
                          <m:nor/>
                        </m:rPr>
                        <w:rPr>
                          <w:rFonts w:ascii="Cambria Math" w:hAnsi="Cambria Math"/>
                          <w:color w:val="1F4E9E"/>
                        </w:rPr>
                        <m:t xml:space="preserve">0</m:t>
                      </m:r>
                    </m:sub>
                    <m:sup>
                      <m:r>
                        <w:rPr>
                          <w:rFonts w:ascii="Cambria Math" w:hAnsi="Cambria Math"/>
                          <w:color w:val="1F4E9E"/>
                        </w:rPr>
                        <m:t xml:space="preserve">τ</m:t>
                      </m:r>
                    </m:sup>
                    <m:e>
                      <m:r>
                        <w:rPr>
                          <w:rFonts w:ascii="Cambria Math" w:hAnsi="Cambria Math"/>
                          <w:color w:val="1F4E9E"/>
                        </w:rPr>
                        <m:t xml:space="preserve">K</m:t>
                      </m:r>
                      <m:sSup>
                        <m:sSupPr>
                          <m:ctrlPr/>
                        </m:sSupPr>
                        <m:e>
                          <m:d>
                            <m:dPr>
                              <m:begChr m:val="("/>
                              <m:endChr m:val=")"/>
                              <m:ctrlPr/>
                            </m:dPr>
                            <m:e>
                              <m:r>
                                <w:rPr>
                                  <w:rFonts w:ascii="Cambria Math" w:hAnsi="Cambria Math"/>
                                  <w:color w:val="1F4E9E"/>
                                </w:rPr>
                                <m:t xml:space="preserve">v</m:t>
                              </m:r>
                            </m:e>
                          </m:d>
                        </m:e>
                        <m:sup>
                          <m:r>
                            <m:rPr>
                              <m:nor/>
                            </m:rPr>
                            <w:rPr>
                              <w:rFonts w:ascii="Cambria Math" w:hAnsi="Cambria Math"/>
                              <w:color w:val="1F4E9E"/>
                            </w:rPr>
                            <m:t xml:space="preserve">2</m:t>
                          </m:r>
                        </m:sup>
                      </m:sSup>
                      <m:r>
                        <m:rPr>
                          <m:nor/>
                        </m:rPr>
                        <w:rPr>
                          <w:rFonts w:ascii="Cambria Math" w:hAnsi="Cambria Math"/>
                          <w:color w:val="1F4E9E"/>
                        </w:rPr>
                        <m:t xml:space="preserve"> </m:t>
                      </m:r>
                      <m:r>
                        <m:rPr>
                          <m:nor/>
                        </m:rPr>
                        <w:rPr>
                          <w:rFonts w:ascii="Cambria Math" w:hAnsi="Cambria Math"/>
                          <w:color w:val="1F4E9E"/>
                        </w:rPr>
                        <m:t xml:space="preserve">d</m:t>
                      </m:r>
                      <m:r>
                        <w:rPr>
                          <w:rFonts w:ascii="Cambria Math" w:hAnsi="Cambria Math"/>
                          <w:color w:val="1F4E9E"/>
                        </w:rPr>
                        <m:t xml:space="preserve">v</m:t>
                      </m:r>
                    </m:e>
                  </m:nary>
                </m:den>
              </m:f>
              <m:r>
                <w:rPr>
                  <w:rFonts w:ascii="Cambria Math" w:hAnsi="Cambria Math"/>
                  <w:color w:val="1F4E9E"/>
                </w:rPr>
                <m:t xml:space="preserve">#</m:t>
              </m:r>
              <m:d>
                <m:dPr>
                  <m:begChr m:val="("/>
                  <m:endChr m:val=")"/>
                  <m:ctrlPr/>
                </m:dPr>
                <m:e>
                  <m:r>
                    <m:rPr>
                      <m:nor/>
                    </m:rPr>
                    <w:rPr>
                      <w:rFonts w:ascii="Cambria Math" w:hAnsi="Cambria Math"/>
                      <w:color w:val="1F4E9E"/>
                    </w:rPr>
                    <m:t xml:space="preserve">2</m:t>
                  </m:r>
                  <m:r>
                    <m:rPr>
                      <m:nor/>
                    </m:rPr>
                    <w:rPr>
                      <w:rFonts w:ascii="Cambria Math" w:hAnsi="Cambria Math"/>
                      <w:color w:val="1F4E9E"/>
                    </w:rPr>
                    <m:t xml:space="preserve">7</m:t>
                  </m:r>
                </m:e>
              </m:d>
            </m:e>
          </m:eqArr>
        </m:oMath>
      </m:oMathPara>
    </w:p>
    <w:p w14:paraId="73212C5D" w14:textId="77777777" w:rsidR="00205CBC" w:rsidRDefault="00000000">
      <w:r>
        <w:rPr>
          <w:color w:val="1F4E9E"/>
        </w:rPr>
        <w:t xml:space="preserve">It is decreasing in </w:t>
      </w:r>
      <m:oMath>
        <m:r>
          <w:rPr>
            <w:rFonts w:ascii="Cambria Math" w:hAnsi="Cambria Math"/>
            <w:color w:val="1F4E9E"/>
          </w:rPr>
          <m:t xml:space="preserve">κ</m:t>
        </m:r>
      </m:oMath>
      <w:r>
        <w:rPr>
          <w:color w:val="1F4E9E"/>
        </w:rPr>
        <w:t xml:space="preserve">, and its supremum over </w:t>
      </w:r>
      <m:oMath>
        <m:r>
          <w:rPr>
            <w:rFonts w:ascii="Cambria Math" w:hAnsi="Cambria Math"/>
            <w:color w:val="1F4E9E"/>
          </w:rPr>
          <m:t xml:space="preserve">κ</m:t>
        </m:r>
      </m:oMath>
      <w:r>
        <w:rPr>
          <w:color w:val="1F4E9E"/>
        </w:rPr>
        <w:t xml:space="preserve"> is the limit </w:t>
      </w:r>
      <m:oMath>
        <m:r>
          <w:rPr>
            <w:rFonts w:ascii="Cambria Math" w:hAnsi="Cambria Math"/>
            <w:color w:val="1F4E9E"/>
          </w:rPr>
          <m:t xml:space="preserve">κ</m:t>
        </m:r>
        <m:r>
          <m:rPr>
            <m:nor/>
          </m:rPr>
          <w:rPr>
            <w:rFonts w:ascii="Cambria Math" w:hAnsi="Cambria Math"/>
            <w:color w:val="1F4E9E"/>
          </w:rPr>
          <m:t xml:space="preserve">→</m:t>
        </m:r>
        <m:r>
          <m:rPr>
            <m:nor/>
          </m:rPr>
          <w:rPr>
            <w:rFonts w:ascii="Cambria Math" w:hAnsi="Cambria Math"/>
            <w:color w:val="1F4E9E"/>
          </w:rPr>
          <m:t xml:space="preserve">0</m:t>
        </m:r>
      </m:oMath>
      <w:r>
        <w:rPr>
          <w:color w:val="1F4E9E"/>
        </w:rPr>
        <w:t xml:space="preserve">, in which </w:t>
      </w:r>
      <m:oMath>
        <m:r>
          <w:rPr>
            <w:rFonts w:ascii="Cambria Math" w:hAnsi="Cambria Math"/>
            <w:color w:val="1F4E9E"/>
          </w:rPr>
          <m:t xml:space="preserve">K</m:t>
        </m:r>
        <m:d>
          <m:dPr>
            <m:begChr m:val="("/>
            <m:endChr m:val=")"/>
            <m:ctrlPr/>
          </m:dPr>
          <m:e>
            <m:r>
              <w:rPr>
                <w:rFonts w:ascii="Cambria Math" w:hAnsi="Cambria Math"/>
                <w:color w:val="1F4E9E"/>
              </w:rPr>
              <m:t xml:space="preserve">v</m:t>
            </m:r>
          </m:e>
        </m:d>
        <m:r>
          <m:rPr>
            <m:nor/>
          </m:rPr>
          <w:rPr>
            <w:rFonts w:ascii="Cambria Math" w:hAnsi="Cambria Math"/>
            <w:color w:val="1F4E9E"/>
          </w:rPr>
          <m:t xml:space="preserve">→</m:t>
        </m:r>
        <m:sSub>
          <m:sSubPr>
            <m:ctrlPr/>
          </m:sSubPr>
          <m:e>
            <m:r>
              <w:rPr>
                <w:rFonts w:ascii="Cambria Math" w:hAnsi="Cambria Math"/>
                <w:color w:val="1F4E9E"/>
              </w:rPr>
              <m:t xml:space="preserve">σ</m:t>
            </m:r>
          </m:e>
          <m:sub>
            <m:r>
              <w:rPr>
                <w:rFonts w:ascii="Cambria Math" w:hAnsi="Cambria Math"/>
                <w:color w:val="1F4E9E"/>
              </w:rPr>
              <m:t xml:space="preserve">ε</m:t>
            </m:r>
          </m:sub>
        </m:sSub>
        <m:d>
          <m:dPr>
            <m:begChr m:val="("/>
            <m:endChr m:val=")"/>
            <m:ctrlPr/>
          </m:dPr>
          <m:e>
            <m:r>
              <m:rPr>
                <m:nor/>
              </m:rPr>
              <w:rPr>
                <w:rFonts w:ascii="Cambria Math" w:hAnsi="Cambria Math"/>
                <w:color w:val="1F4E9E"/>
              </w:rPr>
              <m:t xml:space="preserve">1</m:t>
            </m:r>
            <m:r>
              <m:rPr>
                <m:nor/>
              </m:rPr>
              <w:rPr>
                <w:rFonts w:ascii="Cambria Math" w:hAnsi="Cambria Math"/>
                <w:color w:val="1F4E9E"/>
              </w:rPr>
              <m:t xml:space="preserve">-</m:t>
            </m:r>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v</m:t>
                </m:r>
              </m:sup>
            </m:sSup>
          </m:e>
        </m:d>
      </m:oMath>
      <w:r>
        <w:rPr>
          <w:color w:val="1F4E9E"/>
        </w:rPr>
        <w:t xml:space="preserve"> and (27) becomes </w:t>
      </w:r>
      <m:oMath>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up to terms of order </w:t>
      </w:r>
      <m:oMath>
        <m:sSup>
          <m:sSupPr>
            <m:ctrlPr/>
          </m:sSupPr>
          <m:e>
            <m:r>
              <w:rPr>
                <w:rFonts w:ascii="Cambria Math" w:hAnsi="Cambria Math"/>
                <w:color w:val="1F4E9E"/>
              </w:rPr>
              <m:t xml:space="preserve">e</m:t>
            </m:r>
          </m:e>
          <m:sup>
            <m:r>
              <m:rPr>
                <m:nor/>
              </m:rPr>
              <w:rPr>
                <w:rFonts w:ascii="Cambria Math" w:hAnsi="Cambria Math"/>
                <w:color w:val="1F4E9E"/>
              </w:rPr>
              <m:t xml:space="preserve">-</m:t>
            </m:r>
            <m:r>
              <w:rPr>
                <w:rFonts w:ascii="Cambria Math" w:hAnsi="Cambria Math"/>
                <w:color w:val="1F4E9E"/>
              </w:rPr>
              <m:t xml:space="preserve">λ</m:t>
            </m:r>
            <m:r>
              <w:rPr>
                <w:rFonts w:ascii="Cambria Math" w:hAnsi="Cambria Math"/>
                <w:color w:val="1F4E9E"/>
              </w:rPr>
              <m:t xml:space="preserve">τ</m:t>
            </m:r>
          </m:sup>
        </m:sSup>
      </m:oMath>
      <w:r>
        <w:rPr>
          <w:color w:val="1F4E9E"/>
        </w:rPr>
        <w:t xml:space="preserve">: the filter’s lag displaces the clock and nothing else survives. Hence </w:t>
      </w:r>
      <m:oMath>
        <m:sSup>
          <m:sSupPr>
            <m:ctrlPr/>
          </m:sSupPr>
          <m:e>
            <m:d>
              <m:dPr>
                <m:begChr m:val="("/>
                <m:endChr m:val=")"/>
                <m:ctrlPr/>
              </m:dPr>
              <m:e>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d>
          </m:e>
          <m:sup>
            <m:r>
              <m:rPr>
                <m:nor/>
              </m:rPr>
              <w:rPr>
                <w:rFonts w:ascii="Cambria Math" w:hAnsi="Cambria Math"/>
                <w:color w:val="1F4E9E"/>
              </w:rPr>
              <m:t xml:space="preserve">′</m:t>
            </m:r>
          </m:sup>
        </m:sSup>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r>
          <m:rPr>
            <m:nor/>
          </m:rPr>
          <w:rPr>
            <w:rFonts w:ascii="Cambria Math" w:hAnsi="Cambria Math"/>
            <w:color w:val="1F4E9E"/>
          </w:rPr>
          <m:t xml:space="preserve">≤</m:t>
        </m:r>
        <m:r>
          <m:rPr>
            <m:nor/>
          </m:rPr>
          <w:rPr>
            <w:rFonts w:ascii="Cambria Math" w:hAnsi="Cambria Math"/>
            <w:color w:val="1F4E9E"/>
          </w:rPr>
          <m:t xml:space="preserve">1</m:t>
        </m:r>
        <m:r>
          <m:rPr>
            <m:nor/>
          </m:rPr>
          <w:rPr>
            <w:rFonts w:ascii="Cambria Math" w:hAnsi="Cambria Math"/>
            <w:color w:val="1F4E9E"/>
          </w:rPr>
          <m:t xml:space="preserve">/</m:t>
        </m:r>
        <m:d>
          <m:dPr>
            <m:begChr m:val="("/>
            <m:endChr m:val=")"/>
            <m:ctrlPr/>
          </m:dPr>
          <m:e>
            <m:r>
              <w:rPr>
                <w:rFonts w:ascii="Cambria Math" w:hAnsi="Cambria Math"/>
                <w:color w:val="1F4E9E"/>
              </w:rPr>
              <m:t xml:space="preserve">τ</m:t>
            </m:r>
            <m:r>
              <m:rPr>
                <m:nor/>
              </m:rPr>
              <w:rPr>
                <w:rFonts w:ascii="Cambria Math" w:hAnsi="Cambria Math"/>
                <w:color w:val="1F4E9E"/>
              </w:rPr>
              <m:t xml:space="preserve">-</m:t>
            </m:r>
            <m:r>
              <m:rPr>
                <m:nor/>
              </m:rPr>
              <w:rPr>
                <w:rFonts w:ascii="Cambria Math" w:hAnsi="Cambria Math"/>
                <w:color w:val="1F4E9E"/>
              </w:rPr>
              <m:t xml:space="preserve">3</m:t>
            </m:r>
            <m:r>
              <m:rPr>
                <m:nor/>
              </m:rPr>
              <w:rPr>
                <w:rFonts w:ascii="Cambria Math" w:hAnsi="Cambria Math"/>
                <w:color w:val="1F4E9E"/>
              </w:rPr>
              <m:t xml:space="preserve">/</m:t>
            </m:r>
            <m:d>
              <m:dPr>
                <m:begChr m:val="("/>
                <m:endChr m:val=")"/>
                <m:ctrlPr/>
              </m:dPr>
              <m:e>
                <m:r>
                  <m:rPr>
                    <m:nor/>
                  </m:rPr>
                  <w:rPr>
                    <w:rFonts w:ascii="Cambria Math" w:hAnsi="Cambria Math"/>
                    <w:color w:val="1F4E9E"/>
                  </w:rPr>
                  <m:t xml:space="preserve">2</m:t>
                </m:r>
                <m:r>
                  <w:rPr>
                    <w:rFonts w:ascii="Cambria Math" w:hAnsi="Cambria Math"/>
                    <w:color w:val="1F4E9E"/>
                  </w:rPr>
                  <m:t xml:space="preserve">λ</m:t>
                </m:r>
              </m:e>
            </m:d>
          </m:e>
        </m:d>
      </m:oMath>
      <w:r>
        <w:rPr>
          <w:color w:val="1F4E9E"/>
        </w:rPr>
        <w:t xml:space="preserve"> throughout, so no choice of </w:t>
      </w:r>
      <m:oMath>
        <m:r>
          <w:rPr>
            <w:rFonts w:ascii="Cambria Math" w:hAnsi="Cambria Math"/>
            <w:color w:val="1F4E9E"/>
          </w:rPr>
          <m:t xml:space="preserve">κ</m:t>
        </m:r>
      </m:oMath>
      <w:r>
        <w:rPr>
          <w:color w:val="1F4E9E"/>
        </w:rPr>
        <w:t xml:space="preserve"> makes the log-rate slope decay more slowly than that. The realized decay is steeper for two further reasons: the first bracket of (26) is negative and grows in relative importance as the transient dies, and the standardized distance itself falls as the variance fills, shrinking the factor </w:t>
      </w:r>
      <m:oMath>
        <m:sSup>
          <m:sSupPr>
            <m:ctrlPr/>
          </m:sSupPr>
          <m:e>
            <m:r>
              <w:rPr>
                <w:rFonts w:ascii="Cambria Math" w:hAnsi="Cambria Math"/>
                <w:color w:val="1F4E9E"/>
              </w:rPr>
              <m:t xml:space="preserve">a</m:t>
            </m:r>
          </m:e>
          <m:sup>
            <m:r>
              <m:rPr>
                <m:nor/>
              </m:rPr>
              <w:rPr>
                <w:rFonts w:ascii="Cambria Math" w:hAnsi="Cambria Math"/>
                <w:color w:val="1F4E9E"/>
              </w:rPr>
              <m:t xml:space="preserve">2</m:t>
            </m:r>
          </m:sup>
        </m:sSup>
        <m:r>
          <m:rPr>
            <m:nor/>
          </m:rPr>
          <w:rPr>
            <w:rFonts w:ascii="Cambria Math" w:hAnsi="Cambria Math"/>
            <w:color w:val="1F4E9E"/>
          </w:rPr>
          <m:t xml:space="preserve">/</m:t>
        </m:r>
        <m:r>
          <m:rPr>
            <m:nor/>
          </m:rPr>
          <w:rPr>
            <w:rFonts w:ascii="Cambria Math" w:hAnsi="Cambria Math"/>
            <w:color w:val="1F4E9E"/>
          </w:rPr>
          <m:t xml:space="preserve">2</m:t>
        </m:r>
      </m:oMath>
      <w:r>
        <w:rPr>
          <w:color w:val="1F4E9E"/>
        </w:rPr>
        <w:t xml:space="preserve"> that multiplies the second. Model 2 is under no such constraint: by (25) its slope is proportional to a standardized distance falling linearly. The decay factors this imposes, and the observed one, are in Results. ∎</w:t>
      </w:r>
    </w:p>
    <w:p w14:paraId="73212C5D" w14:textId="77777777" w:rsidR="00205CBC" w:rsidRDefault="00000000">
      <w:r>
        <w:rPr>
          <w:color w:val="1F4E9E"/>
        </w:rPr>
        <w:t xml:space="preserve">Remark A.10 (what remains approximate). Two gaps are left, and both are in the conservative direction. The observable is not an upcrossing but a merged supra-threshold interval, and the ratio between the two depends on the characteristic frequency </w:t>
      </w:r>
      <m:oMath>
        <m:rad>
          <m:radPr>
            <m:degHide m:val="1"/>
            <m:ctrlPr/>
          </m:radPr>
          <m:deg/>
          <m:e>
            <m:r>
              <m:rPr>
                <m:nor/>
              </m:rPr>
              <w:rPr>
                <w:rFonts w:ascii="Cambria Math" w:hAnsi="Cambria Math"/>
                <w:color w:val="1F4E9E"/>
              </w:rPr>
              <m:t xml:space="preserve">Var</m:t>
            </m:r>
            <m:r>
              <m:rPr>
                <m:nor/>
              </m:rPr>
              <w:rPr>
                <w:rFonts w:ascii="Cambria Math" w:hAnsi="Cambria Math"/>
                <w:color w:val="1F4E9E"/>
              </w:rPr>
              <m:t xml:space="preserve"> </m:t>
            </m:r>
            <m:acc>
              <m:accPr>
                <m:chr m:val="̇"/>
                <m:ctrlPr/>
              </m:accPr>
              <m:e>
                <m:r>
                  <w:rPr>
                    <w:rFonts w:ascii="Cambria Math" w:hAnsi="Cambria Math"/>
                    <w:color w:val="1F4E9E"/>
                  </w:rPr>
                  <m:t xml:space="preserve">H</m:t>
                </m:r>
              </m:e>
            </m:acc>
            <m:r>
              <m:rPr>
                <m:nor/>
              </m:rPr>
              <w:rPr>
                <w:rFonts w:ascii="Cambria Math" w:hAnsi="Cambria Math"/>
                <w:color w:val="1F4E9E"/>
              </w:rPr>
              <m:t xml:space="preserve">/</m:t>
            </m:r>
            <m:r>
              <m:rPr>
                <m:nor/>
              </m:rPr>
              <w:rPr>
                <w:rFonts w:ascii="Cambria Math" w:hAnsi="Cambria Math"/>
                <w:color w:val="1F4E9E"/>
              </w:rPr>
              <m:t xml:space="preserve">Var</m:t>
            </m:r>
            <m:r>
              <m:rPr>
                <m:nor/>
              </m:rPr>
              <w:rPr>
                <w:rFonts w:ascii="Cambria Math" w:hAnsi="Cambria Math"/>
                <w:color w:val="1F4E9E"/>
              </w:rPr>
              <m:t xml:space="preserve"> </m:t>
            </m:r>
            <m:r>
              <w:rPr>
                <w:rFonts w:ascii="Cambria Math" w:hAnsi="Cambria Math"/>
                <w:color w:val="1F4E9E"/>
              </w:rPr>
              <m:t xml:space="preserve">H</m:t>
            </m:r>
          </m:e>
        </m:rad>
      </m:oMath>
      <w:r>
        <w:rPr>
          <w:color w:val="1F4E9E"/>
        </w:rPr>
        <w:t xml:space="preserve">, which falls across the window under Model 1’s transient; in the region where Model 1 has any ramp at all the characteristic period is far longer than the merge interval, so successive crossings are essentially never merged, and clustering matters only at large </w:t>
      </w:r>
      <m:oMath>
        <m:r>
          <w:rPr>
            <w:rFonts w:ascii="Cambria Math" w:hAnsi="Cambria Math"/>
            <w:color w:val="1F4E9E"/>
          </w:rPr>
          <m:t xml:space="preserve">κ</m:t>
        </m:r>
      </m:oMath>
      <w:r>
        <w:rPr>
          <w:color w:val="1F4E9E"/>
        </w:rPr>
        <w:t xml:space="preserve">, where the transient is over before the window begins. And the response criterion is an absorbing boundary: a delay-period crossing that reaches it ends the trial as a premature response, and conditioning on survival destroys the Gaussianity (19) uses. Absorption removes preferentially the trials closest to the gate and preferentially late in the window, so it depresses the late rate and reduces the measured slope below the value computed here. The bounds are upper bounds in both respects.</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S2. </w:t>
      </w:r>
      <w:r>
        <w:rPr>
          <w:i/>
          <w:color w:val="1F4E9E"/>
        </w:rPr>
        <w:t>The shape prediction of the Appendix,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6245"/>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6245"/>
                    </a:xfrm>
                    <a:prstGeom prst="rect"/>
                  </pic:spPr>
                </pic:pic>
              </a:graphicData>
            </a:graphic>
          </wp:inline>
        </w:drawing>
      </w:r>
    </w:p>
    <w:p w14:paraId="23B269A3" w14:textId="77777777" w:rsidR="00205CBC" w:rsidRDefault="00000000">
      <w:r>
        <w:rPr>
          <w:b w:val="0"/>
          <w:i w:val="0"/>
          <w:color w:val="1F4E9E"/>
        </w:rPr>
        <w:t xml:space="preserve">Fig S3. The ramp–rate frontier, with the sampled parameter space on it. Horizontal axis, the delay-period partial-activation rate (logarithmic); vertical axis, the slope of its logarithm. </w:t>
      </w:r>
      <w:r>
        <w:rPr>
          <w:b w:val="0"/>
          <w:i w:val="0"/>
          <w:color w:val="1F4E9E"/>
        </w:rPr>
        <w:t xml:space="preserve">The red curve is the largest slope Model 1 can attain at each rate, computed in closed form from the kernel over the ranges of Table A1 (Appendix, A.5); the shaded region above it is unreachable by that architecture. Model 2’s frontier, computed the same way with the barrier moving and the ramp bounded at the upper quartile of the admissible values, lies far above the panel and is annotated rather than drawn: </w:t>
      </w:r>
      <w:r>
        <w:rPr>
          <w:b w:val="0"/>
          <w:i w:val="0"/>
          <w:color w:val="1F4E9E"/>
        </w:rPr>
        <w:t>at the observed rate it reaches +4.05 s⁻¹, against Model 1’s 0.000 and an observed +0.89.</w:t>
      </w:r>
      <w:r>
        <w:rPr>
          <w:b w:val="0"/>
          <w:i w:val="0"/>
          <w:color w:val="1F4E9E"/>
        </w:rPr>
        <w:t xml:space="preserve"> Open circles are the admissible draws of each model, </w:t>
      </w:r>
      <w:r>
        <w:rPr>
          <w:b w:val="0"/>
          <w:i w:val="0"/>
          <w:color w:val="1F4E9E"/>
        </w:rPr>
        <w:t>and the star the observation</w:t>
      </w:r>
      <w:r>
        <w:rPr>
          <w:b w:val="0"/>
          <w:i w:val="0"/>
          <w:color w:val="1F4E9E"/>
        </w:rPr>
        <w:t>,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790139"/>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790139"/>
                    </a:xfrm>
                    <a:prstGeom prst="rect"/>
                  </pic:spPr>
                </pic:pic>
              </a:graphicData>
            </a:graphic>
          </wp:inline>
        </w:drawing>
      </w:r>
    </w:p>
    <w:p w14:paraId="23B269A3" w14:textId="77777777" w:rsidR="00205CBC" w:rsidRDefault="00000000">
      <w:r>
        <w:rPr>
          <w:b w:val="0"/>
          <w:i w:val="0"/>
          <w:color w:val="1F4E9E"/>
        </w:rPr>
        <w:t>Fig S4. The shape of the delay-period rate curve, one line per admissible parameter set. Each thin line is the delay-period profile of one admissible set divided by its own mean over the window, so that sets whose rates differ by two orders of magnitude are comparable on shape; the thick line is the median over sets and the black points the observed profile, normalised the same way. The family rather than a summary is the point: the question is whether the architecture can produce the observed rise at all, and the median of a family this wide answers a different one. Every admissible set of Model 1 is flat or declining; Model 2’s fan out, many of them tracking the observed rise and beyond.</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3525547"/>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3525547"/>
                    </a:xfrm>
                    <a:prstGeom prst="rect"/>
                  </pic:spPr>
                </pic:pic>
              </a:graphicData>
            </a:graphic>
          </wp:inline>
        </w:drawing>
      </w:r>
    </w:p>
    <w:p w14:paraId="23B269A3" w14:textId="77777777" w:rsidR="00205CBC" w:rsidRDefault="00000000">
      <w:r>
        <w:rPr>
          <w:b w:val="0"/>
          <w:i w:val="0"/>
          <w:color w:val="1F4E9E"/>
        </w:rPr>
        <w:t xml:space="preserve">Fig S5. Effect sizes each architecture can produce, against the observed value, </w:t>
      </w:r>
      <w:r>
        <w:rPr>
          <w:b w:val="0"/>
          <w:i w:val="0"/>
          <w:color w:val="1F4E9E"/>
        </w:rPr>
        <w:t>for the nine directional predictions the Results test</w:t>
      </w:r>
      <w:r>
        <w:rPr>
          <w:b w:val="0"/>
          <w:i w:val="0"/>
          <w:color w:val="1F4E9E"/>
        </w:rPr>
        <w:t>. Each is written so that the sign the corresponding proposition predicts is positive, and the panel title says which difference is taken. The bar spans the 5th to 95th percentile of that effect over the admissible parameter sets of each model; the vertical line is the observed value and the grey band its 95% confidence interval across participants; a cross marks a percentile band that does not contain the observed value — which is not the same as an effect the architecture cannot reach, and on the stimulus-period duration effect and on motor execution time it is not.</w:t>
      </w:r>
    </w:p>
    <w:p w14:paraId="73212C5D" w14:textId="77777777" w:rsidR="00205CBC" w:rsidRDefault="00000000">
      <w:r>
        <w:rPr>
          <w:color w:val="1F4E9E"/>
        </w:rPr>
        <w:t xml:space="preserve">The two figures at the right of each bar are the percentages of admissible sets whose effect is, at two Monte-Carlo standard errors, significantly of the observed sign and significantly against it; the remainder is not distinguishable from zero. They measure agreement with the DATA and not with the model’s own prediction, and on the coherence × duration interaction in the delay period the two are opposite: there the 85% and 87% counted as against the observed sign are settings at which each architecture does what the saturation argument says it should. Two effects separate the architectures — the stimulus-period duration effect, where Model 1 has the observed sign at no setting and the opposite sign at 95% against Model 2’s 39% and 45%, and the delay-period log-rate slope, at 3% against 81%. One is missed by both, the delay-period interaction (4% and 7% right against 85% and 87% wrong). Of the remaining six, all are reproduced by both at 86% or above with almost no setting of either model in the opposite direction. The duration effect on motor execution time is a predicted null and is where both architectures are mildly but systematically off: the observed −0.5 ± 0.8 ms is indistinguishable from zero, whereas the models place it significantly below zero at 87% and 86% of their settings, with medians of −5 and −8 ms. The residual motor time is not quite as inert in the simulation as it is in the data.</w:t>
      </w:r>
    </w:p>
    <w:p w14:paraId="1D799481" w14:textId="77777777" w:rsidR="00554B3C" w:rsidRPr="00292826" w:rsidRDefault="002A70D9" w:rsidP="00554B3C">
      <w:pPr>
        <w:spacing w:line="276" w:lineRule="auto"/>
        <w:rPr>
          <w:b/>
          <w:sz w:val="22"/>
          <w:szCs w:val="22"/>
        </w:rPr>
      </w:pPr>
      <w:r w:rsidRPr="00292826">
        <w:rPr>
          <w:b/>
          <w:sz w:val="22"/>
          <w:szCs w:val="22"/>
        </w:rPr>
      </w:r>
      <w:r w:rsidRPr="00292826">
        <w:rPr>
          <w:b/>
          <w:color w:val="1F4E9E"/>
          <w:sz w:val="22"/>
          <w:szCs w:val="22"/>
        </w:rPr>
        <w:t>Table S1. Full ANOVA results for response accuracy, mean response time (RT), mean pre-motor execution time (PMET), and mean motor execution time (MET). Two-way within-subject analyses of variance (duration × coherence, n = 22), Greenhouse–Geisser corrected wherever a factor has more than two levels, which is why those degrees of freedom are fractional; ηp² is the partial eta squared. Computed by run_stats.R from the archive’s own per-participant × cell exports.</w:t>
      </w:r>
      <w:r w:rsidR="009E646A" w:rsidRPr="00292826">
        <w:rPr>
          <w:b/>
          <w:sz w:val="22"/>
          <w:szCs w:val="22"/>
        </w:rPr>
      </w:r>
      <w:r w:rsidR="00292826" w:rsidRPr="00292826">
        <w:rPr>
          <w:b/>
          <w:sz w:val="22"/>
          <w:szCs w:val="22"/>
        </w:rPr>
      </w:r>
      <w:r w:rsidR="004C7964" w:rsidRPr="00292826">
        <w:rPr>
          <w:b/>
          <w:sz w:val="22"/>
          <w:szCs w:val="22"/>
        </w:rPr>
      </w:r>
      <w:r w:rsidR="00292826" w:rsidRPr="00292826">
        <w:rPr>
          <w:b/>
          <w:sz w:val="22"/>
          <w:szCs w:val="22"/>
        </w:rPr>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22.676</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1.30</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27.40</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222.223</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1.96</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41.24</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12.171</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65.790</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1.49</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14.190</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1.68</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35.25</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4.607</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.022</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69.600</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0.768</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1.60</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color w:val="1F4E9E"/>
                <w:sz w:val="20"/>
                <w:szCs w:val="20"/>
              </w:rPr>
              <w:t>33.50</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14.000</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0.400</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1.72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36.14</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3.575</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.045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0.145</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1.095</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.307</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0.050</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31.73</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0.624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.499</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0.029</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1.86</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39.12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color w:val="1F4E9E"/>
                <w:sz w:val="20"/>
                <w:szCs w:val="20"/>
              </w:rPr>
              <w:t>2.436</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1F4E9E"/>
                <w:sz w:val="20"/>
                <w:szCs w:val="20"/>
              </w:rPr>
              <w:t>p = .104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1F4E9E"/>
                <w:sz w:val="20"/>
                <w:szCs w:val="20"/>
              </w:rPr>
              <w:t>0.104</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S2</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S3.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S4).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S4.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S3 above, which averages across both halves, accordingly shows neither a significant linear nor quadratic coherence × time trend.</w:t>
      </w:r>
    </w:p>
    <w:p>
      <w:r>
        <w:rPr>
          <w:b/>
        </w:rPr>
        <w:t xml:space="preserve">Table S5. </w:t>
      </w:r>
      <w:r>
        <w:rPr>
          <w:b/>
        </w:rPr>
        <w:t>Delay-period partial-activation rate: an unbinned point-process analysis.</w:t>
      </w:r>
    </w:p>
    <w:p w14:paraId="73212C5D" w14:textId="77777777" w:rsidR="00205CBC" w:rsidRDefault="00000000">
      <w:r>
        <w:rPr>
          <w:color w:val="1F4E9E"/>
        </w:rPr>
        <w:t xml:space="preserve">To avoid the arbitrary time-bin factor altogether (Materials and Methods), the coherence-dependent ramp in delay-period partial-activation rate was additionally tested with no binning at all, using the exact onset time of each partial activation. Writing the log-intensity as a linear function of time, </w:t>
      </w:r>
      <m:oMath>
        <m:r>
          <m:rPr>
            <m:nor/>
          </m:rPr>
          <w:rPr>
            <w:rFonts w:ascii="Cambria Math" w:hAnsi="Cambria Math"/>
            <w:color w:val="1F4E9E"/>
          </w:rPr>
          <m:t xml:space="preserve">ln</m:t>
        </m:r>
        <m:r>
          <w:rPr>
            <w:rFonts w:ascii="Cambria Math" w:hAnsi="Cambria Math"/>
            <w:color w:val="1F4E9E"/>
          </w:rPr>
          <m:t xml:space="preserve">ν</m:t>
        </m:r>
        <m:d>
          <m:dPr>
            <m:begChr m:val="("/>
            <m:endChr m:val=")"/>
            <m:ctrlPr/>
          </m:dPr>
          <m:e>
            <m:r>
              <w:rPr>
                <w:rFonts w:ascii="Cambria Math" w:hAnsi="Cambria Math"/>
                <w:color w:val="1F4E9E"/>
              </w:rPr>
              <m:t xml:space="preserve">t</m:t>
            </m:r>
          </m:e>
        </m:d>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0</m:t>
            </m:r>
          </m:sub>
        </m:sSub>
        <m:r>
          <m:rPr>
            <m:nor/>
          </m:rPr>
          <w:rPr>
            <w:rFonts w:ascii="Cambria Math" w:hAnsi="Cambria Math"/>
            <w:color w:val="1F4E9E"/>
          </w:rPr>
          <m:t xml:space="preserve">+</m:t>
        </m:r>
        <m:sSub>
          <m:sSubPr>
            <m:ctrlPr/>
          </m:sSubPr>
          <m:e>
            <m:r>
              <w:rPr>
                <w:rFonts w:ascii="Cambria Math" w:hAnsi="Cambria Math"/>
                <w:color w:val="1F4E9E"/>
              </w:rPr>
              <m:t xml:space="preserve">c</m:t>
            </m:r>
          </m:e>
          <m:sub>
            <m:r>
              <m:rPr>
                <m:nor/>
              </m:rPr>
              <w:rPr>
                <w:rFonts w:ascii="Cambria Math" w:hAnsi="Cambria Math"/>
                <w:color w:val="1F4E9E"/>
              </w:rPr>
              <m:t xml:space="preserve">1</m:t>
            </m:r>
          </m:sub>
        </m:sSub>
        <m:r>
          <w:rPr>
            <w:rFonts w:ascii="Cambria Math" w:hAnsi="Cambria Math"/>
            <w:color w:val="1F4E9E"/>
          </w:rPr>
          <m:t xml:space="preserve">t</m:t>
        </m:r>
      </m:oMath>
      <w:r>
        <w:rPr>
          <w:color w:val="1F4E9E"/>
        </w:rPr>
        <w:t xml:space="preserve">, the log-rate slope </w:t>
      </w:r>
      <m:oMath>
        <m:sSub>
          <m:sSubPr>
            <m:ctrlPr/>
          </m:sSubPr>
          <m:e>
            <m:r>
              <w:rPr>
                <w:rFonts w:ascii="Cambria Math" w:hAnsi="Cambria Math"/>
                <w:color w:val="1F4E9E"/>
              </w:rPr>
              <m:t xml:space="preserve">c</m:t>
            </m:r>
          </m:e>
          <m:sub>
            <m:r>
              <m:rPr>
                <m:nor/>
              </m:rPr>
              <w:rPr>
                <w:rFonts w:ascii="Cambria Math" w:hAnsi="Cambria Math"/>
                <w:color w:val="1F4E9E"/>
              </w:rPr>
              <m:t xml:space="preserve">1</m:t>
            </m:r>
          </m:sub>
        </m:sSub>
      </m:oMath>
      <w:r>
        <w:rPr>
          <w:color w:val="1F4E9E"/>
        </w:rPr>
        <w:t xml:space="preserve">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 This is a different estimator from the binned one the bound of the Appendix is compared against (Appendix, A.7), which must match the binning of the published analysis; the two agree on the sign and the approximate size of the slope.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(25)</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