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A6B48" w14:textId="77777777" w:rsidR="00D56005" w:rsidRDefault="00D56005" w:rsidP="00D56005">
      <w:pPr>
        <w:spacing w:line="360" w:lineRule="auto"/>
        <w:jc w:val="center"/>
        <w:rPr>
          <w:b/>
          <w:bCs/>
          <w:color w:val="274D86"/>
          <w:sz w:val="32"/>
          <w:szCs w:val="32"/>
        </w:rPr>
      </w:pPr>
    </w:p>
    <w:p w14:paraId="00C62730" w14:textId="77777777" w:rsidR="00D56005" w:rsidRDefault="00D56005" w:rsidP="00D56005">
      <w:pPr>
        <w:spacing w:line="360" w:lineRule="auto"/>
        <w:jc w:val="center"/>
        <w:rPr>
          <w:b/>
          <w:bCs/>
          <w:color w:val="274D86"/>
          <w:sz w:val="32"/>
          <w:szCs w:val="32"/>
        </w:rPr>
      </w:pPr>
    </w:p>
    <w:p w14:paraId="6359A46C" w14:textId="77777777" w:rsidR="00D56005" w:rsidRDefault="00D56005" w:rsidP="00D56005">
      <w:pPr>
        <w:spacing w:line="360" w:lineRule="auto"/>
        <w:jc w:val="center"/>
        <w:rPr>
          <w:b/>
          <w:bCs/>
          <w:color w:val="274D86"/>
          <w:sz w:val="32"/>
          <w:szCs w:val="32"/>
        </w:rPr>
      </w:pPr>
    </w:p>
    <w:p w14:paraId="52787044" w14:textId="77777777" w:rsidR="00D56005" w:rsidRDefault="00D56005" w:rsidP="00D56005">
      <w:pPr>
        <w:spacing w:line="360" w:lineRule="auto"/>
        <w:jc w:val="center"/>
        <w:rPr>
          <w:b/>
          <w:bCs/>
          <w:color w:val="274D86"/>
          <w:sz w:val="32"/>
          <w:szCs w:val="32"/>
        </w:rPr>
      </w:pPr>
    </w:p>
    <w:p w14:paraId="1D0AB7CB" w14:textId="77777777" w:rsidR="00D56005" w:rsidRDefault="00D56005" w:rsidP="00D56005">
      <w:pPr>
        <w:spacing w:line="360" w:lineRule="auto"/>
        <w:jc w:val="center"/>
        <w:rPr>
          <w:b/>
          <w:bCs/>
          <w:color w:val="274D86"/>
          <w:sz w:val="32"/>
          <w:szCs w:val="32"/>
        </w:rPr>
      </w:pPr>
    </w:p>
    <w:p w14:paraId="60FC5BF6" w14:textId="7177D3F1" w:rsidR="00D56005" w:rsidRPr="002E7E6C" w:rsidRDefault="00D56005" w:rsidP="00D56005">
      <w:pPr>
        <w:spacing w:line="360" w:lineRule="auto"/>
        <w:jc w:val="center"/>
        <w:rPr>
          <w:b/>
          <w:bCs/>
          <w:color w:val="274D86"/>
          <w:sz w:val="32"/>
          <w:szCs w:val="32"/>
        </w:rPr>
      </w:pPr>
      <w:r w:rsidRPr="002E7E6C">
        <w:rPr>
          <w:b/>
          <w:bCs/>
          <w:color w:val="274D86"/>
          <w:sz w:val="32"/>
          <w:szCs w:val="32"/>
        </w:rPr>
        <w:t>Option-Implied Volatility Spreads and Bottom-Tail Underperformance in U.S. Equities, 2010–2023</w:t>
      </w:r>
    </w:p>
    <w:p w14:paraId="4C60D737" w14:textId="77777777" w:rsidR="00D56005" w:rsidRDefault="00D56005" w:rsidP="00D56005">
      <w:pPr>
        <w:pStyle w:val="BodyText"/>
        <w:spacing w:line="360" w:lineRule="auto"/>
      </w:pPr>
    </w:p>
    <w:p w14:paraId="3A2D3392" w14:textId="77777777" w:rsidR="00D56005" w:rsidRDefault="00D56005" w:rsidP="00D56005">
      <w:pPr>
        <w:pStyle w:val="BodyText"/>
        <w:spacing w:line="360" w:lineRule="auto"/>
        <w:jc w:val="center"/>
      </w:pPr>
      <w:r>
        <w:t>Thibault Eelen</w:t>
      </w:r>
    </w:p>
    <w:p w14:paraId="732032AA" w14:textId="77777777" w:rsidR="00D56005" w:rsidRDefault="00D56005" w:rsidP="00D56005">
      <w:pPr>
        <w:pStyle w:val="BodyText"/>
        <w:spacing w:line="360" w:lineRule="auto"/>
        <w:jc w:val="center"/>
      </w:pPr>
      <w:r>
        <w:t>University of Chicago Booth School of Business</w:t>
      </w:r>
    </w:p>
    <w:p w14:paraId="3544A0AA" w14:textId="77777777" w:rsidR="00D56005" w:rsidRDefault="00D56005" w:rsidP="00D56005">
      <w:pPr>
        <w:pStyle w:val="BodyText"/>
        <w:spacing w:line="360" w:lineRule="auto"/>
        <w:jc w:val="center"/>
      </w:pPr>
      <w:r>
        <w:t>May 2026</w:t>
      </w:r>
    </w:p>
    <w:p w14:paraId="42D78454" w14:textId="77777777" w:rsidR="00D56005" w:rsidRDefault="00D56005" w:rsidP="00D56005">
      <w:pPr>
        <w:spacing w:line="360" w:lineRule="auto"/>
      </w:pPr>
      <w:r>
        <w:br w:type="page"/>
      </w:r>
    </w:p>
    <w:sdt>
      <w:sdtPr>
        <w:rPr>
          <w:rFonts w:asciiTheme="minorHAnsi" w:eastAsiaTheme="minorHAnsi" w:hAnsiTheme="minorHAnsi" w:cstheme="minorBidi"/>
          <w:color w:val="auto"/>
          <w:sz w:val="24"/>
          <w:szCs w:val="24"/>
        </w:rPr>
        <w:id w:val="-808398282"/>
        <w:docPartObj>
          <w:docPartGallery w:val="Table of Contents"/>
          <w:docPartUnique/>
        </w:docPartObj>
      </w:sdtPr>
      <w:sdtContent>
        <w:p w14:paraId="0E6A506D" w14:textId="7760422C" w:rsidR="00FA75C9" w:rsidRDefault="00000000" w:rsidP="00D56005">
          <w:pPr>
            <w:pStyle w:val="TOCHeading"/>
            <w:spacing w:line="276" w:lineRule="auto"/>
          </w:pPr>
          <w:r>
            <w:t>Table of Contents</w:t>
          </w:r>
        </w:p>
        <w:p w14:paraId="2951FA52" w14:textId="0D471CAF" w:rsidR="00D56005" w:rsidRDefault="00000000" w:rsidP="00D56005">
          <w:pPr>
            <w:pStyle w:val="TOC2"/>
            <w:tabs>
              <w:tab w:val="right" w:leader="dot" w:pos="9350"/>
            </w:tabs>
            <w:spacing w:line="276" w:lineRule="auto"/>
            <w:rPr>
              <w:rFonts w:eastAsiaTheme="minorEastAsia"/>
              <w:noProof/>
              <w:kern w:val="2"/>
              <w14:ligatures w14:val="standardContextual"/>
            </w:rPr>
          </w:pPr>
          <w:r>
            <w:fldChar w:fldCharType="begin"/>
          </w:r>
          <w:r>
            <w:instrText>TOC \o "1-2" \h \z \u</w:instrText>
          </w:r>
          <w:r>
            <w:fldChar w:fldCharType="separate"/>
          </w:r>
          <w:hyperlink w:anchor="_Toc228955541" w:history="1">
            <w:r w:rsidR="00D56005" w:rsidRPr="00711724">
              <w:rPr>
                <w:rStyle w:val="Hyperlink"/>
                <w:noProof/>
              </w:rPr>
              <w:t>Abstract</w:t>
            </w:r>
            <w:r w:rsidR="00D56005">
              <w:rPr>
                <w:noProof/>
                <w:webHidden/>
              </w:rPr>
              <w:tab/>
            </w:r>
            <w:r w:rsidR="00D56005">
              <w:rPr>
                <w:noProof/>
                <w:webHidden/>
              </w:rPr>
              <w:fldChar w:fldCharType="begin"/>
            </w:r>
            <w:r w:rsidR="00D56005">
              <w:rPr>
                <w:noProof/>
                <w:webHidden/>
              </w:rPr>
              <w:instrText xml:space="preserve"> PAGEREF _Toc228955541 \h </w:instrText>
            </w:r>
            <w:r w:rsidR="00D56005">
              <w:rPr>
                <w:noProof/>
                <w:webHidden/>
              </w:rPr>
            </w:r>
            <w:r w:rsidR="00D56005">
              <w:rPr>
                <w:noProof/>
                <w:webHidden/>
              </w:rPr>
              <w:fldChar w:fldCharType="separate"/>
            </w:r>
            <w:r w:rsidR="00D56005">
              <w:rPr>
                <w:noProof/>
                <w:webHidden/>
              </w:rPr>
              <w:t>3</w:t>
            </w:r>
            <w:r w:rsidR="00D56005">
              <w:rPr>
                <w:noProof/>
                <w:webHidden/>
              </w:rPr>
              <w:fldChar w:fldCharType="end"/>
            </w:r>
          </w:hyperlink>
        </w:p>
        <w:p w14:paraId="48FCD9FB" w14:textId="0E946866"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2" w:history="1">
            <w:r w:rsidRPr="00711724">
              <w:rPr>
                <w:rStyle w:val="Hyperlink"/>
                <w:noProof/>
              </w:rPr>
              <w:t>1. Introduction</w:t>
            </w:r>
            <w:r>
              <w:rPr>
                <w:noProof/>
                <w:webHidden/>
              </w:rPr>
              <w:tab/>
            </w:r>
            <w:r>
              <w:rPr>
                <w:noProof/>
                <w:webHidden/>
              </w:rPr>
              <w:fldChar w:fldCharType="begin"/>
            </w:r>
            <w:r>
              <w:rPr>
                <w:noProof/>
                <w:webHidden/>
              </w:rPr>
              <w:instrText xml:space="preserve"> PAGEREF _Toc228955542 \h </w:instrText>
            </w:r>
            <w:r>
              <w:rPr>
                <w:noProof/>
                <w:webHidden/>
              </w:rPr>
            </w:r>
            <w:r>
              <w:rPr>
                <w:noProof/>
                <w:webHidden/>
              </w:rPr>
              <w:fldChar w:fldCharType="separate"/>
            </w:r>
            <w:r>
              <w:rPr>
                <w:noProof/>
                <w:webHidden/>
              </w:rPr>
              <w:t>3</w:t>
            </w:r>
            <w:r>
              <w:rPr>
                <w:noProof/>
                <w:webHidden/>
              </w:rPr>
              <w:fldChar w:fldCharType="end"/>
            </w:r>
          </w:hyperlink>
        </w:p>
        <w:p w14:paraId="274342E2" w14:textId="39968955"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3" w:history="1">
            <w:r w:rsidRPr="00711724">
              <w:rPr>
                <w:rStyle w:val="Hyperlink"/>
                <w:noProof/>
              </w:rPr>
              <w:t>2. Data</w:t>
            </w:r>
            <w:r>
              <w:rPr>
                <w:noProof/>
                <w:webHidden/>
              </w:rPr>
              <w:tab/>
            </w:r>
            <w:r>
              <w:rPr>
                <w:noProof/>
                <w:webHidden/>
              </w:rPr>
              <w:fldChar w:fldCharType="begin"/>
            </w:r>
            <w:r>
              <w:rPr>
                <w:noProof/>
                <w:webHidden/>
              </w:rPr>
              <w:instrText xml:space="preserve"> PAGEREF _Toc228955543 \h </w:instrText>
            </w:r>
            <w:r>
              <w:rPr>
                <w:noProof/>
                <w:webHidden/>
              </w:rPr>
            </w:r>
            <w:r>
              <w:rPr>
                <w:noProof/>
                <w:webHidden/>
              </w:rPr>
              <w:fldChar w:fldCharType="separate"/>
            </w:r>
            <w:r>
              <w:rPr>
                <w:noProof/>
                <w:webHidden/>
              </w:rPr>
              <w:t>4</w:t>
            </w:r>
            <w:r>
              <w:rPr>
                <w:noProof/>
                <w:webHidden/>
              </w:rPr>
              <w:fldChar w:fldCharType="end"/>
            </w:r>
          </w:hyperlink>
        </w:p>
        <w:p w14:paraId="5A69A3A1" w14:textId="52AC60E4"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4" w:history="1">
            <w:r w:rsidRPr="00711724">
              <w:rPr>
                <w:rStyle w:val="Hyperlink"/>
                <w:noProof/>
              </w:rPr>
              <w:t>3. Signal Construction</w:t>
            </w:r>
            <w:r>
              <w:rPr>
                <w:noProof/>
                <w:webHidden/>
              </w:rPr>
              <w:tab/>
            </w:r>
            <w:r>
              <w:rPr>
                <w:noProof/>
                <w:webHidden/>
              </w:rPr>
              <w:fldChar w:fldCharType="begin"/>
            </w:r>
            <w:r>
              <w:rPr>
                <w:noProof/>
                <w:webHidden/>
              </w:rPr>
              <w:instrText xml:space="preserve"> PAGEREF _Toc228955544 \h </w:instrText>
            </w:r>
            <w:r>
              <w:rPr>
                <w:noProof/>
                <w:webHidden/>
              </w:rPr>
            </w:r>
            <w:r>
              <w:rPr>
                <w:noProof/>
                <w:webHidden/>
              </w:rPr>
              <w:fldChar w:fldCharType="separate"/>
            </w:r>
            <w:r>
              <w:rPr>
                <w:noProof/>
                <w:webHidden/>
              </w:rPr>
              <w:t>5</w:t>
            </w:r>
            <w:r>
              <w:rPr>
                <w:noProof/>
                <w:webHidden/>
              </w:rPr>
              <w:fldChar w:fldCharType="end"/>
            </w:r>
          </w:hyperlink>
        </w:p>
        <w:p w14:paraId="21B734ED" w14:textId="4506E364"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5" w:history="1">
            <w:r w:rsidRPr="00711724">
              <w:rPr>
                <w:rStyle w:val="Hyperlink"/>
                <w:noProof/>
              </w:rPr>
              <w:t>4. Methodology</w:t>
            </w:r>
            <w:r>
              <w:rPr>
                <w:noProof/>
                <w:webHidden/>
              </w:rPr>
              <w:tab/>
            </w:r>
            <w:r>
              <w:rPr>
                <w:noProof/>
                <w:webHidden/>
              </w:rPr>
              <w:fldChar w:fldCharType="begin"/>
            </w:r>
            <w:r>
              <w:rPr>
                <w:noProof/>
                <w:webHidden/>
              </w:rPr>
              <w:instrText xml:space="preserve"> PAGEREF _Toc228955545 \h </w:instrText>
            </w:r>
            <w:r>
              <w:rPr>
                <w:noProof/>
                <w:webHidden/>
              </w:rPr>
            </w:r>
            <w:r>
              <w:rPr>
                <w:noProof/>
                <w:webHidden/>
              </w:rPr>
              <w:fldChar w:fldCharType="separate"/>
            </w:r>
            <w:r>
              <w:rPr>
                <w:noProof/>
                <w:webHidden/>
              </w:rPr>
              <w:t>5</w:t>
            </w:r>
            <w:r>
              <w:rPr>
                <w:noProof/>
                <w:webHidden/>
              </w:rPr>
              <w:fldChar w:fldCharType="end"/>
            </w:r>
          </w:hyperlink>
        </w:p>
        <w:p w14:paraId="0C762EFC" w14:textId="3D54A0E0"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6" w:history="1">
            <w:r w:rsidRPr="00711724">
              <w:rPr>
                <w:rStyle w:val="Hyperlink"/>
                <w:noProof/>
              </w:rPr>
              <w:t>5. Headline Results</w:t>
            </w:r>
            <w:r>
              <w:rPr>
                <w:noProof/>
                <w:webHidden/>
              </w:rPr>
              <w:tab/>
            </w:r>
            <w:r>
              <w:rPr>
                <w:noProof/>
                <w:webHidden/>
              </w:rPr>
              <w:fldChar w:fldCharType="begin"/>
            </w:r>
            <w:r>
              <w:rPr>
                <w:noProof/>
                <w:webHidden/>
              </w:rPr>
              <w:instrText xml:space="preserve"> PAGEREF _Toc228955546 \h </w:instrText>
            </w:r>
            <w:r>
              <w:rPr>
                <w:noProof/>
                <w:webHidden/>
              </w:rPr>
            </w:r>
            <w:r>
              <w:rPr>
                <w:noProof/>
                <w:webHidden/>
              </w:rPr>
              <w:fldChar w:fldCharType="separate"/>
            </w:r>
            <w:r>
              <w:rPr>
                <w:noProof/>
                <w:webHidden/>
              </w:rPr>
              <w:t>6</w:t>
            </w:r>
            <w:r>
              <w:rPr>
                <w:noProof/>
                <w:webHidden/>
              </w:rPr>
              <w:fldChar w:fldCharType="end"/>
            </w:r>
          </w:hyperlink>
        </w:p>
        <w:p w14:paraId="2CF52695" w14:textId="61A1C06D"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7" w:history="1">
            <w:r w:rsidRPr="00711724">
              <w:rPr>
                <w:rStyle w:val="Hyperlink"/>
                <w:noProof/>
              </w:rPr>
              <w:t>6. Decile Pattern and Leg Decomposition</w:t>
            </w:r>
            <w:r>
              <w:rPr>
                <w:noProof/>
                <w:webHidden/>
              </w:rPr>
              <w:tab/>
            </w:r>
            <w:r>
              <w:rPr>
                <w:noProof/>
                <w:webHidden/>
              </w:rPr>
              <w:fldChar w:fldCharType="begin"/>
            </w:r>
            <w:r>
              <w:rPr>
                <w:noProof/>
                <w:webHidden/>
              </w:rPr>
              <w:instrText xml:space="preserve"> PAGEREF _Toc228955547 \h </w:instrText>
            </w:r>
            <w:r>
              <w:rPr>
                <w:noProof/>
                <w:webHidden/>
              </w:rPr>
            </w:r>
            <w:r>
              <w:rPr>
                <w:noProof/>
                <w:webHidden/>
              </w:rPr>
              <w:fldChar w:fldCharType="separate"/>
            </w:r>
            <w:r>
              <w:rPr>
                <w:noProof/>
                <w:webHidden/>
              </w:rPr>
              <w:t>7</w:t>
            </w:r>
            <w:r>
              <w:rPr>
                <w:noProof/>
                <w:webHidden/>
              </w:rPr>
              <w:fldChar w:fldCharType="end"/>
            </w:r>
          </w:hyperlink>
        </w:p>
        <w:p w14:paraId="53D5DBF9" w14:textId="1D6E61FB"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8" w:history="1">
            <w:r w:rsidRPr="00711724">
              <w:rPr>
                <w:rStyle w:val="Hyperlink"/>
                <w:noProof/>
              </w:rPr>
              <w:t>7. Robustn</w:t>
            </w:r>
            <w:r w:rsidRPr="00711724">
              <w:rPr>
                <w:rStyle w:val="Hyperlink"/>
                <w:noProof/>
              </w:rPr>
              <w:t>e</w:t>
            </w:r>
            <w:r w:rsidRPr="00711724">
              <w:rPr>
                <w:rStyle w:val="Hyperlink"/>
                <w:noProof/>
              </w:rPr>
              <w:t>ss</w:t>
            </w:r>
            <w:r>
              <w:rPr>
                <w:noProof/>
                <w:webHidden/>
              </w:rPr>
              <w:tab/>
            </w:r>
            <w:r>
              <w:rPr>
                <w:noProof/>
                <w:webHidden/>
              </w:rPr>
              <w:fldChar w:fldCharType="begin"/>
            </w:r>
            <w:r>
              <w:rPr>
                <w:noProof/>
                <w:webHidden/>
              </w:rPr>
              <w:instrText xml:space="preserve"> PAGEREF _Toc228955548 \h </w:instrText>
            </w:r>
            <w:r>
              <w:rPr>
                <w:noProof/>
                <w:webHidden/>
              </w:rPr>
            </w:r>
            <w:r>
              <w:rPr>
                <w:noProof/>
                <w:webHidden/>
              </w:rPr>
              <w:fldChar w:fldCharType="separate"/>
            </w:r>
            <w:r>
              <w:rPr>
                <w:noProof/>
                <w:webHidden/>
              </w:rPr>
              <w:t>9</w:t>
            </w:r>
            <w:r>
              <w:rPr>
                <w:noProof/>
                <w:webHidden/>
              </w:rPr>
              <w:fldChar w:fldCharType="end"/>
            </w:r>
          </w:hyperlink>
        </w:p>
        <w:p w14:paraId="4E64C1FD" w14:textId="6FA7FAA1"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49" w:history="1">
            <w:r w:rsidRPr="00711724">
              <w:rPr>
                <w:rStyle w:val="Hyperlink"/>
                <w:noProof/>
              </w:rPr>
              <w:t>8. Bottom-Tail Characteristics and Economic Interpretation</w:t>
            </w:r>
            <w:r>
              <w:rPr>
                <w:noProof/>
                <w:webHidden/>
              </w:rPr>
              <w:tab/>
            </w:r>
            <w:r>
              <w:rPr>
                <w:noProof/>
                <w:webHidden/>
              </w:rPr>
              <w:fldChar w:fldCharType="begin"/>
            </w:r>
            <w:r>
              <w:rPr>
                <w:noProof/>
                <w:webHidden/>
              </w:rPr>
              <w:instrText xml:space="preserve"> PAGEREF _Toc228955549 \h </w:instrText>
            </w:r>
            <w:r>
              <w:rPr>
                <w:noProof/>
                <w:webHidden/>
              </w:rPr>
            </w:r>
            <w:r>
              <w:rPr>
                <w:noProof/>
                <w:webHidden/>
              </w:rPr>
              <w:fldChar w:fldCharType="separate"/>
            </w:r>
            <w:r>
              <w:rPr>
                <w:noProof/>
                <w:webHidden/>
              </w:rPr>
              <w:t>13</w:t>
            </w:r>
            <w:r>
              <w:rPr>
                <w:noProof/>
                <w:webHidden/>
              </w:rPr>
              <w:fldChar w:fldCharType="end"/>
            </w:r>
          </w:hyperlink>
        </w:p>
        <w:p w14:paraId="0A72DB48" w14:textId="2C49DF89"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0" w:history="1">
            <w:r w:rsidRPr="00711724">
              <w:rPr>
                <w:rStyle w:val="Hyperlink"/>
                <w:noProof/>
              </w:rPr>
              <w:t>9. Sector Exposure</w:t>
            </w:r>
            <w:r>
              <w:rPr>
                <w:noProof/>
                <w:webHidden/>
              </w:rPr>
              <w:tab/>
            </w:r>
            <w:r>
              <w:rPr>
                <w:noProof/>
                <w:webHidden/>
              </w:rPr>
              <w:fldChar w:fldCharType="begin"/>
            </w:r>
            <w:r>
              <w:rPr>
                <w:noProof/>
                <w:webHidden/>
              </w:rPr>
              <w:instrText xml:space="preserve"> PAGEREF _Toc228955550 \h </w:instrText>
            </w:r>
            <w:r>
              <w:rPr>
                <w:noProof/>
                <w:webHidden/>
              </w:rPr>
            </w:r>
            <w:r>
              <w:rPr>
                <w:noProof/>
                <w:webHidden/>
              </w:rPr>
              <w:fldChar w:fldCharType="separate"/>
            </w:r>
            <w:r>
              <w:rPr>
                <w:noProof/>
                <w:webHidden/>
              </w:rPr>
              <w:t>14</w:t>
            </w:r>
            <w:r>
              <w:rPr>
                <w:noProof/>
                <w:webHidden/>
              </w:rPr>
              <w:fldChar w:fldCharType="end"/>
            </w:r>
          </w:hyperlink>
        </w:p>
        <w:p w14:paraId="735320DC" w14:textId="195C3CB8"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1" w:history="1">
            <w:r w:rsidRPr="00711724">
              <w:rPr>
                <w:rStyle w:val="Hyperlink"/>
                <w:noProof/>
              </w:rPr>
              <w:t>10. Implementation and Transaction Costs</w:t>
            </w:r>
            <w:r>
              <w:rPr>
                <w:noProof/>
                <w:webHidden/>
              </w:rPr>
              <w:tab/>
            </w:r>
            <w:r>
              <w:rPr>
                <w:noProof/>
                <w:webHidden/>
              </w:rPr>
              <w:fldChar w:fldCharType="begin"/>
            </w:r>
            <w:r>
              <w:rPr>
                <w:noProof/>
                <w:webHidden/>
              </w:rPr>
              <w:instrText xml:space="preserve"> PAGEREF _Toc228955551 \h </w:instrText>
            </w:r>
            <w:r>
              <w:rPr>
                <w:noProof/>
                <w:webHidden/>
              </w:rPr>
            </w:r>
            <w:r>
              <w:rPr>
                <w:noProof/>
                <w:webHidden/>
              </w:rPr>
              <w:fldChar w:fldCharType="separate"/>
            </w:r>
            <w:r>
              <w:rPr>
                <w:noProof/>
                <w:webHidden/>
              </w:rPr>
              <w:t>14</w:t>
            </w:r>
            <w:r>
              <w:rPr>
                <w:noProof/>
                <w:webHidden/>
              </w:rPr>
              <w:fldChar w:fldCharType="end"/>
            </w:r>
          </w:hyperlink>
        </w:p>
        <w:p w14:paraId="5720919B" w14:textId="3C1FDF92"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2" w:history="1">
            <w:r w:rsidRPr="00711724">
              <w:rPr>
                <w:rStyle w:val="Hyperlink"/>
                <w:noProof/>
              </w:rPr>
              <w:t>11. Long-Only Application: IV Spread as a Negative-Selection Screen</w:t>
            </w:r>
            <w:r>
              <w:rPr>
                <w:noProof/>
                <w:webHidden/>
              </w:rPr>
              <w:tab/>
            </w:r>
            <w:r>
              <w:rPr>
                <w:noProof/>
                <w:webHidden/>
              </w:rPr>
              <w:fldChar w:fldCharType="begin"/>
            </w:r>
            <w:r>
              <w:rPr>
                <w:noProof/>
                <w:webHidden/>
              </w:rPr>
              <w:instrText xml:space="preserve"> PAGEREF _Toc228955552 \h </w:instrText>
            </w:r>
            <w:r>
              <w:rPr>
                <w:noProof/>
                <w:webHidden/>
              </w:rPr>
            </w:r>
            <w:r>
              <w:rPr>
                <w:noProof/>
                <w:webHidden/>
              </w:rPr>
              <w:fldChar w:fldCharType="separate"/>
            </w:r>
            <w:r>
              <w:rPr>
                <w:noProof/>
                <w:webHidden/>
              </w:rPr>
              <w:t>15</w:t>
            </w:r>
            <w:r>
              <w:rPr>
                <w:noProof/>
                <w:webHidden/>
              </w:rPr>
              <w:fldChar w:fldCharType="end"/>
            </w:r>
          </w:hyperlink>
        </w:p>
        <w:p w14:paraId="177EC08D" w14:textId="3945899E"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3" w:history="1">
            <w:r w:rsidRPr="00711724">
              <w:rPr>
                <w:rStyle w:val="Hyperlink"/>
                <w:noProof/>
              </w:rPr>
              <w:t>12. Audit and Reproducibility</w:t>
            </w:r>
            <w:r>
              <w:rPr>
                <w:noProof/>
                <w:webHidden/>
              </w:rPr>
              <w:tab/>
            </w:r>
            <w:r>
              <w:rPr>
                <w:noProof/>
                <w:webHidden/>
              </w:rPr>
              <w:fldChar w:fldCharType="begin"/>
            </w:r>
            <w:r>
              <w:rPr>
                <w:noProof/>
                <w:webHidden/>
              </w:rPr>
              <w:instrText xml:space="preserve"> PAGEREF _Toc228955553 \h </w:instrText>
            </w:r>
            <w:r>
              <w:rPr>
                <w:noProof/>
                <w:webHidden/>
              </w:rPr>
            </w:r>
            <w:r>
              <w:rPr>
                <w:noProof/>
                <w:webHidden/>
              </w:rPr>
              <w:fldChar w:fldCharType="separate"/>
            </w:r>
            <w:r>
              <w:rPr>
                <w:noProof/>
                <w:webHidden/>
              </w:rPr>
              <w:t>19</w:t>
            </w:r>
            <w:r>
              <w:rPr>
                <w:noProof/>
                <w:webHidden/>
              </w:rPr>
              <w:fldChar w:fldCharType="end"/>
            </w:r>
          </w:hyperlink>
        </w:p>
        <w:p w14:paraId="74ADA182" w14:textId="6542B2F0"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4" w:history="1">
            <w:r w:rsidRPr="00711724">
              <w:rPr>
                <w:rStyle w:val="Hyperlink"/>
                <w:noProof/>
              </w:rPr>
              <w:t>13. Limitations</w:t>
            </w:r>
            <w:r>
              <w:rPr>
                <w:noProof/>
                <w:webHidden/>
              </w:rPr>
              <w:tab/>
            </w:r>
            <w:r>
              <w:rPr>
                <w:noProof/>
                <w:webHidden/>
              </w:rPr>
              <w:fldChar w:fldCharType="begin"/>
            </w:r>
            <w:r>
              <w:rPr>
                <w:noProof/>
                <w:webHidden/>
              </w:rPr>
              <w:instrText xml:space="preserve"> PAGEREF _Toc228955554 \h </w:instrText>
            </w:r>
            <w:r>
              <w:rPr>
                <w:noProof/>
                <w:webHidden/>
              </w:rPr>
            </w:r>
            <w:r>
              <w:rPr>
                <w:noProof/>
                <w:webHidden/>
              </w:rPr>
              <w:fldChar w:fldCharType="separate"/>
            </w:r>
            <w:r>
              <w:rPr>
                <w:noProof/>
                <w:webHidden/>
              </w:rPr>
              <w:t>19</w:t>
            </w:r>
            <w:r>
              <w:rPr>
                <w:noProof/>
                <w:webHidden/>
              </w:rPr>
              <w:fldChar w:fldCharType="end"/>
            </w:r>
          </w:hyperlink>
        </w:p>
        <w:p w14:paraId="4419F296" w14:textId="4A662CE2"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5" w:history="1">
            <w:r w:rsidRPr="00711724">
              <w:rPr>
                <w:rStyle w:val="Hyperlink"/>
                <w:noProof/>
              </w:rPr>
              <w:t>14. Conclusion</w:t>
            </w:r>
            <w:r>
              <w:rPr>
                <w:noProof/>
                <w:webHidden/>
              </w:rPr>
              <w:tab/>
            </w:r>
            <w:r>
              <w:rPr>
                <w:noProof/>
                <w:webHidden/>
              </w:rPr>
              <w:fldChar w:fldCharType="begin"/>
            </w:r>
            <w:r>
              <w:rPr>
                <w:noProof/>
                <w:webHidden/>
              </w:rPr>
              <w:instrText xml:space="preserve"> PAGEREF _Toc228955555 \h </w:instrText>
            </w:r>
            <w:r>
              <w:rPr>
                <w:noProof/>
                <w:webHidden/>
              </w:rPr>
            </w:r>
            <w:r>
              <w:rPr>
                <w:noProof/>
                <w:webHidden/>
              </w:rPr>
              <w:fldChar w:fldCharType="separate"/>
            </w:r>
            <w:r>
              <w:rPr>
                <w:noProof/>
                <w:webHidden/>
              </w:rPr>
              <w:t>20</w:t>
            </w:r>
            <w:r>
              <w:rPr>
                <w:noProof/>
                <w:webHidden/>
              </w:rPr>
              <w:fldChar w:fldCharType="end"/>
            </w:r>
          </w:hyperlink>
        </w:p>
        <w:p w14:paraId="327C2FCC" w14:textId="17CB6D6E" w:rsidR="00D56005" w:rsidRDefault="00D56005" w:rsidP="00D56005">
          <w:pPr>
            <w:pStyle w:val="TOC1"/>
            <w:tabs>
              <w:tab w:val="right" w:leader="dot" w:pos="9350"/>
            </w:tabs>
            <w:spacing w:line="276" w:lineRule="auto"/>
            <w:rPr>
              <w:rFonts w:eastAsiaTheme="minorEastAsia"/>
              <w:noProof/>
              <w:kern w:val="2"/>
              <w14:ligatures w14:val="standardContextual"/>
            </w:rPr>
          </w:pPr>
          <w:hyperlink w:anchor="_Toc228955556" w:history="1">
            <w:r w:rsidRPr="00711724">
              <w:rPr>
                <w:rStyle w:val="Hyperlink"/>
                <w:noProof/>
              </w:rPr>
              <w:t>Appendix</w:t>
            </w:r>
            <w:r>
              <w:rPr>
                <w:noProof/>
                <w:webHidden/>
              </w:rPr>
              <w:tab/>
            </w:r>
            <w:r>
              <w:rPr>
                <w:noProof/>
                <w:webHidden/>
              </w:rPr>
              <w:fldChar w:fldCharType="begin"/>
            </w:r>
            <w:r>
              <w:rPr>
                <w:noProof/>
                <w:webHidden/>
              </w:rPr>
              <w:instrText xml:space="preserve"> PAGEREF _Toc228955556 \h </w:instrText>
            </w:r>
            <w:r>
              <w:rPr>
                <w:noProof/>
                <w:webHidden/>
              </w:rPr>
            </w:r>
            <w:r>
              <w:rPr>
                <w:noProof/>
                <w:webHidden/>
              </w:rPr>
              <w:fldChar w:fldCharType="separate"/>
            </w:r>
            <w:r>
              <w:rPr>
                <w:noProof/>
                <w:webHidden/>
              </w:rPr>
              <w:t>21</w:t>
            </w:r>
            <w:r>
              <w:rPr>
                <w:noProof/>
                <w:webHidden/>
              </w:rPr>
              <w:fldChar w:fldCharType="end"/>
            </w:r>
          </w:hyperlink>
        </w:p>
        <w:p w14:paraId="61426DA3" w14:textId="7ED15517"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7" w:history="1">
            <w:r w:rsidRPr="00711724">
              <w:rPr>
                <w:rStyle w:val="Hyperlink"/>
                <w:noProof/>
              </w:rPr>
              <w:t>Appendix A. Supporting Figures</w:t>
            </w:r>
            <w:r>
              <w:rPr>
                <w:noProof/>
                <w:webHidden/>
              </w:rPr>
              <w:tab/>
            </w:r>
            <w:r>
              <w:rPr>
                <w:noProof/>
                <w:webHidden/>
              </w:rPr>
              <w:fldChar w:fldCharType="begin"/>
            </w:r>
            <w:r>
              <w:rPr>
                <w:noProof/>
                <w:webHidden/>
              </w:rPr>
              <w:instrText xml:space="preserve"> PAGEREF _Toc228955557 \h </w:instrText>
            </w:r>
            <w:r>
              <w:rPr>
                <w:noProof/>
                <w:webHidden/>
              </w:rPr>
            </w:r>
            <w:r>
              <w:rPr>
                <w:noProof/>
                <w:webHidden/>
              </w:rPr>
              <w:fldChar w:fldCharType="separate"/>
            </w:r>
            <w:r>
              <w:rPr>
                <w:noProof/>
                <w:webHidden/>
              </w:rPr>
              <w:t>21</w:t>
            </w:r>
            <w:r>
              <w:rPr>
                <w:noProof/>
                <w:webHidden/>
              </w:rPr>
              <w:fldChar w:fldCharType="end"/>
            </w:r>
          </w:hyperlink>
        </w:p>
        <w:p w14:paraId="4C74FFD3" w14:textId="6C634CD4"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8" w:history="1">
            <w:r w:rsidRPr="00711724">
              <w:rPr>
                <w:rStyle w:val="Hyperlink"/>
                <w:noProof/>
              </w:rPr>
              <w:t>Appendix B. Additional Robustness Tables</w:t>
            </w:r>
            <w:r>
              <w:rPr>
                <w:noProof/>
                <w:webHidden/>
              </w:rPr>
              <w:tab/>
            </w:r>
            <w:r>
              <w:rPr>
                <w:noProof/>
                <w:webHidden/>
              </w:rPr>
              <w:fldChar w:fldCharType="begin"/>
            </w:r>
            <w:r>
              <w:rPr>
                <w:noProof/>
                <w:webHidden/>
              </w:rPr>
              <w:instrText xml:space="preserve"> PAGEREF _Toc228955558 \h </w:instrText>
            </w:r>
            <w:r>
              <w:rPr>
                <w:noProof/>
                <w:webHidden/>
              </w:rPr>
            </w:r>
            <w:r>
              <w:rPr>
                <w:noProof/>
                <w:webHidden/>
              </w:rPr>
              <w:fldChar w:fldCharType="separate"/>
            </w:r>
            <w:r>
              <w:rPr>
                <w:noProof/>
                <w:webHidden/>
              </w:rPr>
              <w:t>27</w:t>
            </w:r>
            <w:r>
              <w:rPr>
                <w:noProof/>
                <w:webHidden/>
              </w:rPr>
              <w:fldChar w:fldCharType="end"/>
            </w:r>
          </w:hyperlink>
        </w:p>
        <w:p w14:paraId="3F8713ED" w14:textId="3ADAA7D6"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59" w:history="1">
            <w:r w:rsidRPr="00711724">
              <w:rPr>
                <w:rStyle w:val="Hyperlink"/>
                <w:noProof/>
              </w:rPr>
              <w:t>Appendix C. Figure Inventory</w:t>
            </w:r>
            <w:r>
              <w:rPr>
                <w:noProof/>
                <w:webHidden/>
              </w:rPr>
              <w:tab/>
            </w:r>
            <w:r>
              <w:rPr>
                <w:noProof/>
                <w:webHidden/>
              </w:rPr>
              <w:fldChar w:fldCharType="begin"/>
            </w:r>
            <w:r>
              <w:rPr>
                <w:noProof/>
                <w:webHidden/>
              </w:rPr>
              <w:instrText xml:space="preserve"> PAGEREF _Toc228955559 \h </w:instrText>
            </w:r>
            <w:r>
              <w:rPr>
                <w:noProof/>
                <w:webHidden/>
              </w:rPr>
            </w:r>
            <w:r>
              <w:rPr>
                <w:noProof/>
                <w:webHidden/>
              </w:rPr>
              <w:fldChar w:fldCharType="separate"/>
            </w:r>
            <w:r>
              <w:rPr>
                <w:noProof/>
                <w:webHidden/>
              </w:rPr>
              <w:t>28</w:t>
            </w:r>
            <w:r>
              <w:rPr>
                <w:noProof/>
                <w:webHidden/>
              </w:rPr>
              <w:fldChar w:fldCharType="end"/>
            </w:r>
          </w:hyperlink>
        </w:p>
        <w:p w14:paraId="3C142F82" w14:textId="62EF710C"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60" w:history="1">
            <w:r w:rsidRPr="00711724">
              <w:rPr>
                <w:rStyle w:val="Hyperlink"/>
                <w:noProof/>
              </w:rPr>
              <w:t>Appendix D. Audit and Reproducibility Summary</w:t>
            </w:r>
            <w:r>
              <w:rPr>
                <w:noProof/>
                <w:webHidden/>
              </w:rPr>
              <w:tab/>
            </w:r>
            <w:r>
              <w:rPr>
                <w:noProof/>
                <w:webHidden/>
              </w:rPr>
              <w:fldChar w:fldCharType="begin"/>
            </w:r>
            <w:r>
              <w:rPr>
                <w:noProof/>
                <w:webHidden/>
              </w:rPr>
              <w:instrText xml:space="preserve"> PAGEREF _Toc228955560 \h </w:instrText>
            </w:r>
            <w:r>
              <w:rPr>
                <w:noProof/>
                <w:webHidden/>
              </w:rPr>
            </w:r>
            <w:r>
              <w:rPr>
                <w:noProof/>
                <w:webHidden/>
              </w:rPr>
              <w:fldChar w:fldCharType="separate"/>
            </w:r>
            <w:r>
              <w:rPr>
                <w:noProof/>
                <w:webHidden/>
              </w:rPr>
              <w:t>29</w:t>
            </w:r>
            <w:r>
              <w:rPr>
                <w:noProof/>
                <w:webHidden/>
              </w:rPr>
              <w:fldChar w:fldCharType="end"/>
            </w:r>
          </w:hyperlink>
        </w:p>
        <w:p w14:paraId="6D6F61D8" w14:textId="61D8E1C8"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61" w:history="1">
            <w:r w:rsidRPr="00711724">
              <w:rPr>
                <w:rStyle w:val="Hyperlink"/>
                <w:noProof/>
              </w:rPr>
              <w:t>Appendix E. Tables Directory</w:t>
            </w:r>
            <w:r>
              <w:rPr>
                <w:noProof/>
                <w:webHidden/>
              </w:rPr>
              <w:tab/>
            </w:r>
            <w:r>
              <w:rPr>
                <w:noProof/>
                <w:webHidden/>
              </w:rPr>
              <w:fldChar w:fldCharType="begin"/>
            </w:r>
            <w:r>
              <w:rPr>
                <w:noProof/>
                <w:webHidden/>
              </w:rPr>
              <w:instrText xml:space="preserve"> PAGEREF _Toc228955561 \h </w:instrText>
            </w:r>
            <w:r>
              <w:rPr>
                <w:noProof/>
                <w:webHidden/>
              </w:rPr>
            </w:r>
            <w:r>
              <w:rPr>
                <w:noProof/>
                <w:webHidden/>
              </w:rPr>
              <w:fldChar w:fldCharType="separate"/>
            </w:r>
            <w:r>
              <w:rPr>
                <w:noProof/>
                <w:webHidden/>
              </w:rPr>
              <w:t>30</w:t>
            </w:r>
            <w:r>
              <w:rPr>
                <w:noProof/>
                <w:webHidden/>
              </w:rPr>
              <w:fldChar w:fldCharType="end"/>
            </w:r>
          </w:hyperlink>
        </w:p>
        <w:p w14:paraId="65099094" w14:textId="267BFE96" w:rsidR="00D56005" w:rsidRDefault="00D56005" w:rsidP="00D56005">
          <w:pPr>
            <w:pStyle w:val="TOC2"/>
            <w:tabs>
              <w:tab w:val="right" w:leader="dot" w:pos="9350"/>
            </w:tabs>
            <w:spacing w:line="276" w:lineRule="auto"/>
            <w:rPr>
              <w:rFonts w:eastAsiaTheme="minorEastAsia"/>
              <w:noProof/>
              <w:kern w:val="2"/>
              <w14:ligatures w14:val="standardContextual"/>
            </w:rPr>
          </w:pPr>
          <w:hyperlink w:anchor="_Toc228955562" w:history="1">
            <w:r w:rsidRPr="00711724">
              <w:rPr>
                <w:rStyle w:val="Hyperlink"/>
                <w:noProof/>
              </w:rPr>
              <w:t>References (needs verification)</w:t>
            </w:r>
            <w:r>
              <w:rPr>
                <w:noProof/>
                <w:webHidden/>
              </w:rPr>
              <w:tab/>
            </w:r>
            <w:r>
              <w:rPr>
                <w:noProof/>
                <w:webHidden/>
              </w:rPr>
              <w:fldChar w:fldCharType="begin"/>
            </w:r>
            <w:r>
              <w:rPr>
                <w:noProof/>
                <w:webHidden/>
              </w:rPr>
              <w:instrText xml:space="preserve"> PAGEREF _Toc228955562 \h </w:instrText>
            </w:r>
            <w:r>
              <w:rPr>
                <w:noProof/>
                <w:webHidden/>
              </w:rPr>
            </w:r>
            <w:r>
              <w:rPr>
                <w:noProof/>
                <w:webHidden/>
              </w:rPr>
              <w:fldChar w:fldCharType="separate"/>
            </w:r>
            <w:r>
              <w:rPr>
                <w:noProof/>
                <w:webHidden/>
              </w:rPr>
              <w:t>30</w:t>
            </w:r>
            <w:r>
              <w:rPr>
                <w:noProof/>
                <w:webHidden/>
              </w:rPr>
              <w:fldChar w:fldCharType="end"/>
            </w:r>
          </w:hyperlink>
        </w:p>
        <w:p w14:paraId="274FF892" w14:textId="3AFC7A5F" w:rsidR="00FA75C9" w:rsidRDefault="00000000" w:rsidP="00D56005">
          <w:pPr>
            <w:spacing w:line="276" w:lineRule="auto"/>
          </w:pPr>
          <w:r>
            <w:fldChar w:fldCharType="end"/>
          </w:r>
        </w:p>
      </w:sdtContent>
    </w:sdt>
    <w:p w14:paraId="4F2C0A84" w14:textId="086A0CF7" w:rsidR="00FA75C9" w:rsidRDefault="00FA75C9" w:rsidP="00D56005">
      <w:pPr>
        <w:pStyle w:val="FirstParagraph"/>
        <w:spacing w:line="360" w:lineRule="auto"/>
      </w:pPr>
    </w:p>
    <w:p w14:paraId="35991F02" w14:textId="77777777" w:rsidR="00D56005" w:rsidRDefault="00D56005" w:rsidP="00D56005">
      <w:pPr>
        <w:spacing w:line="360" w:lineRule="auto"/>
        <w:rPr>
          <w:rFonts w:asciiTheme="majorHAnsi" w:eastAsiaTheme="majorEastAsia" w:hAnsiTheme="majorHAnsi" w:cstheme="majorBidi"/>
          <w:b/>
          <w:bCs/>
          <w:color w:val="4F81BD" w:themeColor="accent1"/>
          <w:sz w:val="28"/>
          <w:szCs w:val="28"/>
        </w:rPr>
      </w:pPr>
      <w:bookmarkStart w:id="0" w:name="abstract"/>
      <w:r>
        <w:br w:type="page"/>
      </w:r>
    </w:p>
    <w:p w14:paraId="679C4331" w14:textId="678006FE" w:rsidR="00FA75C9" w:rsidRDefault="00000000" w:rsidP="00D56005">
      <w:pPr>
        <w:pStyle w:val="Heading2"/>
        <w:spacing w:line="360" w:lineRule="auto"/>
      </w:pPr>
      <w:bookmarkStart w:id="1" w:name="_Toc228955541"/>
      <w:r>
        <w:lastRenderedPageBreak/>
        <w:t>Abstract</w:t>
      </w:r>
      <w:bookmarkEnd w:id="0"/>
      <w:bookmarkEnd w:id="1"/>
    </w:p>
    <w:p w14:paraId="70CA9573" w14:textId="77777777" w:rsidR="00FA75C9" w:rsidRDefault="00000000" w:rsidP="00D56005">
      <w:pPr>
        <w:pStyle w:val="FirstParagraph"/>
        <w:spacing w:line="360" w:lineRule="auto"/>
      </w:pPr>
      <w:r>
        <w:t>This project investigates whether option-implied signals predict subsequent stock returns within the optionable U.S. equity universe. The core signal is the IV spread, defined as the at-the-money call implied volatility minus the at-the-money put implied volatility for the same name on the same day. Using OptionMetrics IvyDB volatility surfaces, CRSP daily and monthly returns, and the official WRDS CRSP–OptionMetrics linking table, the analysis builds a monthly signal panel of 447,629 stock-months covering signal months 2010-01 through 2023-12 and forward returns 2010-02 through 2024-01. The headline finding is that stocks in the lowest decile of IV spread—names whose put IV is unusually high relative to their call IV—subsequently underperform the broader optionable universe. The equal-weighted strategy that buys the universe and sells the bottom IV-spread decile earns 7.57% annualized over 168 months, with a raw t-statistic of 4.16, a Newey-West t-statistic of 4.00, and a Fama-French five-factor plus momentum (FF5+MOM) alpha of 6.40% (t = 5.07). Restricting the universe to stocks with market capitalization above $100 million produces 7.73% annualized and a 6.29% FF5+MOM alpha (t = 5.85). The decile pattern is not smoothly monotonic: D1 returns 3.96% while D2–D9 cluster between 8% and 14% and D10 returns 9.28%. The cleaner interpretation is bottom-tail negative selection rather than a monotonic ranking factor. All numbers are gross of transaction costs. Average one-way turnover in the bottom decile is roughly 71%, and a rough cost sensitivity that charges both legs of the long-short shows that net returns turn slightly negative around 50 basis points per side. The result is therefore best framed as evidence of bottom-tail negative selection rather than a directly tradeable monthly long-short factor. A more practical re-framing is a long-only exclusion screen that simply removes the bottom IV-spread decile from a broad equal-weighted optionable book: this version improves the all-stock universe return from 11.53% to 12.37% annualized (an improvement of 0.84%, NW t = 4.00) at one-way turnover of about 8.5% per month, and survives realistic cost assumptions over the bands tested.</w:t>
      </w:r>
    </w:p>
    <w:p w14:paraId="26D45723" w14:textId="77777777" w:rsidR="00FA75C9" w:rsidRDefault="00000000" w:rsidP="00D56005">
      <w:pPr>
        <w:pStyle w:val="Heading2"/>
        <w:spacing w:line="360" w:lineRule="auto"/>
      </w:pPr>
      <w:bookmarkStart w:id="2" w:name="introduction"/>
      <w:bookmarkStart w:id="3" w:name="_Toc228955542"/>
      <w:r>
        <w:lastRenderedPageBreak/>
        <w:t>1. Introduction</w:t>
      </w:r>
      <w:bookmarkEnd w:id="2"/>
      <w:bookmarkEnd w:id="3"/>
    </w:p>
    <w:p w14:paraId="3B1FA505" w14:textId="77777777" w:rsidR="00FA75C9" w:rsidRDefault="00000000" w:rsidP="00D56005">
      <w:pPr>
        <w:pStyle w:val="FirstParagraph"/>
        <w:spacing w:line="360" w:lineRule="auto"/>
      </w:pPr>
      <w:r>
        <w:t>Options markets aggregate information about the cross-section of forward-looking risk in ways that the stock tape does not. Demand for downside protection, dealer hedging pressure, and informed trading on private information about earnings or corporate events can all show up first in the term structure and skew of implied volatility. A large body of empirical work has interpreted relative differences between call and put implied volatility for the same underlying — often called the IV spread — as a measure of asymmetric demand or informed sentiment about the stock.</w:t>
      </w:r>
    </w:p>
    <w:p w14:paraId="480A7959" w14:textId="77777777" w:rsidR="00FA75C9" w:rsidRDefault="00000000" w:rsidP="00D56005">
      <w:pPr>
        <w:pStyle w:val="BodyText"/>
        <w:spacing w:line="360" w:lineRule="auto"/>
      </w:pPr>
      <w:r>
        <w:t>The intuition is straightforward. When the put-side implied volatility for a name is high relative to the call-side implied volatility, the option market is paying up for downside protection or expressing relative pessimism about the underlying. If that pessimism is at least partially informed, the underlying stock should subsequently underperform.</w:t>
      </w:r>
    </w:p>
    <w:p w14:paraId="54DE1E94" w14:textId="77777777" w:rsidR="00FA75C9" w:rsidRDefault="00000000" w:rsidP="00D56005">
      <w:pPr>
        <w:pStyle w:val="BodyText"/>
        <w:spacing w:line="360" w:lineRule="auto"/>
      </w:pPr>
      <w:r>
        <w:t>This project tests the hypothesis directly. The IV spread is defined with the call leg first, so a low or negative IV spread corresponds to put IV being elevated relative to call IV. The question is whether stocks in the low IV-spread tail subsequently underperform the optionable universe. The full 2010–2023 sample, audited end-to-end, indicates that they do, and that this underperformance survives standard factor controls. The effect is concentrated in the bottom decile rather than spread evenly across the IV-spread distribution, which has direct implications for how the result should be framed.</w:t>
      </w:r>
    </w:p>
    <w:p w14:paraId="1C0F3A41" w14:textId="69904F20" w:rsidR="00C076D5" w:rsidRDefault="00000000" w:rsidP="00D56005">
      <w:pPr>
        <w:pStyle w:val="BodyText"/>
        <w:spacing w:line="360" w:lineRule="auto"/>
      </w:pPr>
      <w:r>
        <w:t xml:space="preserve">The signal itself is established in the literature. Bali and Hovakimian (2009) document a positive cross-sectional relation between the call-minus-put implied volatility spread and next-month stock returns and interpret it as a jump-risk proxy. Cremers and Weinbaum (2010) show that deviations from put–call parity, measured through paired call and put IVs, predict future stock returns. An, Ang, Bali, and Cakici (2014) show that monthly changes in call and put implied volatilities also predict the cross-section of returns. Xing, Zhang, and Zhao (2010) document related predictability for an OTM-put-vs-ATM-call skew measure. The broader options-information literature, including Pan and Poteshman (2006) on signed option volume, Garleanu, Pedersen, and Poteshman (2009) on demand-based option pricing, and Carr and Wu (2009) and Bollerslev, Tauchen, and Zhou (2009) on the </w:t>
      </w:r>
      <w:r>
        <w:lastRenderedPageBreak/>
        <w:t xml:space="preserve">variance risk premium, supplies the structural intuition for why call-minus-put IV could capture downside concern, put demand, or negative information. Closer in spirit to the bottom-tail framing here, Atilgan, Bali, Demirtas, and Gunaydin (2020) document a left-tail return-momentum effect in the cross-section. </w:t>
      </w:r>
    </w:p>
    <w:p w14:paraId="5430EA9A" w14:textId="76ED7B04" w:rsidR="00C076D5" w:rsidRDefault="00C076D5" w:rsidP="00D56005">
      <w:pPr>
        <w:pStyle w:val="BodyText"/>
        <w:spacing w:line="360" w:lineRule="auto"/>
      </w:pPr>
      <w:r w:rsidRPr="00C076D5">
        <w:t xml:space="preserve">The contribution of this project is not to claim that option-implied return predictability is entirely new. Instead, the contribution is threefold. First, I provide an audited out-of-sample test of call-minus-put implied volatility over a modern 2010–2023 </w:t>
      </w:r>
      <w:proofErr w:type="spellStart"/>
      <w:r w:rsidRPr="00C076D5">
        <w:t>OptionMetrics</w:t>
      </w:r>
      <w:proofErr w:type="spellEnd"/>
      <w:r w:rsidRPr="00C076D5">
        <w:t>–CRSP sample. Second, I show that the effect is best understood as bottom-tail underperformance rather than a smooth monotonic ranking factor: low IV-spread stocks underperform, but high IV-spread stocks do not reliably outperform. Third, I translate the result into a more practical long-only exclusion screen and show that this negative-selection application is more implementable than the high-turnover long-short strategy.</w:t>
      </w:r>
    </w:p>
    <w:p w14:paraId="2950D20B" w14:textId="77777777" w:rsidR="00FA75C9" w:rsidRDefault="00000000" w:rsidP="00D56005">
      <w:pPr>
        <w:pStyle w:val="Heading2"/>
        <w:spacing w:line="360" w:lineRule="auto"/>
      </w:pPr>
      <w:bookmarkStart w:id="4" w:name="data"/>
      <w:bookmarkStart w:id="5" w:name="_Toc228955543"/>
      <w:r>
        <w:t>2. Data</w:t>
      </w:r>
      <w:bookmarkEnd w:id="4"/>
      <w:bookmarkEnd w:id="5"/>
    </w:p>
    <w:p w14:paraId="1C96C39E" w14:textId="77777777" w:rsidR="00FA75C9" w:rsidRDefault="00000000" w:rsidP="00D56005">
      <w:pPr>
        <w:pStyle w:val="FirstParagraph"/>
        <w:spacing w:line="360" w:lineRule="auto"/>
      </w:pPr>
      <w:r>
        <w:t>The empirical work draws on three primary data sources, all accessed through WRDS.</w:t>
      </w:r>
    </w:p>
    <w:p w14:paraId="5EDB5326" w14:textId="77777777" w:rsidR="00FA75C9" w:rsidRDefault="00000000" w:rsidP="00D56005">
      <w:pPr>
        <w:pStyle w:val="BodyText"/>
        <w:spacing w:line="360" w:lineRule="auto"/>
      </w:pPr>
      <w:r>
        <w:t>OptionMetrics IvyDB provides the daily volatility surface used to construct option-implied signals. From this surface, the project extracts at-the-money call implied volatility (</w:t>
      </w:r>
      <w:r>
        <w:rPr>
          <w:rStyle w:val="VerbatimChar"/>
        </w:rPr>
        <w:t>iv_atm_call</w:t>
      </w:r>
      <w:r>
        <w:t>), at-the-money put implied volatility (</w:t>
      </w:r>
      <w:r>
        <w:rPr>
          <w:rStyle w:val="VerbatimChar"/>
        </w:rPr>
        <w:t>iv_atm_put</w:t>
      </w:r>
      <w:r>
        <w:t>), and out-of-the-money put implied volatility (</w:t>
      </w:r>
      <w:r>
        <w:rPr>
          <w:rStyle w:val="VerbatimChar"/>
        </w:rPr>
        <w:t>iv_otm_put</w:t>
      </w:r>
      <w:r>
        <w:t>) at the standard 30-day horizon. The full-sample raw volatility surface contains roughly 45.4 million daily rows.</w:t>
      </w:r>
    </w:p>
    <w:p w14:paraId="1F11AEF9" w14:textId="77777777" w:rsidR="00FA75C9" w:rsidRDefault="00000000" w:rsidP="00D56005">
      <w:pPr>
        <w:pStyle w:val="BodyText"/>
        <w:spacing w:line="360" w:lineRule="auto"/>
      </w:pPr>
      <w:r>
        <w:t xml:space="preserve">CRSP daily and monthly stock files supply realized returns and market capitalizations. Daily returns are used to compute trailing 21-day realized variance, annualized, for each </w:t>
      </w:r>
      <w:r>
        <w:rPr>
          <w:rStyle w:val="VerbatimChar"/>
        </w:rPr>
        <w:t>permno</w:t>
      </w:r>
      <w:r>
        <w:t>. Monthly returns are used to evaluate next-month performance of portfolios formed on the IV spread.</w:t>
      </w:r>
    </w:p>
    <w:p w14:paraId="04725BF4" w14:textId="77777777" w:rsidR="00FA75C9" w:rsidRDefault="00000000" w:rsidP="00D56005">
      <w:pPr>
        <w:pStyle w:val="BodyText"/>
        <w:spacing w:line="360" w:lineRule="auto"/>
      </w:pPr>
      <w:r>
        <w:t>The OptionMetrics-to-CRSP link is built from the official WRDS CRSP–OptionMetrics historical link (</w:t>
      </w:r>
      <w:r>
        <w:rPr>
          <w:rStyle w:val="VerbatimChar"/>
        </w:rPr>
        <w:t>wrdsapps_link_crsp_optionm.opcrsphist</w:t>
      </w:r>
      <w:r>
        <w:t xml:space="preserve">). This source provides time-aware mappings from </w:t>
      </w:r>
      <w:r>
        <w:rPr>
          <w:rStyle w:val="VerbatimChar"/>
        </w:rPr>
        <w:t>secid</w:t>
      </w:r>
      <w:r>
        <w:t xml:space="preserve"> to </w:t>
      </w:r>
      <w:r>
        <w:rPr>
          <w:rStyle w:val="VerbatimChar"/>
        </w:rPr>
        <w:t>permno</w:t>
      </w:r>
      <w:r>
        <w:t xml:space="preserve"> with </w:t>
      </w:r>
      <w:r>
        <w:rPr>
          <w:rStyle w:val="VerbatimChar"/>
        </w:rPr>
        <w:t>sdate</w:t>
      </w:r>
      <w:r>
        <w:t xml:space="preserve"> and </w:t>
      </w:r>
      <w:r>
        <w:rPr>
          <w:rStyle w:val="VerbatimChar"/>
        </w:rPr>
        <w:t>edate</w:t>
      </w:r>
      <w:r>
        <w:t xml:space="preserve"> validity windows and a quality </w:t>
      </w:r>
      <w:r>
        <w:rPr>
          <w:rStyle w:val="VerbatimChar"/>
        </w:rPr>
        <w:t>score</w:t>
      </w:r>
      <w:r>
        <w:t xml:space="preserve">. A static CUSIP-based bridge was built earlier as a fallback, but the canonical </w:t>
      </w:r>
      <w:r>
        <w:lastRenderedPageBreak/>
        <w:t xml:space="preserve">implementation in </w:t>
      </w:r>
      <w:r>
        <w:rPr>
          <w:rStyle w:val="VerbatimChar"/>
        </w:rPr>
        <w:t>src/linking.py</w:t>
      </w:r>
      <w:r>
        <w:t xml:space="preserve"> uses the official time-aware linker. </w:t>
      </w:r>
      <w:r>
        <w:rPr>
          <w:rStyle w:val="VerbatimChar"/>
        </w:rPr>
        <w:t>src/signals.py</w:t>
      </w:r>
      <w:r>
        <w:t xml:space="preserve"> retains only a deprecated wrapper.</w:t>
      </w:r>
    </w:p>
    <w:p w14:paraId="323E5CC9" w14:textId="77777777" w:rsidR="00FA75C9" w:rsidRDefault="00000000" w:rsidP="00D56005">
      <w:pPr>
        <w:pStyle w:val="BodyText"/>
        <w:spacing w:line="360" w:lineRule="auto"/>
      </w:pPr>
      <w:r>
        <w:t xml:space="preserve">Fama-French factors and the Carhart momentum factor are loaded from local Ken French CSVs and aligned by </w:t>
      </w:r>
      <w:r>
        <w:rPr>
          <w:rStyle w:val="VerbatimChar"/>
        </w:rPr>
        <w:t>return_month</w:t>
      </w:r>
      <w:r>
        <w:t xml:space="preserve">, since signals constructed in calendar month </w:t>
      </w:r>
      <w:r>
        <w:rPr>
          <w:i/>
        </w:rPr>
        <w:t>t</w:t>
      </w:r>
      <w:r>
        <w:t xml:space="preserve"> are matched to returns in month </w:t>
      </w:r>
      <w:r>
        <w:rPr>
          <w:i/>
        </w:rPr>
        <w:t>t+1</w:t>
      </w:r>
      <w:r>
        <w:t>.</w:t>
      </w:r>
    </w:p>
    <w:p w14:paraId="1D7A46E4" w14:textId="77777777" w:rsidR="00FA75C9" w:rsidRDefault="00000000" w:rsidP="00D56005">
      <w:pPr>
        <w:pStyle w:val="BodyText"/>
        <w:spacing w:line="360" w:lineRule="auto"/>
      </w:pPr>
      <w:r>
        <w:t>The final monthly signal panel covers 168 contiguous return months from 2010-02 to 2024-01, with 447,629 monthly stock observations. The audited file inventory passes all 40 checks (raw files, linker, daily and monthly panels, return alignment, formula identities, dynamic month counts) with zero warnings or failures.</w:t>
      </w:r>
    </w:p>
    <w:p w14:paraId="76FE5152" w14:textId="77777777" w:rsidR="00FA75C9" w:rsidRDefault="00000000" w:rsidP="00D56005">
      <w:pPr>
        <w:pStyle w:val="Heading2"/>
        <w:spacing w:line="360" w:lineRule="auto"/>
      </w:pPr>
      <w:bookmarkStart w:id="6" w:name="signal-construction"/>
      <w:bookmarkStart w:id="7" w:name="_Toc228955544"/>
      <w:r>
        <w:t>3. Signal Construction</w:t>
      </w:r>
      <w:bookmarkEnd w:id="6"/>
      <w:bookmarkEnd w:id="7"/>
    </w:p>
    <w:p w14:paraId="1582B559" w14:textId="77777777" w:rsidR="00FA75C9" w:rsidRDefault="00000000" w:rsidP="00D56005">
      <w:pPr>
        <w:pStyle w:val="FirstParagraph"/>
        <w:spacing w:line="360" w:lineRule="auto"/>
      </w:pPr>
      <w:r>
        <w:t xml:space="preserve">For each </w:t>
      </w:r>
      <w:r>
        <w:rPr>
          <w:rStyle w:val="VerbatimChar"/>
        </w:rPr>
        <w:t>secid</w:t>
      </w:r>
      <w:r>
        <w:t>-day in the volatility surface, the daily signal panel records:</w:t>
      </w:r>
    </w:p>
    <w:p w14:paraId="5273C2DD" w14:textId="77777777" w:rsidR="00FA75C9" w:rsidRDefault="00000000" w:rsidP="00D56005">
      <w:pPr>
        <w:pStyle w:val="Compact"/>
        <w:numPr>
          <w:ilvl w:val="0"/>
          <w:numId w:val="2"/>
        </w:numPr>
        <w:spacing w:line="360" w:lineRule="auto"/>
      </w:pPr>
      <w:r>
        <w:rPr>
          <w:rStyle w:val="VerbatimChar"/>
        </w:rPr>
        <w:t>iv_atm_call</w:t>
      </w:r>
      <w:r>
        <w:t>: at-the-money call implied volatility at the 30-day horizon</w:t>
      </w:r>
    </w:p>
    <w:p w14:paraId="3E078694" w14:textId="77777777" w:rsidR="00FA75C9" w:rsidRDefault="00000000" w:rsidP="00D56005">
      <w:pPr>
        <w:pStyle w:val="Compact"/>
        <w:numPr>
          <w:ilvl w:val="0"/>
          <w:numId w:val="2"/>
        </w:numPr>
        <w:spacing w:line="360" w:lineRule="auto"/>
      </w:pPr>
      <w:r>
        <w:rPr>
          <w:rStyle w:val="VerbatimChar"/>
        </w:rPr>
        <w:t>iv_atm_put</w:t>
      </w:r>
      <w:r>
        <w:t>: at-the-money put implied volatility at the 30-day horizon</w:t>
      </w:r>
    </w:p>
    <w:p w14:paraId="41C2C3FE" w14:textId="77777777" w:rsidR="00FA75C9" w:rsidRDefault="00000000" w:rsidP="00D56005">
      <w:pPr>
        <w:pStyle w:val="Compact"/>
        <w:numPr>
          <w:ilvl w:val="0"/>
          <w:numId w:val="2"/>
        </w:numPr>
        <w:spacing w:line="360" w:lineRule="auto"/>
      </w:pPr>
      <w:r>
        <w:rPr>
          <w:rStyle w:val="VerbatimChar"/>
        </w:rPr>
        <w:t>iv_otm_put</w:t>
      </w:r>
      <w:r>
        <w:t>: out-of-the-money put implied volatility at the 30-day horizon</w:t>
      </w:r>
    </w:p>
    <w:p w14:paraId="67E5B426" w14:textId="77777777" w:rsidR="00FA75C9" w:rsidRDefault="00000000" w:rsidP="00D56005">
      <w:pPr>
        <w:pStyle w:val="FirstParagraph"/>
        <w:spacing w:line="360" w:lineRule="auto"/>
      </w:pPr>
      <w:r>
        <w:t>From these, three options-implied signals are computed each day:</w:t>
      </w:r>
    </w:p>
    <w:p w14:paraId="723CFD94" w14:textId="77777777" w:rsidR="00FA75C9" w:rsidRDefault="00000000" w:rsidP="00D56005">
      <w:pPr>
        <w:pStyle w:val="SourceCode"/>
        <w:spacing w:line="360" w:lineRule="auto"/>
      </w:pPr>
      <w:r>
        <w:rPr>
          <w:rStyle w:val="VerbatimChar"/>
        </w:rPr>
        <w:t>iv_spread       = iv_atm_call - iv_atm_put</w:t>
      </w:r>
      <w:r>
        <w:br/>
      </w:r>
      <w:r>
        <w:rPr>
          <w:rStyle w:val="VerbatimChar"/>
        </w:rPr>
        <w:t>iv_skew         = iv_otm_put  - iv_atm_call</w:t>
      </w:r>
      <w:r>
        <w:br/>
      </w:r>
      <w:r>
        <w:rPr>
          <w:rStyle w:val="VerbatimChar"/>
        </w:rPr>
        <w:t>implied_var     = iv_atm_call ^ 2</w:t>
      </w:r>
    </w:p>
    <w:p w14:paraId="28D9068F" w14:textId="77777777" w:rsidR="00FA75C9" w:rsidRDefault="00000000" w:rsidP="00D56005">
      <w:pPr>
        <w:pStyle w:val="FirstParagraph"/>
        <w:spacing w:line="360" w:lineRule="auto"/>
      </w:pPr>
      <w:r>
        <w:t xml:space="preserve">Realized variance is computed from CRSP daily returns as the trailing 21-day variance times 252. The variance risk premium follows as </w:t>
      </w:r>
      <w:r>
        <w:rPr>
          <w:rStyle w:val="VerbatimChar"/>
        </w:rPr>
        <w:t>vrp = implied_var - realized_var</w:t>
      </w:r>
      <w:r>
        <w:t>. All formula identities are verified at the daily and monthly stages of the audit.</w:t>
      </w:r>
    </w:p>
    <w:p w14:paraId="28DD7617" w14:textId="77777777" w:rsidR="00FA75C9" w:rsidRDefault="00000000" w:rsidP="00D56005">
      <w:pPr>
        <w:pStyle w:val="BodyText"/>
        <w:spacing w:line="360" w:lineRule="auto"/>
      </w:pPr>
      <w:r>
        <w:t xml:space="preserve">The monthly signal panel is built by taking, for each </w:t>
      </w:r>
      <w:r>
        <w:rPr>
          <w:rStyle w:val="VerbatimChar"/>
        </w:rPr>
        <w:t>permno</w:t>
      </w:r>
      <w:r>
        <w:t xml:space="preserve">, the latest available daily signal value within calendar month </w:t>
      </w:r>
      <w:r>
        <w:rPr>
          <w:i/>
        </w:rPr>
        <w:t>t</w:t>
      </w:r>
      <w:r>
        <w:t xml:space="preserve"> and matching it to that name’s CRSP return in month </w:t>
      </w:r>
      <w:r>
        <w:rPr>
          <w:i/>
        </w:rPr>
        <w:t>t+1</w:t>
      </w:r>
      <w:r>
        <w:t xml:space="preserve">. This avoids look-ahead bias by construction. Cross-sectional z-scores within each signal-month are computed for each signal, and a composite signal is defined as </w:t>
      </w:r>
      <w:r>
        <w:rPr>
          <w:rStyle w:val="VerbatimChar"/>
        </w:rPr>
        <w:t xml:space="preserve">(z(iv_spread) − </w:t>
      </w:r>
      <w:r>
        <w:rPr>
          <w:rStyle w:val="VerbatimChar"/>
        </w:rPr>
        <w:lastRenderedPageBreak/>
        <w:t>z(iv_skew) − z(vrp)) / 3</w:t>
      </w:r>
      <w:r>
        <w:t>. The audit verifies that the signal date strictly precedes the return date in every panel row.</w:t>
      </w:r>
    </w:p>
    <w:p w14:paraId="53081789" w14:textId="77777777" w:rsidR="00FA75C9" w:rsidRDefault="00000000" w:rsidP="00D56005">
      <w:pPr>
        <w:pStyle w:val="BodyText"/>
        <w:spacing w:line="360" w:lineRule="auto"/>
      </w:pPr>
      <w:r>
        <w:t>The IV spread is the focus of the final analysis because it is empirically the strongest standalone signal in the leaderboard (Section 7.3) and because its sign convention has a clean intuitive interpretation: low IV spread means high put IV relative to call IV, which is consistent with negative information or elevated demand for downside protection.</w:t>
      </w:r>
    </w:p>
    <w:p w14:paraId="787BD209" w14:textId="77777777" w:rsidR="00FA75C9" w:rsidRDefault="00000000" w:rsidP="00D56005">
      <w:pPr>
        <w:pStyle w:val="Heading2"/>
        <w:spacing w:line="360" w:lineRule="auto"/>
      </w:pPr>
      <w:bookmarkStart w:id="8" w:name="methodology"/>
      <w:bookmarkStart w:id="9" w:name="_Toc228955545"/>
      <w:r>
        <w:t>4. Methodology</w:t>
      </w:r>
      <w:bookmarkEnd w:id="8"/>
      <w:bookmarkEnd w:id="9"/>
    </w:p>
    <w:p w14:paraId="4135995B" w14:textId="77777777" w:rsidR="00FA75C9" w:rsidRDefault="00000000" w:rsidP="00D56005">
      <w:pPr>
        <w:pStyle w:val="FirstParagraph"/>
        <w:spacing w:line="360" w:lineRule="auto"/>
      </w:pPr>
      <w:r>
        <w:t>Each signal-month, stocks are sorted by IV spread cross-sectionally into deciles and quintiles. The same sort is repeated under several universe filters: all optionable stocks; stocks with market capitalization above $100 million; above $500 million; and above $1 billion. Equal-weighted and value-weighted versions are both produced, but the cleaner equal-weighted construction is the focus of the headline results.</w:t>
      </w:r>
    </w:p>
    <w:p w14:paraId="40491C17" w14:textId="77777777" w:rsidR="00FA75C9" w:rsidRDefault="00000000" w:rsidP="00D56005">
      <w:pPr>
        <w:pStyle w:val="BodyText"/>
        <w:spacing w:line="360" w:lineRule="auto"/>
      </w:pPr>
      <w:r>
        <w:t xml:space="preserve">Two related portfolio definitions are considered. The first is the conventional long-short Q5 minus Q1 quintile sort, reported for completeness and for comparison with a more standard cross-sectional design. The second, and the one that frames the headline interpretation, is the universe-minus-bottom-tail leg, denoted </w:t>
      </w:r>
      <w:r>
        <w:rPr>
          <w:rStyle w:val="VerbatimChar"/>
        </w:rPr>
        <w:t>U-B</w:t>
      </w:r>
      <w:r>
        <w:t>. This portfolio takes the equal-weighted return of the full optionable universe and subtracts the equal-weighted return of the bottom IV-spread decile (or quintile). A positive value of U-B is equivalent to the bottom tail underperforming the broader universe. This U-B framing is preferred because the decile leg decomposition (Section 6) shows that almost all of the dispersion in subsequent returns comes from the bottom decile being unusually weak, not from the top decile being unusually strong.</w:t>
      </w:r>
    </w:p>
    <w:p w14:paraId="4FC764A3" w14:textId="77777777" w:rsidR="00FA75C9" w:rsidRDefault="00000000" w:rsidP="00D56005">
      <w:pPr>
        <w:pStyle w:val="BodyText"/>
        <w:spacing w:line="360" w:lineRule="auto"/>
      </w:pPr>
      <w:r>
        <w:t xml:space="preserve">Mean returns are tested with raw and Newey-West (HAC) t-statistics with four lags. Factor regressions of the U-B and Q5–Q1 portfolios on CAPM, FF3, FF5, and FF5+MOM are estimated with HAC standard errors. Long-short returns are aligned to factor data by </w:t>
      </w:r>
      <w:r>
        <w:rPr>
          <w:rStyle w:val="VerbatimChar"/>
        </w:rPr>
        <w:t>return_month</w:t>
      </w:r>
      <w:r>
        <w:t xml:space="preserve">, not by </w:t>
      </w:r>
      <w:r>
        <w:rPr>
          <w:rStyle w:val="VerbatimChar"/>
        </w:rPr>
        <w:t>signal_month</w:t>
      </w:r>
      <w:r>
        <w:t>, and the dependent variable is the long-short return rather than its excess over the risk-free rate, since the long-short portfolio is self-financing.</w:t>
      </w:r>
    </w:p>
    <w:p w14:paraId="2F6CA997" w14:textId="77777777" w:rsidR="00FA75C9" w:rsidRDefault="00000000" w:rsidP="00D56005">
      <w:pPr>
        <w:pStyle w:val="Heading2"/>
        <w:spacing w:line="360" w:lineRule="auto"/>
      </w:pPr>
      <w:bookmarkStart w:id="10" w:name="headline-results"/>
      <w:bookmarkStart w:id="11" w:name="_Toc228955546"/>
      <w:r>
        <w:lastRenderedPageBreak/>
        <w:t>5. Headline Results</w:t>
      </w:r>
      <w:bookmarkEnd w:id="10"/>
      <w:bookmarkEnd w:id="11"/>
    </w:p>
    <w:p w14:paraId="76B2E0AA" w14:textId="77777777" w:rsidR="00FA75C9" w:rsidRDefault="00000000" w:rsidP="00D56005">
      <w:pPr>
        <w:pStyle w:val="FirstParagraph"/>
        <w:spacing w:line="360" w:lineRule="auto"/>
      </w:pPr>
      <w:r>
        <w:t>Within the equal-weighted, all-optionable-stock specification, the universe-minus-bottom-decile portfolio earns 7.57% annualized over 168 months. The raw t-statistic is 4.16 and the Newey-West HAC t-statistic with four lags is 4.00. The Fama-French five-factor plus momentum alpha is 6.40% per year with a t-statistic of 5.07. Restricting to stocks above $100 million in market capitalization, both the raw return and the alpha tighten further: 7.73% gross return (raw t = 5.56, NW t = 5.87) and a 6.29% FF5+MOM alpha (t = 5.85).</w:t>
      </w:r>
    </w:p>
    <w:p w14:paraId="4761DFA8" w14:textId="2503A7FF" w:rsidR="00FA75C9" w:rsidRDefault="00000000" w:rsidP="00D56005">
      <w:pPr>
        <w:pStyle w:val="BodyText"/>
        <w:spacing w:line="360" w:lineRule="auto"/>
      </w:pPr>
      <w:r>
        <w:t>The bottom-quintile and Q5–Q1 specifications point in the same direction. The U-B bottom-quintile equal-weighted portfolio earns 5.42% (NW t = 5.40) with a 4.51% FF5+MOM alpha (t = 5.90). The standard Q5–Q1 equal-weighted portfolio earns 5.35% (NW t = 4.47) with a 5.45% alpha (t = 4.33).</w:t>
      </w:r>
      <w:r w:rsidR="00A912D7">
        <w:t xml:space="preserve"> T</w:t>
      </w:r>
      <w:r w:rsidR="00A912D7" w:rsidRPr="00A912D7">
        <w:t>he quintile spread has lower monthly return volatility than the decile because it captures a wider, less extreme tail, which produces a higher Sharpe despite lower raw return</w:t>
      </w:r>
    </w:p>
    <w:p w14:paraId="10CDFA4A" w14:textId="6547D0C1" w:rsidR="00FA75C9" w:rsidRPr="00676453" w:rsidRDefault="00000000" w:rsidP="00D56005">
      <w:pPr>
        <w:pStyle w:val="BodyText"/>
        <w:spacing w:line="360" w:lineRule="auto"/>
        <w:rPr>
          <w:bCs/>
        </w:rPr>
      </w:pPr>
      <w:r>
        <w:rPr>
          <w:b/>
        </w:rPr>
        <w:t>Table 1. Headline 2010–2023 results.</w:t>
      </w:r>
      <w:r>
        <w:t xml:space="preserve"> Equal-weighted strategies on the IV-spread signal. U-B denotes universe minus bottom tail. NW t-statistics use HAC standard errors with four lags.</w:t>
      </w:r>
      <w:r w:rsidR="00676453">
        <w:t xml:space="preserve"> </w:t>
      </w:r>
      <w:r w:rsidR="00676453" w:rsidRPr="001B553B">
        <w:rPr>
          <w:bCs/>
        </w:rPr>
        <w:t>Sharpe ratios are computed from monthly spread returns and annualized. For universe-minus-bottom and Q5–Q1 strategies, they should be interpreted as relative-return Sharpe ratios rather than standalone long-only portfolio Sharpe ratios.</w:t>
      </w:r>
    </w:p>
    <w:tbl>
      <w:tblPr>
        <w:tblStyle w:val="Table"/>
        <w:tblW w:w="5000" w:type="pct"/>
        <w:tblLook w:val="07E0" w:firstRow="1" w:lastRow="1" w:firstColumn="1" w:lastColumn="1" w:noHBand="1" w:noVBand="1"/>
      </w:tblPr>
      <w:tblGrid>
        <w:gridCol w:w="2091"/>
        <w:gridCol w:w="1089"/>
        <w:gridCol w:w="935"/>
        <w:gridCol w:w="909"/>
        <w:gridCol w:w="879"/>
        <w:gridCol w:w="1537"/>
        <w:gridCol w:w="1055"/>
        <w:gridCol w:w="1081"/>
      </w:tblGrid>
      <w:tr w:rsidR="007156F1" w14:paraId="7BFF6BB8" w14:textId="77777777" w:rsidTr="007156F1">
        <w:tc>
          <w:tcPr>
            <w:tcW w:w="0" w:type="auto"/>
            <w:tcBorders>
              <w:bottom w:val="single" w:sz="0" w:space="0" w:color="auto"/>
            </w:tcBorders>
            <w:vAlign w:val="bottom"/>
          </w:tcPr>
          <w:p w14:paraId="49079C95" w14:textId="77777777" w:rsidR="007156F1" w:rsidRDefault="007156F1" w:rsidP="00D56005">
            <w:pPr>
              <w:pStyle w:val="Compact"/>
              <w:spacing w:line="360" w:lineRule="auto"/>
            </w:pPr>
            <w:r>
              <w:t>Strategy</w:t>
            </w:r>
          </w:p>
        </w:tc>
        <w:tc>
          <w:tcPr>
            <w:tcW w:w="0" w:type="auto"/>
            <w:tcBorders>
              <w:bottom w:val="single" w:sz="0" w:space="0" w:color="auto"/>
            </w:tcBorders>
            <w:vAlign w:val="bottom"/>
          </w:tcPr>
          <w:p w14:paraId="440EE6B5" w14:textId="77777777" w:rsidR="007156F1" w:rsidRDefault="007156F1" w:rsidP="00D56005">
            <w:pPr>
              <w:pStyle w:val="Compact"/>
              <w:spacing w:line="360" w:lineRule="auto"/>
              <w:jc w:val="right"/>
            </w:pPr>
            <w:r>
              <w:t>Ann. return</w:t>
            </w:r>
          </w:p>
        </w:tc>
        <w:tc>
          <w:tcPr>
            <w:tcW w:w="0" w:type="auto"/>
            <w:tcBorders>
              <w:bottom w:val="single" w:sz="0" w:space="0" w:color="auto"/>
            </w:tcBorders>
          </w:tcPr>
          <w:p w14:paraId="7AE79435" w14:textId="5C5C45A4" w:rsidR="007156F1" w:rsidRDefault="007156F1" w:rsidP="00D56005">
            <w:pPr>
              <w:pStyle w:val="Compact"/>
              <w:spacing w:line="360" w:lineRule="auto"/>
              <w:jc w:val="right"/>
            </w:pPr>
            <w:r>
              <w:t>Sharpe</w:t>
            </w:r>
            <w:r>
              <w:br/>
              <w:t>Ratio</w:t>
            </w:r>
          </w:p>
        </w:tc>
        <w:tc>
          <w:tcPr>
            <w:tcW w:w="0" w:type="auto"/>
            <w:tcBorders>
              <w:bottom w:val="single" w:sz="0" w:space="0" w:color="auto"/>
            </w:tcBorders>
            <w:vAlign w:val="bottom"/>
          </w:tcPr>
          <w:p w14:paraId="0AB57AC9" w14:textId="512105C7" w:rsidR="007156F1" w:rsidRDefault="007156F1" w:rsidP="00D56005">
            <w:pPr>
              <w:pStyle w:val="Compact"/>
              <w:spacing w:line="360" w:lineRule="auto"/>
              <w:jc w:val="right"/>
            </w:pPr>
            <w:r>
              <w:t>Raw t-stat</w:t>
            </w:r>
          </w:p>
        </w:tc>
        <w:tc>
          <w:tcPr>
            <w:tcW w:w="0" w:type="auto"/>
            <w:tcBorders>
              <w:bottom w:val="single" w:sz="0" w:space="0" w:color="auto"/>
            </w:tcBorders>
            <w:vAlign w:val="bottom"/>
          </w:tcPr>
          <w:p w14:paraId="6F341A01" w14:textId="77777777" w:rsidR="007156F1" w:rsidRDefault="007156F1" w:rsidP="00D56005">
            <w:pPr>
              <w:pStyle w:val="Compact"/>
              <w:spacing w:line="360" w:lineRule="auto"/>
              <w:jc w:val="right"/>
            </w:pPr>
            <w:r>
              <w:t>NW t-stat</w:t>
            </w:r>
          </w:p>
        </w:tc>
        <w:tc>
          <w:tcPr>
            <w:tcW w:w="0" w:type="auto"/>
            <w:tcBorders>
              <w:bottom w:val="single" w:sz="0" w:space="0" w:color="auto"/>
            </w:tcBorders>
            <w:vAlign w:val="bottom"/>
          </w:tcPr>
          <w:p w14:paraId="3CD67FEA" w14:textId="77777777" w:rsidR="007156F1" w:rsidRDefault="007156F1" w:rsidP="00D56005">
            <w:pPr>
              <w:pStyle w:val="Compact"/>
              <w:spacing w:line="360" w:lineRule="auto"/>
              <w:jc w:val="right"/>
            </w:pPr>
            <w:r>
              <w:t>FF5+MOM alpha</w:t>
            </w:r>
          </w:p>
        </w:tc>
        <w:tc>
          <w:tcPr>
            <w:tcW w:w="0" w:type="auto"/>
            <w:tcBorders>
              <w:bottom w:val="single" w:sz="0" w:space="0" w:color="auto"/>
            </w:tcBorders>
            <w:vAlign w:val="bottom"/>
          </w:tcPr>
          <w:p w14:paraId="0BF60EE6" w14:textId="77777777" w:rsidR="007156F1" w:rsidRDefault="007156F1" w:rsidP="00D56005">
            <w:pPr>
              <w:pStyle w:val="Compact"/>
              <w:spacing w:line="360" w:lineRule="auto"/>
              <w:jc w:val="right"/>
            </w:pPr>
            <w:r>
              <w:t>Alpha t-stat</w:t>
            </w:r>
          </w:p>
        </w:tc>
        <w:tc>
          <w:tcPr>
            <w:tcW w:w="0" w:type="auto"/>
            <w:tcBorders>
              <w:bottom w:val="single" w:sz="0" w:space="0" w:color="auto"/>
            </w:tcBorders>
            <w:vAlign w:val="bottom"/>
          </w:tcPr>
          <w:p w14:paraId="79A64DB1" w14:textId="77777777" w:rsidR="007156F1" w:rsidRDefault="007156F1" w:rsidP="00D56005">
            <w:pPr>
              <w:pStyle w:val="Compact"/>
              <w:spacing w:line="360" w:lineRule="auto"/>
              <w:jc w:val="right"/>
            </w:pPr>
            <w:r>
              <w:t>N months</w:t>
            </w:r>
          </w:p>
        </w:tc>
      </w:tr>
      <w:tr w:rsidR="007156F1" w14:paraId="167F3F02" w14:textId="77777777" w:rsidTr="007156F1">
        <w:tc>
          <w:tcPr>
            <w:tcW w:w="0" w:type="auto"/>
          </w:tcPr>
          <w:p w14:paraId="10D46BC1" w14:textId="77777777" w:rsidR="007156F1" w:rsidRDefault="007156F1" w:rsidP="00D56005">
            <w:pPr>
              <w:pStyle w:val="Compact"/>
              <w:spacing w:line="360" w:lineRule="auto"/>
            </w:pPr>
            <w:r>
              <w:t>Bottom Decile U-B EW All</w:t>
            </w:r>
          </w:p>
        </w:tc>
        <w:tc>
          <w:tcPr>
            <w:tcW w:w="0" w:type="auto"/>
          </w:tcPr>
          <w:p w14:paraId="403692F8" w14:textId="77777777" w:rsidR="007156F1" w:rsidRDefault="007156F1" w:rsidP="00D56005">
            <w:pPr>
              <w:pStyle w:val="Compact"/>
              <w:spacing w:line="360" w:lineRule="auto"/>
              <w:jc w:val="right"/>
            </w:pPr>
            <w:r>
              <w:t>7.57%</w:t>
            </w:r>
          </w:p>
        </w:tc>
        <w:tc>
          <w:tcPr>
            <w:tcW w:w="0" w:type="auto"/>
          </w:tcPr>
          <w:p w14:paraId="700D4CE4" w14:textId="4DF1F313" w:rsidR="007156F1" w:rsidRDefault="007156F1" w:rsidP="00D56005">
            <w:pPr>
              <w:pStyle w:val="Compact"/>
              <w:spacing w:line="360" w:lineRule="auto"/>
              <w:jc w:val="right"/>
            </w:pPr>
            <w:r>
              <w:t>1.11</w:t>
            </w:r>
          </w:p>
        </w:tc>
        <w:tc>
          <w:tcPr>
            <w:tcW w:w="0" w:type="auto"/>
          </w:tcPr>
          <w:p w14:paraId="08B1155B" w14:textId="212DAB31" w:rsidR="007156F1" w:rsidRDefault="007156F1" w:rsidP="00D56005">
            <w:pPr>
              <w:pStyle w:val="Compact"/>
              <w:spacing w:line="360" w:lineRule="auto"/>
              <w:jc w:val="right"/>
            </w:pPr>
            <w:r>
              <w:t>4.16</w:t>
            </w:r>
          </w:p>
        </w:tc>
        <w:tc>
          <w:tcPr>
            <w:tcW w:w="0" w:type="auto"/>
          </w:tcPr>
          <w:p w14:paraId="0C8CEEB2" w14:textId="77777777" w:rsidR="007156F1" w:rsidRDefault="007156F1" w:rsidP="00D56005">
            <w:pPr>
              <w:pStyle w:val="Compact"/>
              <w:spacing w:line="360" w:lineRule="auto"/>
              <w:jc w:val="right"/>
            </w:pPr>
            <w:r>
              <w:t>4.00</w:t>
            </w:r>
          </w:p>
        </w:tc>
        <w:tc>
          <w:tcPr>
            <w:tcW w:w="0" w:type="auto"/>
          </w:tcPr>
          <w:p w14:paraId="15ADE3B4" w14:textId="77777777" w:rsidR="007156F1" w:rsidRDefault="007156F1" w:rsidP="00D56005">
            <w:pPr>
              <w:pStyle w:val="Compact"/>
              <w:spacing w:line="360" w:lineRule="auto"/>
              <w:jc w:val="right"/>
            </w:pPr>
            <w:r>
              <w:t>6.40%</w:t>
            </w:r>
          </w:p>
        </w:tc>
        <w:tc>
          <w:tcPr>
            <w:tcW w:w="0" w:type="auto"/>
          </w:tcPr>
          <w:p w14:paraId="4B053D57" w14:textId="77777777" w:rsidR="007156F1" w:rsidRDefault="007156F1" w:rsidP="00D56005">
            <w:pPr>
              <w:pStyle w:val="Compact"/>
              <w:spacing w:line="360" w:lineRule="auto"/>
              <w:jc w:val="right"/>
            </w:pPr>
            <w:r>
              <w:t>5.07</w:t>
            </w:r>
          </w:p>
        </w:tc>
        <w:tc>
          <w:tcPr>
            <w:tcW w:w="0" w:type="auto"/>
          </w:tcPr>
          <w:p w14:paraId="230F215A" w14:textId="77777777" w:rsidR="007156F1" w:rsidRDefault="007156F1" w:rsidP="00D56005">
            <w:pPr>
              <w:pStyle w:val="Compact"/>
              <w:spacing w:line="360" w:lineRule="auto"/>
              <w:jc w:val="right"/>
            </w:pPr>
            <w:r>
              <w:t>168</w:t>
            </w:r>
          </w:p>
        </w:tc>
      </w:tr>
      <w:tr w:rsidR="007156F1" w14:paraId="1419412F" w14:textId="77777777" w:rsidTr="007156F1">
        <w:tc>
          <w:tcPr>
            <w:tcW w:w="0" w:type="auto"/>
          </w:tcPr>
          <w:p w14:paraId="2AA0E3E1" w14:textId="77777777" w:rsidR="007156F1" w:rsidRDefault="007156F1" w:rsidP="00D56005">
            <w:pPr>
              <w:pStyle w:val="Compact"/>
              <w:spacing w:line="360" w:lineRule="auto"/>
            </w:pPr>
            <w:r>
              <w:t>Bottom Decile U-B EW $100M+</w:t>
            </w:r>
          </w:p>
        </w:tc>
        <w:tc>
          <w:tcPr>
            <w:tcW w:w="0" w:type="auto"/>
          </w:tcPr>
          <w:p w14:paraId="7952F265" w14:textId="77777777" w:rsidR="007156F1" w:rsidRDefault="007156F1" w:rsidP="00D56005">
            <w:pPr>
              <w:pStyle w:val="Compact"/>
              <w:spacing w:line="360" w:lineRule="auto"/>
              <w:jc w:val="right"/>
            </w:pPr>
            <w:r>
              <w:t>7.73%</w:t>
            </w:r>
          </w:p>
        </w:tc>
        <w:tc>
          <w:tcPr>
            <w:tcW w:w="0" w:type="auto"/>
          </w:tcPr>
          <w:p w14:paraId="796D431A" w14:textId="7D149123" w:rsidR="007156F1" w:rsidRDefault="007156F1" w:rsidP="00D56005">
            <w:pPr>
              <w:pStyle w:val="Compact"/>
              <w:spacing w:line="360" w:lineRule="auto"/>
              <w:jc w:val="right"/>
            </w:pPr>
            <w:r>
              <w:t>1.49</w:t>
            </w:r>
          </w:p>
        </w:tc>
        <w:tc>
          <w:tcPr>
            <w:tcW w:w="0" w:type="auto"/>
          </w:tcPr>
          <w:p w14:paraId="7E2A0DB7" w14:textId="494BBBB7" w:rsidR="007156F1" w:rsidRDefault="007156F1" w:rsidP="00D56005">
            <w:pPr>
              <w:pStyle w:val="Compact"/>
              <w:spacing w:line="360" w:lineRule="auto"/>
              <w:jc w:val="right"/>
            </w:pPr>
            <w:r>
              <w:t>5.56</w:t>
            </w:r>
          </w:p>
        </w:tc>
        <w:tc>
          <w:tcPr>
            <w:tcW w:w="0" w:type="auto"/>
          </w:tcPr>
          <w:p w14:paraId="2E5D1D71" w14:textId="77777777" w:rsidR="007156F1" w:rsidRDefault="007156F1" w:rsidP="00D56005">
            <w:pPr>
              <w:pStyle w:val="Compact"/>
              <w:spacing w:line="360" w:lineRule="auto"/>
              <w:jc w:val="right"/>
            </w:pPr>
            <w:r>
              <w:t>5.87</w:t>
            </w:r>
          </w:p>
        </w:tc>
        <w:tc>
          <w:tcPr>
            <w:tcW w:w="0" w:type="auto"/>
          </w:tcPr>
          <w:p w14:paraId="453F4A8C" w14:textId="77777777" w:rsidR="007156F1" w:rsidRDefault="007156F1" w:rsidP="00D56005">
            <w:pPr>
              <w:pStyle w:val="Compact"/>
              <w:spacing w:line="360" w:lineRule="auto"/>
              <w:jc w:val="right"/>
            </w:pPr>
            <w:r>
              <w:t>6.29%</w:t>
            </w:r>
          </w:p>
        </w:tc>
        <w:tc>
          <w:tcPr>
            <w:tcW w:w="0" w:type="auto"/>
          </w:tcPr>
          <w:p w14:paraId="281BB62D" w14:textId="77777777" w:rsidR="007156F1" w:rsidRDefault="007156F1" w:rsidP="00D56005">
            <w:pPr>
              <w:pStyle w:val="Compact"/>
              <w:spacing w:line="360" w:lineRule="auto"/>
              <w:jc w:val="right"/>
            </w:pPr>
            <w:r>
              <w:t>5.85</w:t>
            </w:r>
          </w:p>
        </w:tc>
        <w:tc>
          <w:tcPr>
            <w:tcW w:w="0" w:type="auto"/>
          </w:tcPr>
          <w:p w14:paraId="4A28A39B" w14:textId="77777777" w:rsidR="007156F1" w:rsidRDefault="007156F1" w:rsidP="00D56005">
            <w:pPr>
              <w:pStyle w:val="Compact"/>
              <w:spacing w:line="360" w:lineRule="auto"/>
              <w:jc w:val="right"/>
            </w:pPr>
            <w:r>
              <w:t>168</w:t>
            </w:r>
          </w:p>
        </w:tc>
      </w:tr>
      <w:tr w:rsidR="007156F1" w14:paraId="7B4DB435" w14:textId="77777777" w:rsidTr="007156F1">
        <w:tc>
          <w:tcPr>
            <w:tcW w:w="0" w:type="auto"/>
          </w:tcPr>
          <w:p w14:paraId="27E673AE" w14:textId="77777777" w:rsidR="007156F1" w:rsidRDefault="007156F1" w:rsidP="00D56005">
            <w:pPr>
              <w:pStyle w:val="Compact"/>
              <w:spacing w:line="360" w:lineRule="auto"/>
            </w:pPr>
            <w:r>
              <w:t>Bottom Quintile U-B EW All</w:t>
            </w:r>
          </w:p>
        </w:tc>
        <w:tc>
          <w:tcPr>
            <w:tcW w:w="0" w:type="auto"/>
          </w:tcPr>
          <w:p w14:paraId="4EF09840" w14:textId="77777777" w:rsidR="007156F1" w:rsidRDefault="007156F1" w:rsidP="00D56005">
            <w:pPr>
              <w:pStyle w:val="Compact"/>
              <w:spacing w:line="360" w:lineRule="auto"/>
              <w:jc w:val="right"/>
            </w:pPr>
            <w:r>
              <w:t>5.42%</w:t>
            </w:r>
          </w:p>
        </w:tc>
        <w:tc>
          <w:tcPr>
            <w:tcW w:w="0" w:type="auto"/>
          </w:tcPr>
          <w:p w14:paraId="71BB1023" w14:textId="00A63231" w:rsidR="007156F1" w:rsidRDefault="007156F1" w:rsidP="00D56005">
            <w:pPr>
              <w:pStyle w:val="Compact"/>
              <w:spacing w:line="360" w:lineRule="auto"/>
              <w:jc w:val="right"/>
            </w:pPr>
            <w:r>
              <w:t>1.51</w:t>
            </w:r>
          </w:p>
        </w:tc>
        <w:tc>
          <w:tcPr>
            <w:tcW w:w="0" w:type="auto"/>
          </w:tcPr>
          <w:p w14:paraId="7F0DB85F" w14:textId="6FB444AA" w:rsidR="007156F1" w:rsidRDefault="007156F1" w:rsidP="00D56005">
            <w:pPr>
              <w:pStyle w:val="Compact"/>
              <w:spacing w:line="360" w:lineRule="auto"/>
              <w:jc w:val="right"/>
            </w:pPr>
            <w:r>
              <w:t>5.64</w:t>
            </w:r>
          </w:p>
        </w:tc>
        <w:tc>
          <w:tcPr>
            <w:tcW w:w="0" w:type="auto"/>
          </w:tcPr>
          <w:p w14:paraId="4C670EA5" w14:textId="77777777" w:rsidR="007156F1" w:rsidRDefault="007156F1" w:rsidP="00D56005">
            <w:pPr>
              <w:pStyle w:val="Compact"/>
              <w:spacing w:line="360" w:lineRule="auto"/>
              <w:jc w:val="right"/>
            </w:pPr>
            <w:r>
              <w:t>5.40</w:t>
            </w:r>
          </w:p>
        </w:tc>
        <w:tc>
          <w:tcPr>
            <w:tcW w:w="0" w:type="auto"/>
          </w:tcPr>
          <w:p w14:paraId="28A9ACA1" w14:textId="77777777" w:rsidR="007156F1" w:rsidRDefault="007156F1" w:rsidP="00D56005">
            <w:pPr>
              <w:pStyle w:val="Compact"/>
              <w:spacing w:line="360" w:lineRule="auto"/>
              <w:jc w:val="right"/>
            </w:pPr>
            <w:r>
              <w:t>4.51%</w:t>
            </w:r>
          </w:p>
        </w:tc>
        <w:tc>
          <w:tcPr>
            <w:tcW w:w="0" w:type="auto"/>
          </w:tcPr>
          <w:p w14:paraId="10506A6B" w14:textId="77777777" w:rsidR="007156F1" w:rsidRDefault="007156F1" w:rsidP="00D56005">
            <w:pPr>
              <w:pStyle w:val="Compact"/>
              <w:spacing w:line="360" w:lineRule="auto"/>
              <w:jc w:val="right"/>
            </w:pPr>
            <w:r>
              <w:t>5.90</w:t>
            </w:r>
          </w:p>
        </w:tc>
        <w:tc>
          <w:tcPr>
            <w:tcW w:w="0" w:type="auto"/>
          </w:tcPr>
          <w:p w14:paraId="780F3ABF" w14:textId="77777777" w:rsidR="007156F1" w:rsidRDefault="007156F1" w:rsidP="00D56005">
            <w:pPr>
              <w:pStyle w:val="Compact"/>
              <w:spacing w:line="360" w:lineRule="auto"/>
              <w:jc w:val="right"/>
            </w:pPr>
            <w:r>
              <w:t>168</w:t>
            </w:r>
          </w:p>
        </w:tc>
      </w:tr>
      <w:tr w:rsidR="007156F1" w14:paraId="266C4A60" w14:textId="77777777" w:rsidTr="007156F1">
        <w:tc>
          <w:tcPr>
            <w:tcW w:w="0" w:type="auto"/>
          </w:tcPr>
          <w:p w14:paraId="6F075B00" w14:textId="77777777" w:rsidR="007156F1" w:rsidRDefault="007156F1" w:rsidP="00D56005">
            <w:pPr>
              <w:pStyle w:val="Compact"/>
              <w:spacing w:line="360" w:lineRule="auto"/>
            </w:pPr>
            <w:r>
              <w:t xml:space="preserve">Bottom Quintile </w:t>
            </w:r>
            <w:r>
              <w:lastRenderedPageBreak/>
              <w:t>U-B EW $100M+</w:t>
            </w:r>
          </w:p>
        </w:tc>
        <w:tc>
          <w:tcPr>
            <w:tcW w:w="0" w:type="auto"/>
          </w:tcPr>
          <w:p w14:paraId="083AF1AF" w14:textId="77777777" w:rsidR="007156F1" w:rsidRDefault="007156F1" w:rsidP="00D56005">
            <w:pPr>
              <w:pStyle w:val="Compact"/>
              <w:spacing w:line="360" w:lineRule="auto"/>
              <w:jc w:val="right"/>
            </w:pPr>
            <w:r>
              <w:lastRenderedPageBreak/>
              <w:t>4.92%</w:t>
            </w:r>
          </w:p>
        </w:tc>
        <w:tc>
          <w:tcPr>
            <w:tcW w:w="0" w:type="auto"/>
          </w:tcPr>
          <w:p w14:paraId="79CE807B" w14:textId="41A64AD7" w:rsidR="007156F1" w:rsidRDefault="007156F1" w:rsidP="00D56005">
            <w:pPr>
              <w:pStyle w:val="Compact"/>
              <w:spacing w:line="360" w:lineRule="auto"/>
              <w:jc w:val="right"/>
            </w:pPr>
            <w:r>
              <w:t>1.57</w:t>
            </w:r>
          </w:p>
        </w:tc>
        <w:tc>
          <w:tcPr>
            <w:tcW w:w="0" w:type="auto"/>
          </w:tcPr>
          <w:p w14:paraId="58568297" w14:textId="3066FB96" w:rsidR="007156F1" w:rsidRDefault="007156F1" w:rsidP="00D56005">
            <w:pPr>
              <w:pStyle w:val="Compact"/>
              <w:spacing w:line="360" w:lineRule="auto"/>
              <w:jc w:val="right"/>
            </w:pPr>
            <w:r>
              <w:t>5.87</w:t>
            </w:r>
          </w:p>
        </w:tc>
        <w:tc>
          <w:tcPr>
            <w:tcW w:w="0" w:type="auto"/>
          </w:tcPr>
          <w:p w14:paraId="09DCC7A8" w14:textId="77777777" w:rsidR="007156F1" w:rsidRDefault="007156F1" w:rsidP="00D56005">
            <w:pPr>
              <w:pStyle w:val="Compact"/>
              <w:spacing w:line="360" w:lineRule="auto"/>
              <w:jc w:val="right"/>
            </w:pPr>
            <w:r>
              <w:t>5.93</w:t>
            </w:r>
          </w:p>
        </w:tc>
        <w:tc>
          <w:tcPr>
            <w:tcW w:w="0" w:type="auto"/>
          </w:tcPr>
          <w:p w14:paraId="75E4219D" w14:textId="77777777" w:rsidR="007156F1" w:rsidRDefault="007156F1" w:rsidP="00D56005">
            <w:pPr>
              <w:pStyle w:val="Compact"/>
              <w:spacing w:line="360" w:lineRule="auto"/>
              <w:jc w:val="right"/>
            </w:pPr>
            <w:r>
              <w:t>3.99%</w:t>
            </w:r>
          </w:p>
        </w:tc>
        <w:tc>
          <w:tcPr>
            <w:tcW w:w="0" w:type="auto"/>
          </w:tcPr>
          <w:p w14:paraId="4BEA7CF8" w14:textId="77777777" w:rsidR="007156F1" w:rsidRDefault="007156F1" w:rsidP="00D56005">
            <w:pPr>
              <w:pStyle w:val="Compact"/>
              <w:spacing w:line="360" w:lineRule="auto"/>
              <w:jc w:val="right"/>
            </w:pPr>
            <w:r>
              <w:t>5.61</w:t>
            </w:r>
          </w:p>
        </w:tc>
        <w:tc>
          <w:tcPr>
            <w:tcW w:w="0" w:type="auto"/>
          </w:tcPr>
          <w:p w14:paraId="7DC91660" w14:textId="77777777" w:rsidR="007156F1" w:rsidRDefault="007156F1" w:rsidP="00D56005">
            <w:pPr>
              <w:pStyle w:val="Compact"/>
              <w:spacing w:line="360" w:lineRule="auto"/>
              <w:jc w:val="right"/>
            </w:pPr>
            <w:r>
              <w:t>168</w:t>
            </w:r>
          </w:p>
        </w:tc>
      </w:tr>
      <w:tr w:rsidR="007156F1" w14:paraId="601CB542" w14:textId="77777777" w:rsidTr="007156F1">
        <w:tc>
          <w:tcPr>
            <w:tcW w:w="0" w:type="auto"/>
          </w:tcPr>
          <w:p w14:paraId="236E1520" w14:textId="77777777" w:rsidR="007156F1" w:rsidRDefault="007156F1" w:rsidP="00D56005">
            <w:pPr>
              <w:pStyle w:val="Compact"/>
              <w:spacing w:line="360" w:lineRule="auto"/>
            </w:pPr>
            <w:r>
              <w:t>Q5–Q1 EW All</w:t>
            </w:r>
          </w:p>
        </w:tc>
        <w:tc>
          <w:tcPr>
            <w:tcW w:w="0" w:type="auto"/>
          </w:tcPr>
          <w:p w14:paraId="512D34B5" w14:textId="77777777" w:rsidR="007156F1" w:rsidRDefault="007156F1" w:rsidP="00D56005">
            <w:pPr>
              <w:pStyle w:val="Compact"/>
              <w:spacing w:line="360" w:lineRule="auto"/>
              <w:jc w:val="right"/>
            </w:pPr>
            <w:r>
              <w:t>5.35%</w:t>
            </w:r>
          </w:p>
        </w:tc>
        <w:tc>
          <w:tcPr>
            <w:tcW w:w="0" w:type="auto"/>
          </w:tcPr>
          <w:p w14:paraId="36E6B3C5" w14:textId="13ABAA01" w:rsidR="007156F1" w:rsidRDefault="007156F1" w:rsidP="00D56005">
            <w:pPr>
              <w:pStyle w:val="Compact"/>
              <w:spacing w:line="360" w:lineRule="auto"/>
              <w:jc w:val="right"/>
            </w:pPr>
            <w:r>
              <w:t>1.01</w:t>
            </w:r>
          </w:p>
        </w:tc>
        <w:tc>
          <w:tcPr>
            <w:tcW w:w="0" w:type="auto"/>
          </w:tcPr>
          <w:p w14:paraId="4E4BD38D" w14:textId="0223EA78" w:rsidR="007156F1" w:rsidRDefault="007156F1" w:rsidP="00D56005">
            <w:pPr>
              <w:pStyle w:val="Compact"/>
              <w:spacing w:line="360" w:lineRule="auto"/>
              <w:jc w:val="right"/>
            </w:pPr>
            <w:r>
              <w:t>3.77</w:t>
            </w:r>
          </w:p>
        </w:tc>
        <w:tc>
          <w:tcPr>
            <w:tcW w:w="0" w:type="auto"/>
          </w:tcPr>
          <w:p w14:paraId="4DFFB338" w14:textId="77777777" w:rsidR="007156F1" w:rsidRDefault="007156F1" w:rsidP="00D56005">
            <w:pPr>
              <w:pStyle w:val="Compact"/>
              <w:spacing w:line="360" w:lineRule="auto"/>
              <w:jc w:val="right"/>
            </w:pPr>
            <w:r>
              <w:t>4.47</w:t>
            </w:r>
          </w:p>
        </w:tc>
        <w:tc>
          <w:tcPr>
            <w:tcW w:w="0" w:type="auto"/>
          </w:tcPr>
          <w:p w14:paraId="658B53DE" w14:textId="77777777" w:rsidR="007156F1" w:rsidRDefault="007156F1" w:rsidP="00D56005">
            <w:pPr>
              <w:pStyle w:val="Compact"/>
              <w:spacing w:line="360" w:lineRule="auto"/>
              <w:jc w:val="right"/>
            </w:pPr>
            <w:r>
              <w:t>5.45%</w:t>
            </w:r>
          </w:p>
        </w:tc>
        <w:tc>
          <w:tcPr>
            <w:tcW w:w="0" w:type="auto"/>
          </w:tcPr>
          <w:p w14:paraId="2D1D5466" w14:textId="77777777" w:rsidR="007156F1" w:rsidRDefault="007156F1" w:rsidP="00D56005">
            <w:pPr>
              <w:pStyle w:val="Compact"/>
              <w:spacing w:line="360" w:lineRule="auto"/>
              <w:jc w:val="right"/>
            </w:pPr>
            <w:r>
              <w:t>4.33</w:t>
            </w:r>
          </w:p>
        </w:tc>
        <w:tc>
          <w:tcPr>
            <w:tcW w:w="0" w:type="auto"/>
          </w:tcPr>
          <w:p w14:paraId="593BA458" w14:textId="77777777" w:rsidR="007156F1" w:rsidRDefault="007156F1" w:rsidP="00D56005">
            <w:pPr>
              <w:pStyle w:val="Compact"/>
              <w:spacing w:line="360" w:lineRule="auto"/>
              <w:jc w:val="right"/>
            </w:pPr>
            <w:r>
              <w:t>168</w:t>
            </w:r>
          </w:p>
        </w:tc>
      </w:tr>
      <w:tr w:rsidR="007156F1" w14:paraId="3CBCA254" w14:textId="77777777" w:rsidTr="007156F1">
        <w:tc>
          <w:tcPr>
            <w:tcW w:w="0" w:type="auto"/>
          </w:tcPr>
          <w:p w14:paraId="48629764" w14:textId="77777777" w:rsidR="007156F1" w:rsidRDefault="007156F1" w:rsidP="00D56005">
            <w:pPr>
              <w:pStyle w:val="Compact"/>
              <w:spacing w:line="360" w:lineRule="auto"/>
            </w:pPr>
            <w:r>
              <w:t>Q5–Q1 EW $100M+</w:t>
            </w:r>
          </w:p>
        </w:tc>
        <w:tc>
          <w:tcPr>
            <w:tcW w:w="0" w:type="auto"/>
          </w:tcPr>
          <w:p w14:paraId="0956BF2F" w14:textId="77777777" w:rsidR="007156F1" w:rsidRDefault="007156F1" w:rsidP="00D56005">
            <w:pPr>
              <w:pStyle w:val="Compact"/>
              <w:spacing w:line="360" w:lineRule="auto"/>
              <w:jc w:val="right"/>
            </w:pPr>
            <w:r>
              <w:t>5.56%</w:t>
            </w:r>
          </w:p>
        </w:tc>
        <w:tc>
          <w:tcPr>
            <w:tcW w:w="0" w:type="auto"/>
          </w:tcPr>
          <w:p w14:paraId="3A04D913" w14:textId="706287AE" w:rsidR="007156F1" w:rsidRDefault="007156F1" w:rsidP="00D56005">
            <w:pPr>
              <w:pStyle w:val="Compact"/>
              <w:spacing w:line="360" w:lineRule="auto"/>
              <w:jc w:val="right"/>
            </w:pPr>
            <w:r>
              <w:t>1.20</w:t>
            </w:r>
          </w:p>
        </w:tc>
        <w:tc>
          <w:tcPr>
            <w:tcW w:w="0" w:type="auto"/>
          </w:tcPr>
          <w:p w14:paraId="5FF1181B" w14:textId="4B8B4C8F" w:rsidR="007156F1" w:rsidRDefault="007156F1" w:rsidP="00D56005">
            <w:pPr>
              <w:pStyle w:val="Compact"/>
              <w:spacing w:line="360" w:lineRule="auto"/>
              <w:jc w:val="right"/>
            </w:pPr>
            <w:r>
              <w:t>4.48</w:t>
            </w:r>
          </w:p>
        </w:tc>
        <w:tc>
          <w:tcPr>
            <w:tcW w:w="0" w:type="auto"/>
          </w:tcPr>
          <w:p w14:paraId="3F36C031" w14:textId="77777777" w:rsidR="007156F1" w:rsidRDefault="007156F1" w:rsidP="00D56005">
            <w:pPr>
              <w:pStyle w:val="Compact"/>
              <w:spacing w:line="360" w:lineRule="auto"/>
              <w:jc w:val="right"/>
            </w:pPr>
            <w:r>
              <w:t>4.81</w:t>
            </w:r>
          </w:p>
        </w:tc>
        <w:tc>
          <w:tcPr>
            <w:tcW w:w="0" w:type="auto"/>
          </w:tcPr>
          <w:p w14:paraId="3277DF5C" w14:textId="77777777" w:rsidR="007156F1" w:rsidRDefault="007156F1" w:rsidP="00D56005">
            <w:pPr>
              <w:pStyle w:val="Compact"/>
              <w:spacing w:line="360" w:lineRule="auto"/>
              <w:jc w:val="right"/>
            </w:pPr>
            <w:r>
              <w:t>5.42%</w:t>
            </w:r>
          </w:p>
        </w:tc>
        <w:tc>
          <w:tcPr>
            <w:tcW w:w="0" w:type="auto"/>
          </w:tcPr>
          <w:p w14:paraId="3BC091CE" w14:textId="77777777" w:rsidR="007156F1" w:rsidRDefault="007156F1" w:rsidP="00D56005">
            <w:pPr>
              <w:pStyle w:val="Compact"/>
              <w:spacing w:line="360" w:lineRule="auto"/>
              <w:jc w:val="right"/>
            </w:pPr>
            <w:r>
              <w:t>4.43</w:t>
            </w:r>
          </w:p>
        </w:tc>
        <w:tc>
          <w:tcPr>
            <w:tcW w:w="0" w:type="auto"/>
          </w:tcPr>
          <w:p w14:paraId="65A66D51" w14:textId="77777777" w:rsidR="007156F1" w:rsidRDefault="007156F1" w:rsidP="00D56005">
            <w:pPr>
              <w:pStyle w:val="Compact"/>
              <w:spacing w:line="360" w:lineRule="auto"/>
              <w:jc w:val="right"/>
            </w:pPr>
            <w:r>
              <w:t>168</w:t>
            </w:r>
          </w:p>
        </w:tc>
      </w:tr>
    </w:tbl>
    <w:p w14:paraId="6F68B9FC" w14:textId="2EA4F3F0" w:rsidR="00676453" w:rsidRDefault="00307C98" w:rsidP="00D56005">
      <w:pPr>
        <w:pStyle w:val="BodyText"/>
        <w:spacing w:line="360" w:lineRule="auto"/>
        <w:rPr>
          <w:bCs/>
        </w:rPr>
      </w:pPr>
      <w:r w:rsidRPr="00307C98">
        <w:rPr>
          <w:bCs/>
        </w:rPr>
        <w:t>Value-weighted results remain positive and statistically meaningful, although their Sharpe ratios and factor-adjusted t-statistics are lower than the strongest equal-weighted specifications. The value-weighted all-stock bottom-decile universe-minus-bottom spread earns 9.04% annualized with a Newey-West t-statistic of 3.81 and a FF5+Momentum alpha of 5.08% with an alpha t-statistic of 2.93. The $100M+ value-weighted version earns 8.27% with a Newey-West t-statistic of 3.53 and a FF5+Momentum alpha of 4.20% with an alpha t-statistic of 2.49. This suggests that the effect is not limited to equal-weighted small stocks, even though the cleanest risk-adjusted performance appears in the equal-weighted specifications.</w:t>
      </w:r>
    </w:p>
    <w:tbl>
      <w:tblPr>
        <w:tblStyle w:val="Table"/>
        <w:tblW w:w="5000" w:type="pct"/>
        <w:tblLook w:val="07E0" w:firstRow="1" w:lastRow="1" w:firstColumn="1" w:lastColumn="1" w:noHBand="1" w:noVBand="1"/>
      </w:tblPr>
      <w:tblGrid>
        <w:gridCol w:w="2050"/>
        <w:gridCol w:w="1096"/>
        <w:gridCol w:w="935"/>
        <w:gridCol w:w="917"/>
        <w:gridCol w:w="886"/>
        <w:gridCol w:w="1545"/>
        <w:gridCol w:w="1063"/>
        <w:gridCol w:w="1084"/>
      </w:tblGrid>
      <w:tr w:rsidR="00676453" w14:paraId="1368309E" w14:textId="77777777" w:rsidTr="00565714">
        <w:tc>
          <w:tcPr>
            <w:tcW w:w="0" w:type="auto"/>
            <w:tcBorders>
              <w:bottom w:val="single" w:sz="0" w:space="0" w:color="auto"/>
            </w:tcBorders>
            <w:vAlign w:val="bottom"/>
          </w:tcPr>
          <w:p w14:paraId="7DAFA990" w14:textId="77777777" w:rsidR="00676453" w:rsidRDefault="00676453" w:rsidP="00565714">
            <w:pPr>
              <w:pStyle w:val="Compact"/>
              <w:spacing w:line="360" w:lineRule="auto"/>
            </w:pPr>
            <w:r>
              <w:t>Strategy</w:t>
            </w:r>
          </w:p>
        </w:tc>
        <w:tc>
          <w:tcPr>
            <w:tcW w:w="0" w:type="auto"/>
            <w:tcBorders>
              <w:bottom w:val="single" w:sz="0" w:space="0" w:color="auto"/>
            </w:tcBorders>
            <w:vAlign w:val="bottom"/>
          </w:tcPr>
          <w:p w14:paraId="5708EF66" w14:textId="77777777" w:rsidR="00676453" w:rsidRDefault="00676453" w:rsidP="00565714">
            <w:pPr>
              <w:pStyle w:val="Compact"/>
              <w:spacing w:line="360" w:lineRule="auto"/>
              <w:jc w:val="right"/>
            </w:pPr>
            <w:r>
              <w:t>Ann. return</w:t>
            </w:r>
          </w:p>
        </w:tc>
        <w:tc>
          <w:tcPr>
            <w:tcW w:w="0" w:type="auto"/>
            <w:tcBorders>
              <w:bottom w:val="single" w:sz="0" w:space="0" w:color="auto"/>
            </w:tcBorders>
          </w:tcPr>
          <w:p w14:paraId="0CD50016" w14:textId="77777777" w:rsidR="00676453" w:rsidRDefault="00676453" w:rsidP="00565714">
            <w:pPr>
              <w:pStyle w:val="Compact"/>
              <w:spacing w:line="360" w:lineRule="auto"/>
              <w:jc w:val="right"/>
            </w:pPr>
            <w:r>
              <w:t>Sharpe</w:t>
            </w:r>
            <w:r>
              <w:br/>
              <w:t>Ratio</w:t>
            </w:r>
          </w:p>
        </w:tc>
        <w:tc>
          <w:tcPr>
            <w:tcW w:w="0" w:type="auto"/>
            <w:tcBorders>
              <w:bottom w:val="single" w:sz="0" w:space="0" w:color="auto"/>
            </w:tcBorders>
            <w:vAlign w:val="bottom"/>
          </w:tcPr>
          <w:p w14:paraId="62711246" w14:textId="77777777" w:rsidR="00676453" w:rsidRDefault="00676453" w:rsidP="00565714">
            <w:pPr>
              <w:pStyle w:val="Compact"/>
              <w:spacing w:line="360" w:lineRule="auto"/>
              <w:jc w:val="right"/>
            </w:pPr>
            <w:r>
              <w:t>Raw t-stat</w:t>
            </w:r>
          </w:p>
        </w:tc>
        <w:tc>
          <w:tcPr>
            <w:tcW w:w="0" w:type="auto"/>
            <w:tcBorders>
              <w:bottom w:val="single" w:sz="0" w:space="0" w:color="auto"/>
            </w:tcBorders>
            <w:vAlign w:val="bottom"/>
          </w:tcPr>
          <w:p w14:paraId="26D6EFCF" w14:textId="77777777" w:rsidR="00676453" w:rsidRDefault="00676453" w:rsidP="00565714">
            <w:pPr>
              <w:pStyle w:val="Compact"/>
              <w:spacing w:line="360" w:lineRule="auto"/>
              <w:jc w:val="right"/>
            </w:pPr>
            <w:r>
              <w:t>NW t-stat</w:t>
            </w:r>
          </w:p>
        </w:tc>
        <w:tc>
          <w:tcPr>
            <w:tcW w:w="0" w:type="auto"/>
            <w:tcBorders>
              <w:bottom w:val="single" w:sz="0" w:space="0" w:color="auto"/>
            </w:tcBorders>
            <w:vAlign w:val="bottom"/>
          </w:tcPr>
          <w:p w14:paraId="1EBA8CA7" w14:textId="77777777" w:rsidR="00676453" w:rsidRDefault="00676453" w:rsidP="00565714">
            <w:pPr>
              <w:pStyle w:val="Compact"/>
              <w:spacing w:line="360" w:lineRule="auto"/>
              <w:jc w:val="right"/>
            </w:pPr>
            <w:r>
              <w:t>FF5+MOM alpha</w:t>
            </w:r>
          </w:p>
        </w:tc>
        <w:tc>
          <w:tcPr>
            <w:tcW w:w="0" w:type="auto"/>
            <w:tcBorders>
              <w:bottom w:val="single" w:sz="0" w:space="0" w:color="auto"/>
            </w:tcBorders>
            <w:vAlign w:val="bottom"/>
          </w:tcPr>
          <w:p w14:paraId="75B29BD6" w14:textId="77777777" w:rsidR="00676453" w:rsidRDefault="00676453" w:rsidP="00565714">
            <w:pPr>
              <w:pStyle w:val="Compact"/>
              <w:spacing w:line="360" w:lineRule="auto"/>
              <w:jc w:val="right"/>
            </w:pPr>
            <w:r>
              <w:t>Alpha t-stat</w:t>
            </w:r>
          </w:p>
        </w:tc>
        <w:tc>
          <w:tcPr>
            <w:tcW w:w="0" w:type="auto"/>
            <w:tcBorders>
              <w:bottom w:val="single" w:sz="0" w:space="0" w:color="auto"/>
            </w:tcBorders>
            <w:vAlign w:val="bottom"/>
          </w:tcPr>
          <w:p w14:paraId="60115148" w14:textId="77777777" w:rsidR="00676453" w:rsidRDefault="00676453" w:rsidP="00565714">
            <w:pPr>
              <w:pStyle w:val="Compact"/>
              <w:spacing w:line="360" w:lineRule="auto"/>
              <w:jc w:val="right"/>
            </w:pPr>
            <w:r>
              <w:t>N months</w:t>
            </w:r>
          </w:p>
        </w:tc>
      </w:tr>
      <w:tr w:rsidR="00676453" w14:paraId="4F8E19CF" w14:textId="77777777" w:rsidTr="00F66A71">
        <w:tc>
          <w:tcPr>
            <w:tcW w:w="0" w:type="auto"/>
            <w:vAlign w:val="center"/>
          </w:tcPr>
          <w:p w14:paraId="1F1DE1BC" w14:textId="08467874" w:rsidR="00676453" w:rsidRDefault="00676453" w:rsidP="00676453">
            <w:pPr>
              <w:pStyle w:val="Compact"/>
              <w:spacing w:line="360" w:lineRule="auto"/>
            </w:pPr>
            <w:r>
              <w:t>Bottom Decile U-B VW All</w:t>
            </w:r>
          </w:p>
        </w:tc>
        <w:tc>
          <w:tcPr>
            <w:tcW w:w="0" w:type="auto"/>
            <w:vAlign w:val="center"/>
          </w:tcPr>
          <w:p w14:paraId="5869B5F3" w14:textId="7878AAF3" w:rsidR="00676453" w:rsidRDefault="00676453" w:rsidP="00676453">
            <w:pPr>
              <w:pStyle w:val="Compact"/>
              <w:spacing w:line="360" w:lineRule="auto"/>
              <w:jc w:val="right"/>
            </w:pPr>
            <w:r>
              <w:t>9.04%</w:t>
            </w:r>
          </w:p>
        </w:tc>
        <w:tc>
          <w:tcPr>
            <w:tcW w:w="0" w:type="auto"/>
            <w:vAlign w:val="center"/>
          </w:tcPr>
          <w:p w14:paraId="6A75FE25" w14:textId="522B5228" w:rsidR="00676453" w:rsidRDefault="00676453" w:rsidP="00676453">
            <w:pPr>
              <w:pStyle w:val="Compact"/>
              <w:spacing w:line="360" w:lineRule="auto"/>
              <w:jc w:val="right"/>
            </w:pPr>
            <w:r>
              <w:t>0.91</w:t>
            </w:r>
          </w:p>
        </w:tc>
        <w:tc>
          <w:tcPr>
            <w:tcW w:w="0" w:type="auto"/>
            <w:vAlign w:val="center"/>
          </w:tcPr>
          <w:p w14:paraId="4BA3CD99" w14:textId="6BCFF9D3" w:rsidR="00676453" w:rsidRDefault="00676453" w:rsidP="00676453">
            <w:pPr>
              <w:pStyle w:val="Compact"/>
              <w:spacing w:line="360" w:lineRule="auto"/>
              <w:jc w:val="right"/>
            </w:pPr>
            <w:r>
              <w:t>3.39</w:t>
            </w:r>
          </w:p>
        </w:tc>
        <w:tc>
          <w:tcPr>
            <w:tcW w:w="0" w:type="auto"/>
            <w:vAlign w:val="center"/>
          </w:tcPr>
          <w:p w14:paraId="66133F98" w14:textId="125565F7" w:rsidR="00676453" w:rsidRDefault="00676453" w:rsidP="00676453">
            <w:pPr>
              <w:pStyle w:val="Compact"/>
              <w:spacing w:line="360" w:lineRule="auto"/>
              <w:jc w:val="right"/>
            </w:pPr>
            <w:r>
              <w:t>3.81</w:t>
            </w:r>
          </w:p>
        </w:tc>
        <w:tc>
          <w:tcPr>
            <w:tcW w:w="0" w:type="auto"/>
            <w:vAlign w:val="center"/>
          </w:tcPr>
          <w:p w14:paraId="0B7BA255" w14:textId="2B780D92" w:rsidR="00676453" w:rsidRDefault="00676453" w:rsidP="00676453">
            <w:pPr>
              <w:pStyle w:val="Compact"/>
              <w:spacing w:line="360" w:lineRule="auto"/>
              <w:jc w:val="right"/>
            </w:pPr>
            <w:r>
              <w:t>5.08%</w:t>
            </w:r>
          </w:p>
        </w:tc>
        <w:tc>
          <w:tcPr>
            <w:tcW w:w="0" w:type="auto"/>
            <w:vAlign w:val="center"/>
          </w:tcPr>
          <w:p w14:paraId="210F50E0" w14:textId="11FEAA89" w:rsidR="00676453" w:rsidRDefault="00676453" w:rsidP="00676453">
            <w:pPr>
              <w:pStyle w:val="Compact"/>
              <w:spacing w:line="360" w:lineRule="auto"/>
              <w:jc w:val="right"/>
            </w:pPr>
            <w:r>
              <w:t>2.93</w:t>
            </w:r>
          </w:p>
        </w:tc>
        <w:tc>
          <w:tcPr>
            <w:tcW w:w="0" w:type="auto"/>
            <w:vAlign w:val="center"/>
          </w:tcPr>
          <w:p w14:paraId="639E6B7A" w14:textId="6353FE09" w:rsidR="00676453" w:rsidRDefault="00676453" w:rsidP="00676453">
            <w:pPr>
              <w:pStyle w:val="Compact"/>
              <w:spacing w:line="360" w:lineRule="auto"/>
              <w:jc w:val="right"/>
            </w:pPr>
            <w:r>
              <w:t>168</w:t>
            </w:r>
          </w:p>
        </w:tc>
      </w:tr>
      <w:tr w:rsidR="00676453" w14:paraId="7922061A" w14:textId="77777777" w:rsidTr="00F66A71">
        <w:tc>
          <w:tcPr>
            <w:tcW w:w="0" w:type="auto"/>
            <w:vAlign w:val="center"/>
          </w:tcPr>
          <w:p w14:paraId="19810905" w14:textId="0D46AD35" w:rsidR="00676453" w:rsidRDefault="00676453" w:rsidP="00676453">
            <w:pPr>
              <w:pStyle w:val="Compact"/>
              <w:spacing w:line="360" w:lineRule="auto"/>
            </w:pPr>
            <w:r>
              <w:t>Bottom Decile U-B VW $100M+</w:t>
            </w:r>
          </w:p>
        </w:tc>
        <w:tc>
          <w:tcPr>
            <w:tcW w:w="0" w:type="auto"/>
            <w:vAlign w:val="center"/>
          </w:tcPr>
          <w:p w14:paraId="0643D119" w14:textId="310EAB66" w:rsidR="00676453" w:rsidRDefault="00676453" w:rsidP="00676453">
            <w:pPr>
              <w:pStyle w:val="Compact"/>
              <w:spacing w:line="360" w:lineRule="auto"/>
              <w:jc w:val="right"/>
            </w:pPr>
            <w:r>
              <w:t>8.27%</w:t>
            </w:r>
          </w:p>
        </w:tc>
        <w:tc>
          <w:tcPr>
            <w:tcW w:w="0" w:type="auto"/>
            <w:vAlign w:val="center"/>
          </w:tcPr>
          <w:p w14:paraId="72B95C1C" w14:textId="0B992982" w:rsidR="00676453" w:rsidRDefault="00676453" w:rsidP="00676453">
            <w:pPr>
              <w:pStyle w:val="Compact"/>
              <w:spacing w:line="360" w:lineRule="auto"/>
              <w:jc w:val="right"/>
            </w:pPr>
            <w:r>
              <w:t>0.91</w:t>
            </w:r>
          </w:p>
        </w:tc>
        <w:tc>
          <w:tcPr>
            <w:tcW w:w="0" w:type="auto"/>
            <w:vAlign w:val="center"/>
          </w:tcPr>
          <w:p w14:paraId="4C0F8892" w14:textId="05858BC9" w:rsidR="00676453" w:rsidRDefault="00676453" w:rsidP="00676453">
            <w:pPr>
              <w:pStyle w:val="Compact"/>
              <w:spacing w:line="360" w:lineRule="auto"/>
              <w:jc w:val="right"/>
            </w:pPr>
            <w:r>
              <w:t>3.40</w:t>
            </w:r>
          </w:p>
        </w:tc>
        <w:tc>
          <w:tcPr>
            <w:tcW w:w="0" w:type="auto"/>
            <w:vAlign w:val="center"/>
          </w:tcPr>
          <w:p w14:paraId="0AF7202F" w14:textId="786CFA22" w:rsidR="00676453" w:rsidRDefault="00676453" w:rsidP="00676453">
            <w:pPr>
              <w:pStyle w:val="Compact"/>
              <w:spacing w:line="360" w:lineRule="auto"/>
              <w:jc w:val="right"/>
            </w:pPr>
            <w:r>
              <w:t>3.53</w:t>
            </w:r>
          </w:p>
        </w:tc>
        <w:tc>
          <w:tcPr>
            <w:tcW w:w="0" w:type="auto"/>
            <w:vAlign w:val="center"/>
          </w:tcPr>
          <w:p w14:paraId="459A6811" w14:textId="254DBF07" w:rsidR="00676453" w:rsidRDefault="00676453" w:rsidP="00676453">
            <w:pPr>
              <w:pStyle w:val="Compact"/>
              <w:spacing w:line="360" w:lineRule="auto"/>
              <w:jc w:val="right"/>
            </w:pPr>
            <w:r>
              <w:t>4.20%</w:t>
            </w:r>
          </w:p>
        </w:tc>
        <w:tc>
          <w:tcPr>
            <w:tcW w:w="0" w:type="auto"/>
            <w:vAlign w:val="center"/>
          </w:tcPr>
          <w:p w14:paraId="4F972878" w14:textId="2F4EB24D" w:rsidR="00676453" w:rsidRDefault="00676453" w:rsidP="00676453">
            <w:pPr>
              <w:pStyle w:val="Compact"/>
              <w:spacing w:line="360" w:lineRule="auto"/>
              <w:jc w:val="right"/>
            </w:pPr>
            <w:r>
              <w:t>2.49</w:t>
            </w:r>
          </w:p>
        </w:tc>
        <w:tc>
          <w:tcPr>
            <w:tcW w:w="0" w:type="auto"/>
            <w:vAlign w:val="center"/>
          </w:tcPr>
          <w:p w14:paraId="74F86AB1" w14:textId="1DCE17A9" w:rsidR="00676453" w:rsidRDefault="00676453" w:rsidP="00676453">
            <w:pPr>
              <w:pStyle w:val="Compact"/>
              <w:spacing w:line="360" w:lineRule="auto"/>
              <w:jc w:val="right"/>
            </w:pPr>
            <w:r>
              <w:t>168</w:t>
            </w:r>
          </w:p>
        </w:tc>
      </w:tr>
    </w:tbl>
    <w:p w14:paraId="2BAC4B8E" w14:textId="70AFEB48" w:rsidR="00FA75C9" w:rsidRDefault="00000000" w:rsidP="00D56005">
      <w:pPr>
        <w:pStyle w:val="BodyText"/>
        <w:spacing w:line="360" w:lineRule="auto"/>
      </w:pPr>
      <w:r>
        <w:rPr>
          <w:b/>
        </w:rPr>
        <w:t>Figure 1. Main Cumulative Performance.</w:t>
      </w:r>
    </w:p>
    <w:p w14:paraId="0BDB54AA" w14:textId="77777777" w:rsidR="00FA75C9" w:rsidRDefault="00000000" w:rsidP="00D56005">
      <w:pPr>
        <w:pStyle w:val="CaptionedFigure"/>
        <w:spacing w:line="360" w:lineRule="auto"/>
      </w:pPr>
      <w:r>
        <w:rPr>
          <w:noProof/>
        </w:rPr>
        <w:lastRenderedPageBreak/>
        <w:drawing>
          <wp:inline distT="0" distB="0" distL="0" distR="0" wp14:anchorId="03289F3E" wp14:editId="4871B396">
            <wp:extent cx="5334000" cy="3200400"/>
            <wp:effectExtent l="0" t="0" r="0" b="0"/>
            <wp:docPr id="1" name="Picture" descr="Figure 1"/>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1_main_cumulative_performance.png"/>
                    <pic:cNvPicPr>
                      <a:picLocks noChangeAspect="1" noChangeArrowheads="1"/>
                    </pic:cNvPicPr>
                  </pic:nvPicPr>
                  <pic:blipFill>
                    <a:blip r:embed="rId7"/>
                    <a:stretch>
                      <a:fillRect/>
                    </a:stretch>
                  </pic:blipFill>
                  <pic:spPr bwMode="auto">
                    <a:xfrm>
                      <a:off x="0" y="0"/>
                      <a:ext cx="5334000" cy="3200400"/>
                    </a:xfrm>
                    <a:prstGeom prst="rect">
                      <a:avLst/>
                    </a:prstGeom>
                    <a:noFill/>
                    <a:ln w="9525">
                      <a:noFill/>
                      <a:headEnd/>
                      <a:tailEnd/>
                    </a:ln>
                  </pic:spPr>
                </pic:pic>
              </a:graphicData>
            </a:graphic>
          </wp:inline>
        </w:drawing>
      </w:r>
    </w:p>
    <w:p w14:paraId="784BBB92" w14:textId="77777777" w:rsidR="00FA75C9" w:rsidRDefault="00000000" w:rsidP="00D56005">
      <w:pPr>
        <w:pStyle w:val="ImageCaption"/>
        <w:spacing w:line="360" w:lineRule="auto"/>
      </w:pPr>
      <w:r>
        <w:t>Figure 1</w:t>
      </w:r>
    </w:p>
    <w:p w14:paraId="0C67CAA0" w14:textId="77777777" w:rsidR="00FA75C9" w:rsidRDefault="00000000" w:rsidP="00D56005">
      <w:pPr>
        <w:pStyle w:val="BodyText"/>
        <w:spacing w:line="360" w:lineRule="auto"/>
      </w:pPr>
      <w:r>
        <w:rPr>
          <w:i/>
        </w:rPr>
        <w:t>Figure 1. Cumulative growth of $1 invested in the universe-minus-bottom-tail IV-spread strategies, 2010–2023. Both the all-optionable and the $100M+ versions accumulate steadily over the sample, with no single year driving the performance.</w:t>
      </w:r>
    </w:p>
    <w:p w14:paraId="04D515E6" w14:textId="77777777" w:rsidR="00FA75C9" w:rsidRDefault="00000000" w:rsidP="00D56005">
      <w:pPr>
        <w:pStyle w:val="BodyText"/>
        <w:spacing w:line="360" w:lineRule="auto"/>
      </w:pPr>
      <w:r>
        <w:rPr>
          <w:i/>
        </w:rPr>
        <w:t xml:space="preserve">Source: </w:t>
      </w:r>
      <w:r>
        <w:rPr>
          <w:rStyle w:val="VerbatimChar"/>
          <w:i/>
        </w:rPr>
        <w:t>outputs/sample_2010_2023/final_figures/01_main_cumulative_performance.png</w:t>
      </w:r>
      <w:r>
        <w:rPr>
          <w:i/>
        </w:rPr>
        <w:t>.</w:t>
      </w:r>
    </w:p>
    <w:p w14:paraId="7DB5CDC0" w14:textId="77777777" w:rsidR="00FA75C9" w:rsidRDefault="00000000" w:rsidP="00D56005">
      <w:pPr>
        <w:pStyle w:val="Heading2"/>
        <w:spacing w:line="360" w:lineRule="auto"/>
      </w:pPr>
      <w:bookmarkStart w:id="12" w:name="decile-pattern-and-leg-decomposition"/>
      <w:bookmarkStart w:id="13" w:name="_Toc228955547"/>
      <w:r>
        <w:t>6. Decile Pattern and Leg Decomposition</w:t>
      </w:r>
      <w:bookmarkEnd w:id="12"/>
      <w:bookmarkEnd w:id="13"/>
    </w:p>
    <w:p w14:paraId="42A33D9B" w14:textId="77777777" w:rsidR="00FA75C9" w:rsidRDefault="00000000" w:rsidP="00D56005">
      <w:pPr>
        <w:pStyle w:val="FirstParagraph"/>
        <w:spacing w:line="360" w:lineRule="auto"/>
      </w:pPr>
      <w:r>
        <w:t>A natural concern with any signal that produces a strong long-short return is whether the underlying decile pattern is consistent with a smooth, monotonic factor or whether the entire effect is concentrated in a single tail. The decile evidence here is informative.</w:t>
      </w:r>
    </w:p>
    <w:p w14:paraId="0B7F2AB8" w14:textId="77777777" w:rsidR="00FA75C9" w:rsidRDefault="00000000" w:rsidP="00D56005">
      <w:pPr>
        <w:pStyle w:val="BodyText"/>
        <w:spacing w:line="360" w:lineRule="auto"/>
      </w:pPr>
      <w:r>
        <w:t>Annualized equal-weighted returns by decile (sorted from lowest to highest IV spread) are: D1 = 3.96%, D2 = 8.26%, D3 = 12.20%, D4 = 13.86%, D5 = 13.04%, D6 = 13.27%, D7 = 13.71%, D8 = 14.12%, D9 = 13.64%, D10 = 9.28%. The optionable universe earns 11.53% annualized over the same 168 months on an equal-weighted basis.</w:t>
      </w:r>
    </w:p>
    <w:p w14:paraId="28968C4B" w14:textId="77777777" w:rsidR="00FA75C9" w:rsidRDefault="00000000" w:rsidP="00D56005">
      <w:pPr>
        <w:pStyle w:val="BodyText"/>
        <w:spacing w:line="360" w:lineRule="auto"/>
      </w:pPr>
      <w:r>
        <w:lastRenderedPageBreak/>
        <w:t>D1 is a clear negative outlier relative to the rest of the distribution. D10 is also somewhat below the universe and the interior deciles. The middle of the distribution, from D3 through D9, is essentially flat, with adjacent-decile differences typically within a few percentage points. The Spearman rank correlation between decile rank and decile mean return is 0.49, and only six of the nine adjacent-decile differences are positive in the equal-weighted construction. This pattern is not a clean monotonic ranking signal.</w:t>
      </w:r>
    </w:p>
    <w:p w14:paraId="3290DC9C" w14:textId="77777777" w:rsidR="00FA75C9" w:rsidRDefault="00000000" w:rsidP="00D56005">
      <w:pPr>
        <w:pStyle w:val="BodyText"/>
        <w:spacing w:line="360" w:lineRule="auto"/>
      </w:pPr>
      <w:r>
        <w:t>The leg decomposition makes the asymmetry explicit. Universe minus bottom decile earns 7.57% annualized, top minus universe earns −2.25%, and top minus bottom earns 5.32%. The bottom-tail leg dominates: the entire 5.32% top-minus-bottom long-short spread, and more, is attributable to the bottom decile’s underperformance rather than the top decile’s outperformance. This is the empirical basis for framing the result as bottom-tail negative selection rather than as a high-IV-spread alpha.</w:t>
      </w:r>
    </w:p>
    <w:p w14:paraId="4B75E26A" w14:textId="213E0288" w:rsidR="00A86B11" w:rsidRDefault="00A86B11" w:rsidP="00D56005">
      <w:pPr>
        <w:pStyle w:val="BodyText"/>
        <w:spacing w:line="360" w:lineRule="auto"/>
      </w:pPr>
      <w:r w:rsidRPr="00A86B11">
        <w:t>One important feature of the decile pattern is that the top IV-spread decile does not strongly outperform. D10 earns 9.28% annualized, below the full universe return of 11.53% and below several interior deciles. This means the signal should not be interpreted symmetrically as “low IV spread is bad and high IV spread is good.” Instead, the evidence is asymmetric: low call-minus-put implied volatility identifies a weak bottom tail, while extremely high call-minus-put implied volatility does not reliably identify winners. One possible explanation is that very high call-side implied volatility may reflect a mixture of genuine optimism, speculative call demand, short-squeeze dynamics, or noisy option-market pressure. The outlier-robustness tests reinforce this interpretation, since D10 remains weak even after trimming extreme returns and extreme IV-spread observations.</w:t>
      </w:r>
    </w:p>
    <w:p w14:paraId="7A6C0B75" w14:textId="77777777" w:rsidR="00FA75C9" w:rsidRDefault="00000000" w:rsidP="00D56005">
      <w:pPr>
        <w:pStyle w:val="BodyText"/>
        <w:spacing w:line="360" w:lineRule="auto"/>
      </w:pPr>
      <w:r>
        <w:rPr>
          <w:b/>
        </w:rPr>
        <w:t>Table 2. Decile and leg decomposition, equal-weighted, 2010–2023.</w:t>
      </w:r>
    </w:p>
    <w:tbl>
      <w:tblPr>
        <w:tblStyle w:val="Table"/>
        <w:tblW w:w="0" w:type="pct"/>
        <w:tblLook w:val="07E0" w:firstRow="1" w:lastRow="1" w:firstColumn="1" w:lastColumn="1" w:noHBand="1" w:noVBand="1"/>
      </w:tblPr>
      <w:tblGrid>
        <w:gridCol w:w="2660"/>
        <w:gridCol w:w="2503"/>
      </w:tblGrid>
      <w:tr w:rsidR="00FA75C9" w14:paraId="73BF1AD4" w14:textId="77777777">
        <w:tc>
          <w:tcPr>
            <w:tcW w:w="0" w:type="auto"/>
            <w:tcBorders>
              <w:bottom w:val="single" w:sz="0" w:space="0" w:color="auto"/>
            </w:tcBorders>
            <w:vAlign w:val="bottom"/>
          </w:tcPr>
          <w:p w14:paraId="1E008FF3" w14:textId="77777777" w:rsidR="00FA75C9" w:rsidRDefault="00000000" w:rsidP="00D56005">
            <w:pPr>
              <w:pStyle w:val="Compact"/>
              <w:spacing w:line="360" w:lineRule="auto"/>
            </w:pPr>
            <w:r>
              <w:t>Portfolio / Leg</w:t>
            </w:r>
          </w:p>
        </w:tc>
        <w:tc>
          <w:tcPr>
            <w:tcW w:w="0" w:type="auto"/>
            <w:tcBorders>
              <w:bottom w:val="single" w:sz="0" w:space="0" w:color="auto"/>
            </w:tcBorders>
            <w:vAlign w:val="bottom"/>
          </w:tcPr>
          <w:p w14:paraId="169F2E47" w14:textId="77777777" w:rsidR="00FA75C9" w:rsidRDefault="00000000" w:rsidP="00D56005">
            <w:pPr>
              <w:pStyle w:val="Compact"/>
              <w:spacing w:line="360" w:lineRule="auto"/>
              <w:jc w:val="right"/>
            </w:pPr>
            <w:r>
              <w:t>Annualized EW return</w:t>
            </w:r>
          </w:p>
        </w:tc>
      </w:tr>
      <w:tr w:rsidR="00FA75C9" w14:paraId="5C1CFA85" w14:textId="77777777">
        <w:tc>
          <w:tcPr>
            <w:tcW w:w="0" w:type="auto"/>
          </w:tcPr>
          <w:p w14:paraId="05752A56" w14:textId="77777777" w:rsidR="00FA75C9" w:rsidRDefault="00000000" w:rsidP="00D56005">
            <w:pPr>
              <w:pStyle w:val="Compact"/>
              <w:spacing w:line="360" w:lineRule="auto"/>
            </w:pPr>
            <w:r>
              <w:t>D1 (lowest IV spread)</w:t>
            </w:r>
          </w:p>
        </w:tc>
        <w:tc>
          <w:tcPr>
            <w:tcW w:w="0" w:type="auto"/>
          </w:tcPr>
          <w:p w14:paraId="7AE5C755" w14:textId="77777777" w:rsidR="00FA75C9" w:rsidRDefault="00000000" w:rsidP="00D56005">
            <w:pPr>
              <w:pStyle w:val="Compact"/>
              <w:spacing w:line="360" w:lineRule="auto"/>
              <w:jc w:val="right"/>
            </w:pPr>
            <w:r>
              <w:t>3.96%</w:t>
            </w:r>
          </w:p>
        </w:tc>
      </w:tr>
      <w:tr w:rsidR="00FA75C9" w14:paraId="21691750" w14:textId="77777777">
        <w:tc>
          <w:tcPr>
            <w:tcW w:w="0" w:type="auto"/>
          </w:tcPr>
          <w:p w14:paraId="5EC396B5" w14:textId="77777777" w:rsidR="00FA75C9" w:rsidRDefault="00000000" w:rsidP="00D56005">
            <w:pPr>
              <w:pStyle w:val="Compact"/>
              <w:spacing w:line="360" w:lineRule="auto"/>
            </w:pPr>
            <w:r>
              <w:t>D2</w:t>
            </w:r>
          </w:p>
        </w:tc>
        <w:tc>
          <w:tcPr>
            <w:tcW w:w="0" w:type="auto"/>
          </w:tcPr>
          <w:p w14:paraId="10798828" w14:textId="77777777" w:rsidR="00FA75C9" w:rsidRDefault="00000000" w:rsidP="00D56005">
            <w:pPr>
              <w:pStyle w:val="Compact"/>
              <w:spacing w:line="360" w:lineRule="auto"/>
              <w:jc w:val="right"/>
            </w:pPr>
            <w:r>
              <w:t>8.26%</w:t>
            </w:r>
          </w:p>
        </w:tc>
      </w:tr>
      <w:tr w:rsidR="00FA75C9" w14:paraId="2A770657" w14:textId="77777777">
        <w:tc>
          <w:tcPr>
            <w:tcW w:w="0" w:type="auto"/>
          </w:tcPr>
          <w:p w14:paraId="57B0150E" w14:textId="77777777" w:rsidR="00FA75C9" w:rsidRDefault="00000000" w:rsidP="00D56005">
            <w:pPr>
              <w:pStyle w:val="Compact"/>
              <w:spacing w:line="360" w:lineRule="auto"/>
            </w:pPr>
            <w:r>
              <w:t>D3</w:t>
            </w:r>
          </w:p>
        </w:tc>
        <w:tc>
          <w:tcPr>
            <w:tcW w:w="0" w:type="auto"/>
          </w:tcPr>
          <w:p w14:paraId="19248E62" w14:textId="77777777" w:rsidR="00FA75C9" w:rsidRDefault="00000000" w:rsidP="00D56005">
            <w:pPr>
              <w:pStyle w:val="Compact"/>
              <w:spacing w:line="360" w:lineRule="auto"/>
              <w:jc w:val="right"/>
            </w:pPr>
            <w:r>
              <w:t>12.20%</w:t>
            </w:r>
          </w:p>
        </w:tc>
      </w:tr>
      <w:tr w:rsidR="00FA75C9" w14:paraId="20572CE2" w14:textId="77777777">
        <w:tc>
          <w:tcPr>
            <w:tcW w:w="0" w:type="auto"/>
          </w:tcPr>
          <w:p w14:paraId="333B0F0C" w14:textId="77777777" w:rsidR="00FA75C9" w:rsidRDefault="00000000" w:rsidP="00D56005">
            <w:pPr>
              <w:pStyle w:val="Compact"/>
              <w:spacing w:line="360" w:lineRule="auto"/>
            </w:pPr>
            <w:r>
              <w:t>D4</w:t>
            </w:r>
          </w:p>
        </w:tc>
        <w:tc>
          <w:tcPr>
            <w:tcW w:w="0" w:type="auto"/>
          </w:tcPr>
          <w:p w14:paraId="7BBD1839" w14:textId="77777777" w:rsidR="00FA75C9" w:rsidRDefault="00000000" w:rsidP="00D56005">
            <w:pPr>
              <w:pStyle w:val="Compact"/>
              <w:spacing w:line="360" w:lineRule="auto"/>
              <w:jc w:val="right"/>
            </w:pPr>
            <w:r>
              <w:t>13.86%</w:t>
            </w:r>
          </w:p>
        </w:tc>
      </w:tr>
      <w:tr w:rsidR="00FA75C9" w14:paraId="5AD4E06D" w14:textId="77777777">
        <w:tc>
          <w:tcPr>
            <w:tcW w:w="0" w:type="auto"/>
          </w:tcPr>
          <w:p w14:paraId="4B619C6A" w14:textId="77777777" w:rsidR="00FA75C9" w:rsidRDefault="00000000" w:rsidP="00D56005">
            <w:pPr>
              <w:pStyle w:val="Compact"/>
              <w:spacing w:line="360" w:lineRule="auto"/>
            </w:pPr>
            <w:r>
              <w:lastRenderedPageBreak/>
              <w:t>D5</w:t>
            </w:r>
          </w:p>
        </w:tc>
        <w:tc>
          <w:tcPr>
            <w:tcW w:w="0" w:type="auto"/>
          </w:tcPr>
          <w:p w14:paraId="7ABA5ED4" w14:textId="77777777" w:rsidR="00FA75C9" w:rsidRDefault="00000000" w:rsidP="00D56005">
            <w:pPr>
              <w:pStyle w:val="Compact"/>
              <w:spacing w:line="360" w:lineRule="auto"/>
              <w:jc w:val="right"/>
            </w:pPr>
            <w:r>
              <w:t>13.04%</w:t>
            </w:r>
          </w:p>
        </w:tc>
      </w:tr>
      <w:tr w:rsidR="00FA75C9" w14:paraId="069AE064" w14:textId="77777777">
        <w:tc>
          <w:tcPr>
            <w:tcW w:w="0" w:type="auto"/>
          </w:tcPr>
          <w:p w14:paraId="33B2A7B7" w14:textId="77777777" w:rsidR="00FA75C9" w:rsidRDefault="00000000" w:rsidP="00D56005">
            <w:pPr>
              <w:pStyle w:val="Compact"/>
              <w:spacing w:line="360" w:lineRule="auto"/>
            </w:pPr>
            <w:r>
              <w:t>D6</w:t>
            </w:r>
          </w:p>
        </w:tc>
        <w:tc>
          <w:tcPr>
            <w:tcW w:w="0" w:type="auto"/>
          </w:tcPr>
          <w:p w14:paraId="67D8E375" w14:textId="77777777" w:rsidR="00FA75C9" w:rsidRDefault="00000000" w:rsidP="00D56005">
            <w:pPr>
              <w:pStyle w:val="Compact"/>
              <w:spacing w:line="360" w:lineRule="auto"/>
              <w:jc w:val="right"/>
            </w:pPr>
            <w:r>
              <w:t>13.27%</w:t>
            </w:r>
          </w:p>
        </w:tc>
      </w:tr>
      <w:tr w:rsidR="00FA75C9" w14:paraId="6A8DAD74" w14:textId="77777777">
        <w:tc>
          <w:tcPr>
            <w:tcW w:w="0" w:type="auto"/>
          </w:tcPr>
          <w:p w14:paraId="7E9F0A7B" w14:textId="77777777" w:rsidR="00FA75C9" w:rsidRDefault="00000000" w:rsidP="00D56005">
            <w:pPr>
              <w:pStyle w:val="Compact"/>
              <w:spacing w:line="360" w:lineRule="auto"/>
            </w:pPr>
            <w:r>
              <w:t>D7</w:t>
            </w:r>
          </w:p>
        </w:tc>
        <w:tc>
          <w:tcPr>
            <w:tcW w:w="0" w:type="auto"/>
          </w:tcPr>
          <w:p w14:paraId="36620CB1" w14:textId="77777777" w:rsidR="00FA75C9" w:rsidRDefault="00000000" w:rsidP="00D56005">
            <w:pPr>
              <w:pStyle w:val="Compact"/>
              <w:spacing w:line="360" w:lineRule="auto"/>
              <w:jc w:val="right"/>
            </w:pPr>
            <w:r>
              <w:t>13.71%</w:t>
            </w:r>
          </w:p>
        </w:tc>
      </w:tr>
      <w:tr w:rsidR="00FA75C9" w14:paraId="612CA08F" w14:textId="77777777">
        <w:tc>
          <w:tcPr>
            <w:tcW w:w="0" w:type="auto"/>
          </w:tcPr>
          <w:p w14:paraId="58441C19" w14:textId="77777777" w:rsidR="00FA75C9" w:rsidRDefault="00000000" w:rsidP="00D56005">
            <w:pPr>
              <w:pStyle w:val="Compact"/>
              <w:spacing w:line="360" w:lineRule="auto"/>
            </w:pPr>
            <w:r>
              <w:t>D8</w:t>
            </w:r>
          </w:p>
        </w:tc>
        <w:tc>
          <w:tcPr>
            <w:tcW w:w="0" w:type="auto"/>
          </w:tcPr>
          <w:p w14:paraId="47F6C692" w14:textId="77777777" w:rsidR="00FA75C9" w:rsidRDefault="00000000" w:rsidP="00D56005">
            <w:pPr>
              <w:pStyle w:val="Compact"/>
              <w:spacing w:line="360" w:lineRule="auto"/>
              <w:jc w:val="right"/>
            </w:pPr>
            <w:r>
              <w:t>14.12%</w:t>
            </w:r>
          </w:p>
        </w:tc>
      </w:tr>
      <w:tr w:rsidR="00FA75C9" w14:paraId="6F58897C" w14:textId="77777777">
        <w:tc>
          <w:tcPr>
            <w:tcW w:w="0" w:type="auto"/>
          </w:tcPr>
          <w:p w14:paraId="08187FC5" w14:textId="77777777" w:rsidR="00FA75C9" w:rsidRDefault="00000000" w:rsidP="00D56005">
            <w:pPr>
              <w:pStyle w:val="Compact"/>
              <w:spacing w:line="360" w:lineRule="auto"/>
            </w:pPr>
            <w:r>
              <w:t>D9</w:t>
            </w:r>
          </w:p>
        </w:tc>
        <w:tc>
          <w:tcPr>
            <w:tcW w:w="0" w:type="auto"/>
          </w:tcPr>
          <w:p w14:paraId="2EEA58AC" w14:textId="77777777" w:rsidR="00FA75C9" w:rsidRDefault="00000000" w:rsidP="00D56005">
            <w:pPr>
              <w:pStyle w:val="Compact"/>
              <w:spacing w:line="360" w:lineRule="auto"/>
              <w:jc w:val="right"/>
            </w:pPr>
            <w:r>
              <w:t>13.64%</w:t>
            </w:r>
          </w:p>
        </w:tc>
      </w:tr>
      <w:tr w:rsidR="00FA75C9" w14:paraId="1D4C0513" w14:textId="77777777">
        <w:tc>
          <w:tcPr>
            <w:tcW w:w="0" w:type="auto"/>
          </w:tcPr>
          <w:p w14:paraId="329F536F" w14:textId="77777777" w:rsidR="00FA75C9" w:rsidRDefault="00000000" w:rsidP="00D56005">
            <w:pPr>
              <w:pStyle w:val="Compact"/>
              <w:spacing w:line="360" w:lineRule="auto"/>
            </w:pPr>
            <w:r>
              <w:t>D10 (highest IV spread)</w:t>
            </w:r>
          </w:p>
        </w:tc>
        <w:tc>
          <w:tcPr>
            <w:tcW w:w="0" w:type="auto"/>
          </w:tcPr>
          <w:p w14:paraId="255086B1" w14:textId="77777777" w:rsidR="00FA75C9" w:rsidRDefault="00000000" w:rsidP="00D56005">
            <w:pPr>
              <w:pStyle w:val="Compact"/>
              <w:spacing w:line="360" w:lineRule="auto"/>
              <w:jc w:val="right"/>
            </w:pPr>
            <w:r>
              <w:t>9.28%</w:t>
            </w:r>
          </w:p>
        </w:tc>
      </w:tr>
      <w:tr w:rsidR="00FA75C9" w14:paraId="1C4FB9C5" w14:textId="77777777">
        <w:tc>
          <w:tcPr>
            <w:tcW w:w="0" w:type="auto"/>
          </w:tcPr>
          <w:p w14:paraId="086B7C67" w14:textId="77777777" w:rsidR="00FA75C9" w:rsidRDefault="00000000" w:rsidP="00D56005">
            <w:pPr>
              <w:pStyle w:val="Compact"/>
              <w:spacing w:line="360" w:lineRule="auto"/>
            </w:pPr>
            <w:r>
              <w:t>Universe</w:t>
            </w:r>
          </w:p>
        </w:tc>
        <w:tc>
          <w:tcPr>
            <w:tcW w:w="0" w:type="auto"/>
          </w:tcPr>
          <w:p w14:paraId="1E902E5F" w14:textId="77777777" w:rsidR="00FA75C9" w:rsidRDefault="00000000" w:rsidP="00D56005">
            <w:pPr>
              <w:pStyle w:val="Compact"/>
              <w:spacing w:line="360" w:lineRule="auto"/>
              <w:jc w:val="right"/>
            </w:pPr>
            <w:r>
              <w:t>11.53%</w:t>
            </w:r>
          </w:p>
        </w:tc>
      </w:tr>
      <w:tr w:rsidR="00FA75C9" w14:paraId="2FA2D713" w14:textId="77777777">
        <w:tc>
          <w:tcPr>
            <w:tcW w:w="0" w:type="auto"/>
          </w:tcPr>
          <w:p w14:paraId="39968A71" w14:textId="77777777" w:rsidR="00FA75C9" w:rsidRDefault="00000000" w:rsidP="00D56005">
            <w:pPr>
              <w:pStyle w:val="Compact"/>
              <w:spacing w:line="360" w:lineRule="auto"/>
            </w:pPr>
            <w:r>
              <w:t>Universe − Bottom</w:t>
            </w:r>
          </w:p>
        </w:tc>
        <w:tc>
          <w:tcPr>
            <w:tcW w:w="0" w:type="auto"/>
          </w:tcPr>
          <w:p w14:paraId="5F49DCA7" w14:textId="77777777" w:rsidR="00FA75C9" w:rsidRDefault="00000000" w:rsidP="00D56005">
            <w:pPr>
              <w:pStyle w:val="Compact"/>
              <w:spacing w:line="360" w:lineRule="auto"/>
              <w:jc w:val="right"/>
            </w:pPr>
            <w:r>
              <w:t>7.57%</w:t>
            </w:r>
          </w:p>
        </w:tc>
      </w:tr>
      <w:tr w:rsidR="00FA75C9" w14:paraId="6C4EF6BA" w14:textId="77777777">
        <w:tc>
          <w:tcPr>
            <w:tcW w:w="0" w:type="auto"/>
          </w:tcPr>
          <w:p w14:paraId="1521B6AB" w14:textId="77777777" w:rsidR="00FA75C9" w:rsidRDefault="00000000" w:rsidP="00D56005">
            <w:pPr>
              <w:pStyle w:val="Compact"/>
              <w:spacing w:line="360" w:lineRule="auto"/>
            </w:pPr>
            <w:r>
              <w:t>Top − Universe</w:t>
            </w:r>
          </w:p>
        </w:tc>
        <w:tc>
          <w:tcPr>
            <w:tcW w:w="0" w:type="auto"/>
          </w:tcPr>
          <w:p w14:paraId="49696B87" w14:textId="77777777" w:rsidR="00FA75C9" w:rsidRDefault="00000000" w:rsidP="00D56005">
            <w:pPr>
              <w:pStyle w:val="Compact"/>
              <w:spacing w:line="360" w:lineRule="auto"/>
              <w:jc w:val="right"/>
            </w:pPr>
            <w:r>
              <w:t>−2.25%</w:t>
            </w:r>
          </w:p>
        </w:tc>
      </w:tr>
      <w:tr w:rsidR="00FA75C9" w14:paraId="3ADA76B8" w14:textId="77777777">
        <w:tc>
          <w:tcPr>
            <w:tcW w:w="0" w:type="auto"/>
          </w:tcPr>
          <w:p w14:paraId="2C5C31DC" w14:textId="77777777" w:rsidR="00FA75C9" w:rsidRDefault="00000000" w:rsidP="00D56005">
            <w:pPr>
              <w:pStyle w:val="Compact"/>
              <w:spacing w:line="360" w:lineRule="auto"/>
            </w:pPr>
            <w:r>
              <w:t>Top − Bottom</w:t>
            </w:r>
          </w:p>
        </w:tc>
        <w:tc>
          <w:tcPr>
            <w:tcW w:w="0" w:type="auto"/>
          </w:tcPr>
          <w:p w14:paraId="67F19B2A" w14:textId="77777777" w:rsidR="00FA75C9" w:rsidRDefault="00000000" w:rsidP="00D56005">
            <w:pPr>
              <w:pStyle w:val="Compact"/>
              <w:spacing w:line="360" w:lineRule="auto"/>
              <w:jc w:val="right"/>
            </w:pPr>
            <w:r>
              <w:t>5.32%</w:t>
            </w:r>
          </w:p>
        </w:tc>
      </w:tr>
    </w:tbl>
    <w:p w14:paraId="6A09503A" w14:textId="77777777" w:rsidR="00FA75C9" w:rsidRDefault="00000000" w:rsidP="00D56005">
      <w:pPr>
        <w:pStyle w:val="BodyText"/>
        <w:spacing w:line="360" w:lineRule="auto"/>
      </w:pPr>
      <w:r>
        <w:rPr>
          <w:b/>
        </w:rPr>
        <w:t>Figure 2. IV-Spread Decile Returns.</w:t>
      </w:r>
    </w:p>
    <w:p w14:paraId="0257A3AE" w14:textId="77777777" w:rsidR="00FA75C9" w:rsidRDefault="00000000" w:rsidP="00D56005">
      <w:pPr>
        <w:pStyle w:val="CaptionedFigure"/>
        <w:spacing w:line="360" w:lineRule="auto"/>
      </w:pPr>
      <w:r>
        <w:rPr>
          <w:noProof/>
        </w:rPr>
        <w:drawing>
          <wp:inline distT="0" distB="0" distL="0" distR="0" wp14:anchorId="4D0365D3" wp14:editId="16662273">
            <wp:extent cx="5334000" cy="2667000"/>
            <wp:effectExtent l="0" t="0" r="0" b="0"/>
            <wp:docPr id="1193586392" name="Picture" descr="Figure 2"/>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2_decile_returns.png"/>
                    <pic:cNvPicPr>
                      <a:picLocks noChangeAspect="1" noChangeArrowheads="1"/>
                    </pic:cNvPicPr>
                  </pic:nvPicPr>
                  <pic:blipFill>
                    <a:blip r:embed="rId8"/>
                    <a:stretch>
                      <a:fillRect/>
                    </a:stretch>
                  </pic:blipFill>
                  <pic:spPr bwMode="auto">
                    <a:xfrm>
                      <a:off x="0" y="0"/>
                      <a:ext cx="5334000" cy="2667000"/>
                    </a:xfrm>
                    <a:prstGeom prst="rect">
                      <a:avLst/>
                    </a:prstGeom>
                    <a:noFill/>
                    <a:ln w="9525">
                      <a:noFill/>
                      <a:headEnd/>
                      <a:tailEnd/>
                    </a:ln>
                  </pic:spPr>
                </pic:pic>
              </a:graphicData>
            </a:graphic>
          </wp:inline>
        </w:drawing>
      </w:r>
    </w:p>
    <w:p w14:paraId="772EFF2F" w14:textId="77777777" w:rsidR="00FA75C9" w:rsidRDefault="00000000" w:rsidP="00D56005">
      <w:pPr>
        <w:pStyle w:val="ImageCaption"/>
        <w:spacing w:line="360" w:lineRule="auto"/>
      </w:pPr>
      <w:r>
        <w:t>Figure 2</w:t>
      </w:r>
    </w:p>
    <w:p w14:paraId="61009806" w14:textId="77777777" w:rsidR="00FA75C9" w:rsidRDefault="00000000" w:rsidP="00D56005">
      <w:pPr>
        <w:pStyle w:val="BodyText"/>
        <w:spacing w:line="360" w:lineRule="auto"/>
      </w:pPr>
      <w:r>
        <w:rPr>
          <w:i/>
        </w:rPr>
        <w:t>Figure 2. Annualized equal-weighted returns by IV-spread decile. D1 is the clear negative outlier; the interior of the distribution is roughly flat and D10 also sits modestly below the universe.</w:t>
      </w:r>
    </w:p>
    <w:p w14:paraId="6ED508CD" w14:textId="77777777" w:rsidR="00FA75C9" w:rsidRDefault="00000000" w:rsidP="00D56005">
      <w:pPr>
        <w:pStyle w:val="BodyText"/>
        <w:spacing w:line="360" w:lineRule="auto"/>
      </w:pPr>
      <w:r>
        <w:rPr>
          <w:i/>
        </w:rPr>
        <w:t xml:space="preserve">Source: </w:t>
      </w:r>
      <w:r>
        <w:rPr>
          <w:rStyle w:val="VerbatimChar"/>
          <w:i/>
        </w:rPr>
        <w:t>outputs/sample_2010_2023/final_figures/02_decile_returns.png</w:t>
      </w:r>
      <w:r>
        <w:rPr>
          <w:i/>
        </w:rPr>
        <w:t>.</w:t>
      </w:r>
    </w:p>
    <w:p w14:paraId="7DBF8C84" w14:textId="77777777" w:rsidR="00FA75C9" w:rsidRDefault="00000000" w:rsidP="00D56005">
      <w:pPr>
        <w:pStyle w:val="BodyText"/>
        <w:spacing w:line="360" w:lineRule="auto"/>
      </w:pPr>
      <w:r>
        <w:rPr>
          <w:b/>
        </w:rPr>
        <w:lastRenderedPageBreak/>
        <w:t>Figure 3. Leg Decomposition.</w:t>
      </w:r>
    </w:p>
    <w:p w14:paraId="387EA14F" w14:textId="77777777" w:rsidR="00FA75C9" w:rsidRDefault="00000000" w:rsidP="00D56005">
      <w:pPr>
        <w:pStyle w:val="CaptionedFigure"/>
        <w:spacing w:line="360" w:lineRule="auto"/>
      </w:pPr>
      <w:r>
        <w:rPr>
          <w:noProof/>
        </w:rPr>
        <w:drawing>
          <wp:inline distT="0" distB="0" distL="0" distR="0" wp14:anchorId="6744649A" wp14:editId="45D44515">
            <wp:extent cx="5334000" cy="2963333"/>
            <wp:effectExtent l="0" t="0" r="0" b="0"/>
            <wp:docPr id="1685086297" name="Picture" descr="Figure 3"/>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3_leg_decomposition.png"/>
                    <pic:cNvPicPr>
                      <a:picLocks noChangeAspect="1" noChangeArrowheads="1"/>
                    </pic:cNvPicPr>
                  </pic:nvPicPr>
                  <pic:blipFill>
                    <a:blip r:embed="rId9"/>
                    <a:stretch>
                      <a:fillRect/>
                    </a:stretch>
                  </pic:blipFill>
                  <pic:spPr bwMode="auto">
                    <a:xfrm>
                      <a:off x="0" y="0"/>
                      <a:ext cx="5334000" cy="2963333"/>
                    </a:xfrm>
                    <a:prstGeom prst="rect">
                      <a:avLst/>
                    </a:prstGeom>
                    <a:noFill/>
                    <a:ln w="9525">
                      <a:noFill/>
                      <a:headEnd/>
                      <a:tailEnd/>
                    </a:ln>
                  </pic:spPr>
                </pic:pic>
              </a:graphicData>
            </a:graphic>
          </wp:inline>
        </w:drawing>
      </w:r>
    </w:p>
    <w:p w14:paraId="6CFF2931" w14:textId="77777777" w:rsidR="00FA75C9" w:rsidRDefault="00000000" w:rsidP="00D56005">
      <w:pPr>
        <w:pStyle w:val="ImageCaption"/>
        <w:spacing w:line="360" w:lineRule="auto"/>
      </w:pPr>
      <w:r>
        <w:t>Figure 3</w:t>
      </w:r>
    </w:p>
    <w:p w14:paraId="13DC204F" w14:textId="77777777" w:rsidR="00FA75C9" w:rsidRDefault="00000000" w:rsidP="00D56005">
      <w:pPr>
        <w:pStyle w:val="BodyText"/>
        <w:spacing w:line="360" w:lineRule="auto"/>
      </w:pPr>
      <w:r>
        <w:rPr>
          <w:i/>
        </w:rPr>
        <w:t>Figure 3. Annualized returns for the universe, the bottom IV-spread decile, the top decile, and the relative-return legs. The picture is dominated by the bottom decile’s underperformance, with no symmetric top-tail outperformance.</w:t>
      </w:r>
    </w:p>
    <w:p w14:paraId="7ED03290" w14:textId="77777777" w:rsidR="00FA75C9" w:rsidRDefault="00000000" w:rsidP="00D56005">
      <w:pPr>
        <w:pStyle w:val="BodyText"/>
        <w:spacing w:line="360" w:lineRule="auto"/>
      </w:pPr>
      <w:r>
        <w:rPr>
          <w:i/>
        </w:rPr>
        <w:t xml:space="preserve">Source: </w:t>
      </w:r>
      <w:r>
        <w:rPr>
          <w:rStyle w:val="VerbatimChar"/>
          <w:i/>
        </w:rPr>
        <w:t>outputs/sample_2010_2023/final_figures/03_leg_decomposition.png</w:t>
      </w:r>
      <w:r>
        <w:rPr>
          <w:i/>
        </w:rPr>
        <w:t>.</w:t>
      </w:r>
    </w:p>
    <w:p w14:paraId="1430C38A" w14:textId="77777777" w:rsidR="00FA75C9" w:rsidRDefault="00000000" w:rsidP="00D56005">
      <w:pPr>
        <w:pStyle w:val="Heading2"/>
        <w:spacing w:line="360" w:lineRule="auto"/>
      </w:pPr>
      <w:bookmarkStart w:id="14" w:name="robustness"/>
      <w:bookmarkStart w:id="15" w:name="_Toc228955548"/>
      <w:r>
        <w:t>7. Robustness</w:t>
      </w:r>
      <w:bookmarkEnd w:id="14"/>
      <w:bookmarkEnd w:id="15"/>
    </w:p>
    <w:p w14:paraId="2DCA36F6" w14:textId="77777777" w:rsidR="00FA75C9" w:rsidRDefault="00000000" w:rsidP="00D56005">
      <w:pPr>
        <w:pStyle w:val="Heading3"/>
        <w:spacing w:line="360" w:lineRule="auto"/>
      </w:pPr>
      <w:bookmarkStart w:id="16" w:name="factor-controls"/>
      <w:r>
        <w:t>7.1 Factor controls</w:t>
      </w:r>
      <w:bookmarkEnd w:id="16"/>
    </w:p>
    <w:p w14:paraId="41AB4D30" w14:textId="77777777" w:rsidR="00FA75C9" w:rsidRDefault="00000000" w:rsidP="00D56005">
      <w:pPr>
        <w:pStyle w:val="FirstParagraph"/>
        <w:spacing w:line="360" w:lineRule="auto"/>
      </w:pPr>
      <w:r>
        <w:t xml:space="preserve">Fama-French five-factor plus momentum regressions confirm that the bottom-tail underperformance is not absorbed by standard factor exposures. For the all-stock equal-weighted U-B decile portfolio, the FF5+MOM alpha is 6.40% per year with t = 5.07. The strategy loads negatively on SMB (β = −0.28, t = −4.17), positively on RMW (β = 0.19, t = 2.14), and positively on momentum (β = 0.15, t = 3.89). The market beta is essentially zero (β = 0.01, t = 0.31). The same qualitative picture holds in the $100M+ specification, where the alpha is 6.29% (t = 5.85) with a negative SMB loading (β = −0.25, t = −6.41) and a positive momentum loading (β = 0.10, t = 3.65). The negative SMB loading is consistent </w:t>
      </w:r>
      <w:r>
        <w:lastRenderedPageBreak/>
        <w:t>with the bottom IV-spread decile being smaller on average than the universe (Section 8) and with the U-B leg therefore being long large names and short small names on net. The full factor anatomy is shown in Appendix Figure A2.</w:t>
      </w:r>
    </w:p>
    <w:p w14:paraId="63BD11C3" w14:textId="77777777" w:rsidR="00FA75C9" w:rsidRDefault="00000000" w:rsidP="00D56005">
      <w:pPr>
        <w:pStyle w:val="BodyText"/>
        <w:spacing w:line="360" w:lineRule="auto"/>
      </w:pPr>
      <w:r>
        <w:rPr>
          <w:b/>
        </w:rPr>
        <w:t>Table 3. FF5+MOM factor anatomy of the IV-spread bottom-decile U-B strategies.</w:t>
      </w:r>
      <w:r>
        <w:t xml:space="preserve"> Alphas are annualized; t-statistics are HAC.</w:t>
      </w:r>
    </w:p>
    <w:tbl>
      <w:tblPr>
        <w:tblStyle w:val="Table"/>
        <w:tblW w:w="5000" w:type="pct"/>
        <w:tblLook w:val="07E0" w:firstRow="1" w:lastRow="1" w:firstColumn="1" w:lastColumn="1" w:noHBand="1" w:noVBand="1"/>
      </w:tblPr>
      <w:tblGrid>
        <w:gridCol w:w="1233"/>
        <w:gridCol w:w="625"/>
        <w:gridCol w:w="498"/>
        <w:gridCol w:w="791"/>
        <w:gridCol w:w="498"/>
        <w:gridCol w:w="655"/>
        <w:gridCol w:w="576"/>
        <w:gridCol w:w="632"/>
        <w:gridCol w:w="498"/>
        <w:gridCol w:w="677"/>
        <w:gridCol w:w="498"/>
        <w:gridCol w:w="655"/>
        <w:gridCol w:w="576"/>
        <w:gridCol w:w="666"/>
        <w:gridCol w:w="498"/>
      </w:tblGrid>
      <w:tr w:rsidR="00FA75C9" w:rsidRPr="00D56005" w14:paraId="32124808" w14:textId="77777777">
        <w:tc>
          <w:tcPr>
            <w:tcW w:w="0" w:type="auto"/>
            <w:tcBorders>
              <w:bottom w:val="single" w:sz="0" w:space="0" w:color="auto"/>
            </w:tcBorders>
            <w:vAlign w:val="bottom"/>
          </w:tcPr>
          <w:p w14:paraId="675F522F" w14:textId="77777777" w:rsidR="00FA75C9" w:rsidRPr="00D56005" w:rsidRDefault="00000000" w:rsidP="00D56005">
            <w:pPr>
              <w:pStyle w:val="Compact"/>
              <w:spacing w:line="360" w:lineRule="auto"/>
              <w:rPr>
                <w:sz w:val="13"/>
                <w:szCs w:val="13"/>
              </w:rPr>
            </w:pPr>
            <w:r w:rsidRPr="00D56005">
              <w:rPr>
                <w:sz w:val="13"/>
                <w:szCs w:val="13"/>
              </w:rPr>
              <w:t>Portfolio</w:t>
            </w:r>
          </w:p>
        </w:tc>
        <w:tc>
          <w:tcPr>
            <w:tcW w:w="0" w:type="auto"/>
            <w:tcBorders>
              <w:bottom w:val="single" w:sz="0" w:space="0" w:color="auto"/>
            </w:tcBorders>
            <w:vAlign w:val="bottom"/>
          </w:tcPr>
          <w:p w14:paraId="4EE0C7F0" w14:textId="77777777" w:rsidR="00FA75C9" w:rsidRPr="00D56005" w:rsidRDefault="00000000" w:rsidP="00D56005">
            <w:pPr>
              <w:pStyle w:val="Compact"/>
              <w:spacing w:line="360" w:lineRule="auto"/>
              <w:jc w:val="right"/>
              <w:rPr>
                <w:sz w:val="13"/>
                <w:szCs w:val="13"/>
              </w:rPr>
            </w:pPr>
            <w:r w:rsidRPr="00D56005">
              <w:rPr>
                <w:sz w:val="13"/>
                <w:szCs w:val="13"/>
              </w:rPr>
              <w:t>Alpha</w:t>
            </w:r>
          </w:p>
        </w:tc>
        <w:tc>
          <w:tcPr>
            <w:tcW w:w="0" w:type="auto"/>
            <w:tcBorders>
              <w:bottom w:val="single" w:sz="0" w:space="0" w:color="auto"/>
            </w:tcBorders>
            <w:vAlign w:val="bottom"/>
          </w:tcPr>
          <w:p w14:paraId="20632D7D" w14:textId="10594709" w:rsidR="00FA75C9" w:rsidRPr="00D56005" w:rsidRDefault="00000000" w:rsidP="00D56005">
            <w:pPr>
              <w:pStyle w:val="Compact"/>
              <w:spacing w:line="360" w:lineRule="auto"/>
              <w:jc w:val="right"/>
              <w:rPr>
                <w:sz w:val="13"/>
                <w:szCs w:val="13"/>
              </w:rPr>
            </w:pPr>
            <w:r w:rsidRPr="00D56005">
              <w:rPr>
                <w:sz w:val="13"/>
                <w:szCs w:val="13"/>
              </w:rPr>
              <w:t xml:space="preserve"> t</w:t>
            </w:r>
          </w:p>
        </w:tc>
        <w:tc>
          <w:tcPr>
            <w:tcW w:w="0" w:type="auto"/>
            <w:tcBorders>
              <w:bottom w:val="single" w:sz="0" w:space="0" w:color="auto"/>
            </w:tcBorders>
            <w:vAlign w:val="bottom"/>
          </w:tcPr>
          <w:p w14:paraId="17D4CC16" w14:textId="77777777" w:rsidR="00FA75C9" w:rsidRPr="00D56005" w:rsidRDefault="00000000" w:rsidP="00D56005">
            <w:pPr>
              <w:pStyle w:val="Compact"/>
              <w:spacing w:line="360" w:lineRule="auto"/>
              <w:jc w:val="right"/>
              <w:rPr>
                <w:sz w:val="13"/>
                <w:szCs w:val="13"/>
              </w:rPr>
            </w:pPr>
            <w:r w:rsidRPr="00D56005">
              <w:rPr>
                <w:sz w:val="13"/>
                <w:szCs w:val="13"/>
              </w:rPr>
              <w:t>β Mkt-RF</w:t>
            </w:r>
          </w:p>
        </w:tc>
        <w:tc>
          <w:tcPr>
            <w:tcW w:w="0" w:type="auto"/>
            <w:tcBorders>
              <w:bottom w:val="single" w:sz="0" w:space="0" w:color="auto"/>
            </w:tcBorders>
            <w:vAlign w:val="bottom"/>
          </w:tcPr>
          <w:p w14:paraId="59A619E5" w14:textId="77777777" w:rsidR="00FA75C9" w:rsidRPr="00D56005" w:rsidRDefault="00000000" w:rsidP="00D56005">
            <w:pPr>
              <w:pStyle w:val="Compact"/>
              <w:spacing w:line="360" w:lineRule="auto"/>
              <w:jc w:val="right"/>
              <w:rPr>
                <w:sz w:val="13"/>
                <w:szCs w:val="13"/>
              </w:rPr>
            </w:pPr>
            <w:r w:rsidRPr="00D56005">
              <w:rPr>
                <w:sz w:val="13"/>
                <w:szCs w:val="13"/>
              </w:rPr>
              <w:t>t</w:t>
            </w:r>
          </w:p>
        </w:tc>
        <w:tc>
          <w:tcPr>
            <w:tcW w:w="0" w:type="auto"/>
            <w:tcBorders>
              <w:bottom w:val="single" w:sz="0" w:space="0" w:color="auto"/>
            </w:tcBorders>
            <w:vAlign w:val="bottom"/>
          </w:tcPr>
          <w:p w14:paraId="543C3EFB" w14:textId="77777777" w:rsidR="00FA75C9" w:rsidRPr="00D56005" w:rsidRDefault="00000000" w:rsidP="00D56005">
            <w:pPr>
              <w:pStyle w:val="Compact"/>
              <w:spacing w:line="360" w:lineRule="auto"/>
              <w:jc w:val="right"/>
              <w:rPr>
                <w:sz w:val="13"/>
                <w:szCs w:val="13"/>
              </w:rPr>
            </w:pPr>
            <w:r w:rsidRPr="00D56005">
              <w:rPr>
                <w:sz w:val="13"/>
                <w:szCs w:val="13"/>
              </w:rPr>
              <w:t>β SMB</w:t>
            </w:r>
          </w:p>
        </w:tc>
        <w:tc>
          <w:tcPr>
            <w:tcW w:w="0" w:type="auto"/>
            <w:tcBorders>
              <w:bottom w:val="single" w:sz="0" w:space="0" w:color="auto"/>
            </w:tcBorders>
            <w:vAlign w:val="bottom"/>
          </w:tcPr>
          <w:p w14:paraId="26490664" w14:textId="77777777" w:rsidR="00FA75C9" w:rsidRPr="00D56005" w:rsidRDefault="00000000" w:rsidP="00D56005">
            <w:pPr>
              <w:pStyle w:val="Compact"/>
              <w:spacing w:line="360" w:lineRule="auto"/>
              <w:jc w:val="right"/>
              <w:rPr>
                <w:sz w:val="13"/>
                <w:szCs w:val="13"/>
              </w:rPr>
            </w:pPr>
            <w:r w:rsidRPr="00D56005">
              <w:rPr>
                <w:sz w:val="13"/>
                <w:szCs w:val="13"/>
              </w:rPr>
              <w:t>t</w:t>
            </w:r>
          </w:p>
        </w:tc>
        <w:tc>
          <w:tcPr>
            <w:tcW w:w="0" w:type="auto"/>
            <w:tcBorders>
              <w:bottom w:val="single" w:sz="0" w:space="0" w:color="auto"/>
            </w:tcBorders>
            <w:vAlign w:val="bottom"/>
          </w:tcPr>
          <w:p w14:paraId="5A86F0AF" w14:textId="77777777" w:rsidR="00FA75C9" w:rsidRPr="00D56005" w:rsidRDefault="00000000" w:rsidP="00D56005">
            <w:pPr>
              <w:pStyle w:val="Compact"/>
              <w:spacing w:line="360" w:lineRule="auto"/>
              <w:jc w:val="right"/>
              <w:rPr>
                <w:sz w:val="13"/>
                <w:szCs w:val="13"/>
              </w:rPr>
            </w:pPr>
            <w:r w:rsidRPr="00D56005">
              <w:rPr>
                <w:sz w:val="13"/>
                <w:szCs w:val="13"/>
              </w:rPr>
              <w:t>β HML</w:t>
            </w:r>
          </w:p>
        </w:tc>
        <w:tc>
          <w:tcPr>
            <w:tcW w:w="0" w:type="auto"/>
            <w:tcBorders>
              <w:bottom w:val="single" w:sz="0" w:space="0" w:color="auto"/>
            </w:tcBorders>
            <w:vAlign w:val="bottom"/>
          </w:tcPr>
          <w:p w14:paraId="05CC58EC" w14:textId="77777777" w:rsidR="00FA75C9" w:rsidRPr="00D56005" w:rsidRDefault="00000000" w:rsidP="00D56005">
            <w:pPr>
              <w:pStyle w:val="Compact"/>
              <w:spacing w:line="360" w:lineRule="auto"/>
              <w:jc w:val="right"/>
              <w:rPr>
                <w:sz w:val="13"/>
                <w:szCs w:val="13"/>
              </w:rPr>
            </w:pPr>
            <w:r w:rsidRPr="00D56005">
              <w:rPr>
                <w:sz w:val="13"/>
                <w:szCs w:val="13"/>
              </w:rPr>
              <w:t>t</w:t>
            </w:r>
          </w:p>
        </w:tc>
        <w:tc>
          <w:tcPr>
            <w:tcW w:w="0" w:type="auto"/>
            <w:tcBorders>
              <w:bottom w:val="single" w:sz="0" w:space="0" w:color="auto"/>
            </w:tcBorders>
            <w:vAlign w:val="bottom"/>
          </w:tcPr>
          <w:p w14:paraId="0B7C0611" w14:textId="77777777" w:rsidR="00FA75C9" w:rsidRPr="00D56005" w:rsidRDefault="00000000" w:rsidP="00D56005">
            <w:pPr>
              <w:pStyle w:val="Compact"/>
              <w:spacing w:line="360" w:lineRule="auto"/>
              <w:jc w:val="right"/>
              <w:rPr>
                <w:sz w:val="13"/>
                <w:szCs w:val="13"/>
              </w:rPr>
            </w:pPr>
            <w:r w:rsidRPr="00D56005">
              <w:rPr>
                <w:sz w:val="13"/>
                <w:szCs w:val="13"/>
              </w:rPr>
              <w:t>β RMW</w:t>
            </w:r>
          </w:p>
        </w:tc>
        <w:tc>
          <w:tcPr>
            <w:tcW w:w="0" w:type="auto"/>
            <w:tcBorders>
              <w:bottom w:val="single" w:sz="0" w:space="0" w:color="auto"/>
            </w:tcBorders>
            <w:vAlign w:val="bottom"/>
          </w:tcPr>
          <w:p w14:paraId="300173B9" w14:textId="77777777" w:rsidR="00FA75C9" w:rsidRPr="00D56005" w:rsidRDefault="00000000" w:rsidP="00D56005">
            <w:pPr>
              <w:pStyle w:val="Compact"/>
              <w:spacing w:line="360" w:lineRule="auto"/>
              <w:jc w:val="right"/>
              <w:rPr>
                <w:sz w:val="13"/>
                <w:szCs w:val="13"/>
              </w:rPr>
            </w:pPr>
            <w:r w:rsidRPr="00D56005">
              <w:rPr>
                <w:sz w:val="13"/>
                <w:szCs w:val="13"/>
              </w:rPr>
              <w:t>t</w:t>
            </w:r>
          </w:p>
        </w:tc>
        <w:tc>
          <w:tcPr>
            <w:tcW w:w="0" w:type="auto"/>
            <w:tcBorders>
              <w:bottom w:val="single" w:sz="0" w:space="0" w:color="auto"/>
            </w:tcBorders>
            <w:vAlign w:val="bottom"/>
          </w:tcPr>
          <w:p w14:paraId="42C146DD" w14:textId="77777777" w:rsidR="00FA75C9" w:rsidRPr="00D56005" w:rsidRDefault="00000000" w:rsidP="00D56005">
            <w:pPr>
              <w:pStyle w:val="Compact"/>
              <w:spacing w:line="360" w:lineRule="auto"/>
              <w:jc w:val="right"/>
              <w:rPr>
                <w:sz w:val="13"/>
                <w:szCs w:val="13"/>
              </w:rPr>
            </w:pPr>
            <w:r w:rsidRPr="00D56005">
              <w:rPr>
                <w:sz w:val="13"/>
                <w:szCs w:val="13"/>
              </w:rPr>
              <w:t>β CMA</w:t>
            </w:r>
          </w:p>
        </w:tc>
        <w:tc>
          <w:tcPr>
            <w:tcW w:w="0" w:type="auto"/>
            <w:tcBorders>
              <w:bottom w:val="single" w:sz="0" w:space="0" w:color="auto"/>
            </w:tcBorders>
            <w:vAlign w:val="bottom"/>
          </w:tcPr>
          <w:p w14:paraId="0BC87124" w14:textId="77777777" w:rsidR="00FA75C9" w:rsidRPr="00D56005" w:rsidRDefault="00000000" w:rsidP="00D56005">
            <w:pPr>
              <w:pStyle w:val="Compact"/>
              <w:spacing w:line="360" w:lineRule="auto"/>
              <w:jc w:val="right"/>
              <w:rPr>
                <w:sz w:val="13"/>
                <w:szCs w:val="13"/>
              </w:rPr>
            </w:pPr>
            <w:r w:rsidRPr="00D56005">
              <w:rPr>
                <w:sz w:val="13"/>
                <w:szCs w:val="13"/>
              </w:rPr>
              <w:t>t</w:t>
            </w:r>
          </w:p>
        </w:tc>
        <w:tc>
          <w:tcPr>
            <w:tcW w:w="0" w:type="auto"/>
            <w:tcBorders>
              <w:bottom w:val="single" w:sz="0" w:space="0" w:color="auto"/>
            </w:tcBorders>
            <w:vAlign w:val="bottom"/>
          </w:tcPr>
          <w:p w14:paraId="23A9384A" w14:textId="77777777" w:rsidR="00FA75C9" w:rsidRPr="00D56005" w:rsidRDefault="00000000" w:rsidP="00D56005">
            <w:pPr>
              <w:pStyle w:val="Compact"/>
              <w:spacing w:line="360" w:lineRule="auto"/>
              <w:jc w:val="right"/>
              <w:rPr>
                <w:sz w:val="13"/>
                <w:szCs w:val="13"/>
              </w:rPr>
            </w:pPr>
            <w:r w:rsidRPr="00D56005">
              <w:rPr>
                <w:sz w:val="13"/>
                <w:szCs w:val="13"/>
              </w:rPr>
              <w:t>β MOM</w:t>
            </w:r>
          </w:p>
        </w:tc>
        <w:tc>
          <w:tcPr>
            <w:tcW w:w="0" w:type="auto"/>
            <w:tcBorders>
              <w:bottom w:val="single" w:sz="0" w:space="0" w:color="auto"/>
            </w:tcBorders>
            <w:vAlign w:val="bottom"/>
          </w:tcPr>
          <w:p w14:paraId="2DE129EE" w14:textId="77777777" w:rsidR="00FA75C9" w:rsidRPr="00D56005" w:rsidRDefault="00000000" w:rsidP="00D56005">
            <w:pPr>
              <w:pStyle w:val="Compact"/>
              <w:spacing w:line="360" w:lineRule="auto"/>
              <w:jc w:val="right"/>
              <w:rPr>
                <w:sz w:val="13"/>
                <w:szCs w:val="13"/>
              </w:rPr>
            </w:pPr>
            <w:r w:rsidRPr="00D56005">
              <w:rPr>
                <w:sz w:val="13"/>
                <w:szCs w:val="13"/>
              </w:rPr>
              <w:t>t</w:t>
            </w:r>
          </w:p>
        </w:tc>
      </w:tr>
      <w:tr w:rsidR="00FA75C9" w:rsidRPr="00D56005" w14:paraId="017AB0A9" w14:textId="77777777">
        <w:tc>
          <w:tcPr>
            <w:tcW w:w="0" w:type="auto"/>
          </w:tcPr>
          <w:p w14:paraId="02623A12" w14:textId="77777777" w:rsidR="00FA75C9" w:rsidRPr="00D56005" w:rsidRDefault="00000000" w:rsidP="00D56005">
            <w:pPr>
              <w:pStyle w:val="Compact"/>
              <w:spacing w:line="360" w:lineRule="auto"/>
              <w:rPr>
                <w:sz w:val="13"/>
                <w:szCs w:val="13"/>
              </w:rPr>
            </w:pPr>
            <w:r w:rsidRPr="00D56005">
              <w:rPr>
                <w:sz w:val="13"/>
                <w:szCs w:val="13"/>
              </w:rPr>
              <w:t>U-B EW All</w:t>
            </w:r>
          </w:p>
        </w:tc>
        <w:tc>
          <w:tcPr>
            <w:tcW w:w="0" w:type="auto"/>
          </w:tcPr>
          <w:p w14:paraId="0D5A6BE1" w14:textId="77777777" w:rsidR="00FA75C9" w:rsidRPr="00D56005" w:rsidRDefault="00000000" w:rsidP="00D56005">
            <w:pPr>
              <w:pStyle w:val="Compact"/>
              <w:spacing w:line="360" w:lineRule="auto"/>
              <w:jc w:val="right"/>
              <w:rPr>
                <w:sz w:val="13"/>
                <w:szCs w:val="13"/>
              </w:rPr>
            </w:pPr>
            <w:r w:rsidRPr="00D56005">
              <w:rPr>
                <w:sz w:val="13"/>
                <w:szCs w:val="13"/>
              </w:rPr>
              <w:t>6.40%</w:t>
            </w:r>
          </w:p>
        </w:tc>
        <w:tc>
          <w:tcPr>
            <w:tcW w:w="0" w:type="auto"/>
          </w:tcPr>
          <w:p w14:paraId="60E95814" w14:textId="77777777" w:rsidR="00FA75C9" w:rsidRPr="00D56005" w:rsidRDefault="00000000" w:rsidP="00D56005">
            <w:pPr>
              <w:pStyle w:val="Compact"/>
              <w:spacing w:line="360" w:lineRule="auto"/>
              <w:jc w:val="right"/>
              <w:rPr>
                <w:sz w:val="13"/>
                <w:szCs w:val="13"/>
              </w:rPr>
            </w:pPr>
            <w:r w:rsidRPr="00D56005">
              <w:rPr>
                <w:sz w:val="13"/>
                <w:szCs w:val="13"/>
              </w:rPr>
              <w:t>5.07</w:t>
            </w:r>
          </w:p>
        </w:tc>
        <w:tc>
          <w:tcPr>
            <w:tcW w:w="0" w:type="auto"/>
          </w:tcPr>
          <w:p w14:paraId="72E4D0BA" w14:textId="77777777" w:rsidR="00FA75C9" w:rsidRPr="00D56005" w:rsidRDefault="00000000" w:rsidP="00D56005">
            <w:pPr>
              <w:pStyle w:val="Compact"/>
              <w:spacing w:line="360" w:lineRule="auto"/>
              <w:jc w:val="right"/>
              <w:rPr>
                <w:sz w:val="13"/>
                <w:szCs w:val="13"/>
              </w:rPr>
            </w:pPr>
            <w:r w:rsidRPr="00D56005">
              <w:rPr>
                <w:sz w:val="13"/>
                <w:szCs w:val="13"/>
              </w:rPr>
              <w:t>0.012</w:t>
            </w:r>
          </w:p>
        </w:tc>
        <w:tc>
          <w:tcPr>
            <w:tcW w:w="0" w:type="auto"/>
          </w:tcPr>
          <w:p w14:paraId="4F286B20" w14:textId="77777777" w:rsidR="00FA75C9" w:rsidRPr="00D56005" w:rsidRDefault="00000000" w:rsidP="00D56005">
            <w:pPr>
              <w:pStyle w:val="Compact"/>
              <w:spacing w:line="360" w:lineRule="auto"/>
              <w:jc w:val="right"/>
              <w:rPr>
                <w:sz w:val="13"/>
                <w:szCs w:val="13"/>
              </w:rPr>
            </w:pPr>
            <w:r w:rsidRPr="00D56005">
              <w:rPr>
                <w:sz w:val="13"/>
                <w:szCs w:val="13"/>
              </w:rPr>
              <w:t>0.31</w:t>
            </w:r>
          </w:p>
        </w:tc>
        <w:tc>
          <w:tcPr>
            <w:tcW w:w="0" w:type="auto"/>
          </w:tcPr>
          <w:p w14:paraId="5CA298B1" w14:textId="77777777" w:rsidR="00FA75C9" w:rsidRPr="00D56005" w:rsidRDefault="00000000" w:rsidP="00D56005">
            <w:pPr>
              <w:pStyle w:val="Compact"/>
              <w:spacing w:line="360" w:lineRule="auto"/>
              <w:jc w:val="right"/>
              <w:rPr>
                <w:sz w:val="13"/>
                <w:szCs w:val="13"/>
              </w:rPr>
            </w:pPr>
            <w:r w:rsidRPr="00D56005">
              <w:rPr>
                <w:sz w:val="13"/>
                <w:szCs w:val="13"/>
              </w:rPr>
              <w:t>−0.277</w:t>
            </w:r>
          </w:p>
        </w:tc>
        <w:tc>
          <w:tcPr>
            <w:tcW w:w="0" w:type="auto"/>
          </w:tcPr>
          <w:p w14:paraId="64C8B7FB" w14:textId="77777777" w:rsidR="00FA75C9" w:rsidRPr="00D56005" w:rsidRDefault="00000000" w:rsidP="00D56005">
            <w:pPr>
              <w:pStyle w:val="Compact"/>
              <w:spacing w:line="360" w:lineRule="auto"/>
              <w:jc w:val="right"/>
              <w:rPr>
                <w:sz w:val="13"/>
                <w:szCs w:val="13"/>
              </w:rPr>
            </w:pPr>
            <w:r w:rsidRPr="00D56005">
              <w:rPr>
                <w:sz w:val="13"/>
                <w:szCs w:val="13"/>
              </w:rPr>
              <w:t>−4.17</w:t>
            </w:r>
          </w:p>
        </w:tc>
        <w:tc>
          <w:tcPr>
            <w:tcW w:w="0" w:type="auto"/>
          </w:tcPr>
          <w:p w14:paraId="034717CA" w14:textId="77777777" w:rsidR="00FA75C9" w:rsidRPr="00D56005" w:rsidRDefault="00000000" w:rsidP="00D56005">
            <w:pPr>
              <w:pStyle w:val="Compact"/>
              <w:spacing w:line="360" w:lineRule="auto"/>
              <w:jc w:val="right"/>
              <w:rPr>
                <w:sz w:val="13"/>
                <w:szCs w:val="13"/>
              </w:rPr>
            </w:pPr>
            <w:r w:rsidRPr="00D56005">
              <w:rPr>
                <w:sz w:val="13"/>
                <w:szCs w:val="13"/>
              </w:rPr>
              <w:t>0.101</w:t>
            </w:r>
          </w:p>
        </w:tc>
        <w:tc>
          <w:tcPr>
            <w:tcW w:w="0" w:type="auto"/>
          </w:tcPr>
          <w:p w14:paraId="596860AC" w14:textId="77777777" w:rsidR="00FA75C9" w:rsidRPr="00D56005" w:rsidRDefault="00000000" w:rsidP="00D56005">
            <w:pPr>
              <w:pStyle w:val="Compact"/>
              <w:spacing w:line="360" w:lineRule="auto"/>
              <w:jc w:val="right"/>
              <w:rPr>
                <w:sz w:val="13"/>
                <w:szCs w:val="13"/>
              </w:rPr>
            </w:pPr>
            <w:r w:rsidRPr="00D56005">
              <w:rPr>
                <w:sz w:val="13"/>
                <w:szCs w:val="13"/>
              </w:rPr>
              <w:t>1.76</w:t>
            </w:r>
          </w:p>
        </w:tc>
        <w:tc>
          <w:tcPr>
            <w:tcW w:w="0" w:type="auto"/>
          </w:tcPr>
          <w:p w14:paraId="14517A7C" w14:textId="77777777" w:rsidR="00FA75C9" w:rsidRPr="00D56005" w:rsidRDefault="00000000" w:rsidP="00D56005">
            <w:pPr>
              <w:pStyle w:val="Compact"/>
              <w:spacing w:line="360" w:lineRule="auto"/>
              <w:jc w:val="right"/>
              <w:rPr>
                <w:sz w:val="13"/>
                <w:szCs w:val="13"/>
              </w:rPr>
            </w:pPr>
            <w:r w:rsidRPr="00D56005">
              <w:rPr>
                <w:sz w:val="13"/>
                <w:szCs w:val="13"/>
              </w:rPr>
              <w:t>0.191</w:t>
            </w:r>
          </w:p>
        </w:tc>
        <w:tc>
          <w:tcPr>
            <w:tcW w:w="0" w:type="auto"/>
          </w:tcPr>
          <w:p w14:paraId="14D4A2EB" w14:textId="77777777" w:rsidR="00FA75C9" w:rsidRPr="00D56005" w:rsidRDefault="00000000" w:rsidP="00D56005">
            <w:pPr>
              <w:pStyle w:val="Compact"/>
              <w:spacing w:line="360" w:lineRule="auto"/>
              <w:jc w:val="right"/>
              <w:rPr>
                <w:sz w:val="13"/>
                <w:szCs w:val="13"/>
              </w:rPr>
            </w:pPr>
            <w:r w:rsidRPr="00D56005">
              <w:rPr>
                <w:sz w:val="13"/>
                <w:szCs w:val="13"/>
              </w:rPr>
              <w:t>2.14</w:t>
            </w:r>
          </w:p>
        </w:tc>
        <w:tc>
          <w:tcPr>
            <w:tcW w:w="0" w:type="auto"/>
          </w:tcPr>
          <w:p w14:paraId="3C7AC9DE" w14:textId="77777777" w:rsidR="00FA75C9" w:rsidRPr="00D56005" w:rsidRDefault="00000000" w:rsidP="00D56005">
            <w:pPr>
              <w:pStyle w:val="Compact"/>
              <w:spacing w:line="360" w:lineRule="auto"/>
              <w:jc w:val="right"/>
              <w:rPr>
                <w:sz w:val="13"/>
                <w:szCs w:val="13"/>
              </w:rPr>
            </w:pPr>
            <w:r w:rsidRPr="00D56005">
              <w:rPr>
                <w:sz w:val="13"/>
                <w:szCs w:val="13"/>
              </w:rPr>
              <w:t>−0.094</w:t>
            </w:r>
          </w:p>
        </w:tc>
        <w:tc>
          <w:tcPr>
            <w:tcW w:w="0" w:type="auto"/>
          </w:tcPr>
          <w:p w14:paraId="4D9F21D7" w14:textId="77777777" w:rsidR="00FA75C9" w:rsidRPr="00D56005" w:rsidRDefault="00000000" w:rsidP="00D56005">
            <w:pPr>
              <w:pStyle w:val="Compact"/>
              <w:spacing w:line="360" w:lineRule="auto"/>
              <w:jc w:val="right"/>
              <w:rPr>
                <w:sz w:val="13"/>
                <w:szCs w:val="13"/>
              </w:rPr>
            </w:pPr>
            <w:r w:rsidRPr="00D56005">
              <w:rPr>
                <w:sz w:val="13"/>
                <w:szCs w:val="13"/>
              </w:rPr>
              <w:t>−0.86</w:t>
            </w:r>
          </w:p>
        </w:tc>
        <w:tc>
          <w:tcPr>
            <w:tcW w:w="0" w:type="auto"/>
          </w:tcPr>
          <w:p w14:paraId="6CE206ED" w14:textId="77777777" w:rsidR="00FA75C9" w:rsidRPr="00D56005" w:rsidRDefault="00000000" w:rsidP="00D56005">
            <w:pPr>
              <w:pStyle w:val="Compact"/>
              <w:spacing w:line="360" w:lineRule="auto"/>
              <w:jc w:val="right"/>
              <w:rPr>
                <w:sz w:val="13"/>
                <w:szCs w:val="13"/>
              </w:rPr>
            </w:pPr>
            <w:r w:rsidRPr="00D56005">
              <w:rPr>
                <w:sz w:val="13"/>
                <w:szCs w:val="13"/>
              </w:rPr>
              <w:t>0.148</w:t>
            </w:r>
          </w:p>
        </w:tc>
        <w:tc>
          <w:tcPr>
            <w:tcW w:w="0" w:type="auto"/>
          </w:tcPr>
          <w:p w14:paraId="3630996D" w14:textId="77777777" w:rsidR="00FA75C9" w:rsidRPr="00D56005" w:rsidRDefault="00000000" w:rsidP="00D56005">
            <w:pPr>
              <w:pStyle w:val="Compact"/>
              <w:spacing w:line="360" w:lineRule="auto"/>
              <w:jc w:val="right"/>
              <w:rPr>
                <w:sz w:val="13"/>
                <w:szCs w:val="13"/>
              </w:rPr>
            </w:pPr>
            <w:r w:rsidRPr="00D56005">
              <w:rPr>
                <w:sz w:val="13"/>
                <w:szCs w:val="13"/>
              </w:rPr>
              <w:t>3.89</w:t>
            </w:r>
          </w:p>
        </w:tc>
      </w:tr>
      <w:tr w:rsidR="00FA75C9" w:rsidRPr="00D56005" w14:paraId="27BEAC14" w14:textId="77777777">
        <w:tc>
          <w:tcPr>
            <w:tcW w:w="0" w:type="auto"/>
          </w:tcPr>
          <w:p w14:paraId="5AD7F080" w14:textId="77777777" w:rsidR="00FA75C9" w:rsidRPr="00D56005" w:rsidRDefault="00000000" w:rsidP="00D56005">
            <w:pPr>
              <w:pStyle w:val="Compact"/>
              <w:spacing w:line="360" w:lineRule="auto"/>
              <w:rPr>
                <w:sz w:val="13"/>
                <w:szCs w:val="13"/>
              </w:rPr>
            </w:pPr>
            <w:r w:rsidRPr="00D56005">
              <w:rPr>
                <w:sz w:val="13"/>
                <w:szCs w:val="13"/>
              </w:rPr>
              <w:t>U-B EW $100M+</w:t>
            </w:r>
          </w:p>
        </w:tc>
        <w:tc>
          <w:tcPr>
            <w:tcW w:w="0" w:type="auto"/>
          </w:tcPr>
          <w:p w14:paraId="293245AE" w14:textId="77777777" w:rsidR="00FA75C9" w:rsidRPr="00D56005" w:rsidRDefault="00000000" w:rsidP="00D56005">
            <w:pPr>
              <w:pStyle w:val="Compact"/>
              <w:spacing w:line="360" w:lineRule="auto"/>
              <w:jc w:val="right"/>
              <w:rPr>
                <w:sz w:val="13"/>
                <w:szCs w:val="13"/>
              </w:rPr>
            </w:pPr>
            <w:r w:rsidRPr="00D56005">
              <w:rPr>
                <w:sz w:val="13"/>
                <w:szCs w:val="13"/>
              </w:rPr>
              <w:t>6.29%</w:t>
            </w:r>
          </w:p>
        </w:tc>
        <w:tc>
          <w:tcPr>
            <w:tcW w:w="0" w:type="auto"/>
          </w:tcPr>
          <w:p w14:paraId="08A7E7BA" w14:textId="77777777" w:rsidR="00FA75C9" w:rsidRPr="00D56005" w:rsidRDefault="00000000" w:rsidP="00D56005">
            <w:pPr>
              <w:pStyle w:val="Compact"/>
              <w:spacing w:line="360" w:lineRule="auto"/>
              <w:jc w:val="right"/>
              <w:rPr>
                <w:sz w:val="13"/>
                <w:szCs w:val="13"/>
              </w:rPr>
            </w:pPr>
            <w:r w:rsidRPr="00D56005">
              <w:rPr>
                <w:sz w:val="13"/>
                <w:szCs w:val="13"/>
              </w:rPr>
              <w:t>5.85</w:t>
            </w:r>
          </w:p>
        </w:tc>
        <w:tc>
          <w:tcPr>
            <w:tcW w:w="0" w:type="auto"/>
          </w:tcPr>
          <w:p w14:paraId="2C7170EF" w14:textId="77777777" w:rsidR="00FA75C9" w:rsidRPr="00D56005" w:rsidRDefault="00000000" w:rsidP="00D56005">
            <w:pPr>
              <w:pStyle w:val="Compact"/>
              <w:spacing w:line="360" w:lineRule="auto"/>
              <w:jc w:val="right"/>
              <w:rPr>
                <w:sz w:val="13"/>
                <w:szCs w:val="13"/>
              </w:rPr>
            </w:pPr>
            <w:r w:rsidRPr="00D56005">
              <w:rPr>
                <w:sz w:val="13"/>
                <w:szCs w:val="13"/>
              </w:rPr>
              <w:t>0.045</w:t>
            </w:r>
          </w:p>
        </w:tc>
        <w:tc>
          <w:tcPr>
            <w:tcW w:w="0" w:type="auto"/>
          </w:tcPr>
          <w:p w14:paraId="17065AAB" w14:textId="77777777" w:rsidR="00FA75C9" w:rsidRPr="00D56005" w:rsidRDefault="00000000" w:rsidP="00D56005">
            <w:pPr>
              <w:pStyle w:val="Compact"/>
              <w:spacing w:line="360" w:lineRule="auto"/>
              <w:jc w:val="right"/>
              <w:rPr>
                <w:sz w:val="13"/>
                <w:szCs w:val="13"/>
              </w:rPr>
            </w:pPr>
            <w:r w:rsidRPr="00D56005">
              <w:rPr>
                <w:sz w:val="13"/>
                <w:szCs w:val="13"/>
              </w:rPr>
              <w:t>1.79</w:t>
            </w:r>
          </w:p>
        </w:tc>
        <w:tc>
          <w:tcPr>
            <w:tcW w:w="0" w:type="auto"/>
          </w:tcPr>
          <w:p w14:paraId="69D0FD6D" w14:textId="77777777" w:rsidR="00FA75C9" w:rsidRPr="00D56005" w:rsidRDefault="00000000" w:rsidP="00D56005">
            <w:pPr>
              <w:pStyle w:val="Compact"/>
              <w:spacing w:line="360" w:lineRule="auto"/>
              <w:jc w:val="right"/>
              <w:rPr>
                <w:sz w:val="13"/>
                <w:szCs w:val="13"/>
              </w:rPr>
            </w:pPr>
            <w:r w:rsidRPr="00D56005">
              <w:rPr>
                <w:sz w:val="13"/>
                <w:szCs w:val="13"/>
              </w:rPr>
              <w:t>−0.249</w:t>
            </w:r>
          </w:p>
        </w:tc>
        <w:tc>
          <w:tcPr>
            <w:tcW w:w="0" w:type="auto"/>
          </w:tcPr>
          <w:p w14:paraId="11973E5B" w14:textId="77777777" w:rsidR="00FA75C9" w:rsidRPr="00D56005" w:rsidRDefault="00000000" w:rsidP="00D56005">
            <w:pPr>
              <w:pStyle w:val="Compact"/>
              <w:spacing w:line="360" w:lineRule="auto"/>
              <w:jc w:val="right"/>
              <w:rPr>
                <w:sz w:val="13"/>
                <w:szCs w:val="13"/>
              </w:rPr>
            </w:pPr>
            <w:r w:rsidRPr="00D56005">
              <w:rPr>
                <w:sz w:val="13"/>
                <w:szCs w:val="13"/>
              </w:rPr>
              <w:t>−6.41</w:t>
            </w:r>
          </w:p>
        </w:tc>
        <w:tc>
          <w:tcPr>
            <w:tcW w:w="0" w:type="auto"/>
          </w:tcPr>
          <w:p w14:paraId="723FD0EB" w14:textId="77777777" w:rsidR="00FA75C9" w:rsidRPr="00D56005" w:rsidRDefault="00000000" w:rsidP="00D56005">
            <w:pPr>
              <w:pStyle w:val="Compact"/>
              <w:spacing w:line="360" w:lineRule="auto"/>
              <w:jc w:val="right"/>
              <w:rPr>
                <w:sz w:val="13"/>
                <w:szCs w:val="13"/>
              </w:rPr>
            </w:pPr>
            <w:r w:rsidRPr="00D56005">
              <w:rPr>
                <w:sz w:val="13"/>
                <w:szCs w:val="13"/>
              </w:rPr>
              <w:t>0.025</w:t>
            </w:r>
          </w:p>
        </w:tc>
        <w:tc>
          <w:tcPr>
            <w:tcW w:w="0" w:type="auto"/>
          </w:tcPr>
          <w:p w14:paraId="153EB97D" w14:textId="77777777" w:rsidR="00FA75C9" w:rsidRPr="00D56005" w:rsidRDefault="00000000" w:rsidP="00D56005">
            <w:pPr>
              <w:pStyle w:val="Compact"/>
              <w:spacing w:line="360" w:lineRule="auto"/>
              <w:jc w:val="right"/>
              <w:rPr>
                <w:sz w:val="13"/>
                <w:szCs w:val="13"/>
              </w:rPr>
            </w:pPr>
            <w:r w:rsidRPr="00D56005">
              <w:rPr>
                <w:sz w:val="13"/>
                <w:szCs w:val="13"/>
              </w:rPr>
              <w:t>0.59</w:t>
            </w:r>
          </w:p>
        </w:tc>
        <w:tc>
          <w:tcPr>
            <w:tcW w:w="0" w:type="auto"/>
          </w:tcPr>
          <w:p w14:paraId="225EBC77" w14:textId="77777777" w:rsidR="00FA75C9" w:rsidRPr="00D56005" w:rsidRDefault="00000000" w:rsidP="00D56005">
            <w:pPr>
              <w:pStyle w:val="Compact"/>
              <w:spacing w:line="360" w:lineRule="auto"/>
              <w:jc w:val="right"/>
              <w:rPr>
                <w:sz w:val="13"/>
                <w:szCs w:val="13"/>
              </w:rPr>
            </w:pPr>
            <w:r w:rsidRPr="00D56005">
              <w:rPr>
                <w:sz w:val="13"/>
                <w:szCs w:val="13"/>
              </w:rPr>
              <w:t>0.142</w:t>
            </w:r>
          </w:p>
        </w:tc>
        <w:tc>
          <w:tcPr>
            <w:tcW w:w="0" w:type="auto"/>
          </w:tcPr>
          <w:p w14:paraId="2770E2B8" w14:textId="77777777" w:rsidR="00FA75C9" w:rsidRPr="00D56005" w:rsidRDefault="00000000" w:rsidP="00D56005">
            <w:pPr>
              <w:pStyle w:val="Compact"/>
              <w:spacing w:line="360" w:lineRule="auto"/>
              <w:jc w:val="right"/>
              <w:rPr>
                <w:sz w:val="13"/>
                <w:szCs w:val="13"/>
              </w:rPr>
            </w:pPr>
            <w:r w:rsidRPr="00D56005">
              <w:rPr>
                <w:sz w:val="13"/>
                <w:szCs w:val="13"/>
              </w:rPr>
              <w:t>2.24</w:t>
            </w:r>
          </w:p>
        </w:tc>
        <w:tc>
          <w:tcPr>
            <w:tcW w:w="0" w:type="auto"/>
          </w:tcPr>
          <w:p w14:paraId="30B67D3E" w14:textId="77777777" w:rsidR="00FA75C9" w:rsidRPr="00D56005" w:rsidRDefault="00000000" w:rsidP="00D56005">
            <w:pPr>
              <w:pStyle w:val="Compact"/>
              <w:spacing w:line="360" w:lineRule="auto"/>
              <w:jc w:val="right"/>
              <w:rPr>
                <w:sz w:val="13"/>
                <w:szCs w:val="13"/>
              </w:rPr>
            </w:pPr>
            <w:r w:rsidRPr="00D56005">
              <w:rPr>
                <w:sz w:val="13"/>
                <w:szCs w:val="13"/>
              </w:rPr>
              <w:t>−0.040</w:t>
            </w:r>
          </w:p>
        </w:tc>
        <w:tc>
          <w:tcPr>
            <w:tcW w:w="0" w:type="auto"/>
          </w:tcPr>
          <w:p w14:paraId="63EF898A" w14:textId="77777777" w:rsidR="00FA75C9" w:rsidRPr="00D56005" w:rsidRDefault="00000000" w:rsidP="00D56005">
            <w:pPr>
              <w:pStyle w:val="Compact"/>
              <w:spacing w:line="360" w:lineRule="auto"/>
              <w:jc w:val="right"/>
              <w:rPr>
                <w:sz w:val="13"/>
                <w:szCs w:val="13"/>
              </w:rPr>
            </w:pPr>
            <w:r w:rsidRPr="00D56005">
              <w:rPr>
                <w:sz w:val="13"/>
                <w:szCs w:val="13"/>
              </w:rPr>
              <w:t>−0.50</w:t>
            </w:r>
          </w:p>
        </w:tc>
        <w:tc>
          <w:tcPr>
            <w:tcW w:w="0" w:type="auto"/>
          </w:tcPr>
          <w:p w14:paraId="777C610D" w14:textId="77777777" w:rsidR="00FA75C9" w:rsidRPr="00D56005" w:rsidRDefault="00000000" w:rsidP="00D56005">
            <w:pPr>
              <w:pStyle w:val="Compact"/>
              <w:spacing w:line="360" w:lineRule="auto"/>
              <w:jc w:val="right"/>
              <w:rPr>
                <w:sz w:val="13"/>
                <w:szCs w:val="13"/>
              </w:rPr>
            </w:pPr>
            <w:r w:rsidRPr="00D56005">
              <w:rPr>
                <w:sz w:val="13"/>
                <w:szCs w:val="13"/>
              </w:rPr>
              <w:t>0.100</w:t>
            </w:r>
          </w:p>
        </w:tc>
        <w:tc>
          <w:tcPr>
            <w:tcW w:w="0" w:type="auto"/>
          </w:tcPr>
          <w:p w14:paraId="79A41B77" w14:textId="77777777" w:rsidR="00FA75C9" w:rsidRPr="00D56005" w:rsidRDefault="00000000" w:rsidP="00D56005">
            <w:pPr>
              <w:pStyle w:val="Compact"/>
              <w:spacing w:line="360" w:lineRule="auto"/>
              <w:jc w:val="right"/>
              <w:rPr>
                <w:sz w:val="13"/>
                <w:szCs w:val="13"/>
              </w:rPr>
            </w:pPr>
            <w:r w:rsidRPr="00D56005">
              <w:rPr>
                <w:sz w:val="13"/>
                <w:szCs w:val="13"/>
              </w:rPr>
              <w:t>3.65</w:t>
            </w:r>
          </w:p>
        </w:tc>
      </w:tr>
    </w:tbl>
    <w:p w14:paraId="58DC3AE1" w14:textId="77777777" w:rsidR="00FA75C9" w:rsidRDefault="00000000" w:rsidP="00D56005">
      <w:pPr>
        <w:pStyle w:val="Heading3"/>
        <w:spacing w:line="360" w:lineRule="auto"/>
      </w:pPr>
      <w:bookmarkStart w:id="17" w:name="subperiods"/>
      <w:r>
        <w:t>7.2 Subperiods</w:t>
      </w:r>
      <w:bookmarkEnd w:id="17"/>
    </w:p>
    <w:p w14:paraId="13CBABBF" w14:textId="77777777" w:rsidR="00FA75C9" w:rsidRDefault="00000000" w:rsidP="00D56005">
      <w:pPr>
        <w:pStyle w:val="FirstParagraph"/>
        <w:spacing w:line="360" w:lineRule="auto"/>
      </w:pPr>
      <w:r>
        <w:t>The strategy is not concentrated in a single market regime, but neither is it uniform across time. Annualized U-B all-stock equal-weighted returns by subperiod are 5.86% in 2010–2013 (NW t = 3.02), 7.40% in 2014–2017 (NW t = 2.71), 4.31% in 2018–2020 (NW t = 0.98), and 13.08% in 2021–2023 (NW t = 2.85). The 2018–2020 subperiod is the weakest both in magnitude and in significance, and 2020 in particular is a noisy year for the all-stock specification. Excluding calendar 2020 raises the full-sample annualized return to 9.00% with a Newey-West t of 5.43.</w:t>
      </w:r>
    </w:p>
    <w:p w14:paraId="07888858" w14:textId="77777777" w:rsidR="00FA75C9" w:rsidRDefault="00000000" w:rsidP="00D56005">
      <w:pPr>
        <w:pStyle w:val="BodyText"/>
        <w:spacing w:line="360" w:lineRule="auto"/>
      </w:pPr>
      <w:r>
        <w:t>The honest reading is that the result holds across subperiods on average, but with meaningful variation in significance and magnitude. The 2020 dispersion deserves to be flagged rather than excluded from the headline.</w:t>
      </w:r>
    </w:p>
    <w:p w14:paraId="1BE35629" w14:textId="77777777" w:rsidR="00FA75C9" w:rsidRDefault="00000000" w:rsidP="00D56005">
      <w:pPr>
        <w:pStyle w:val="BodyText"/>
        <w:spacing w:line="360" w:lineRule="auto"/>
      </w:pPr>
      <w:r>
        <w:rPr>
          <w:b/>
        </w:rPr>
        <w:t>Table 4. Subperiod performance of the bottom-decile U-B EW all-stock strategy.</w:t>
      </w:r>
    </w:p>
    <w:tbl>
      <w:tblPr>
        <w:tblStyle w:val="Table"/>
        <w:tblW w:w="3831" w:type="pct"/>
        <w:tblLook w:val="07E0" w:firstRow="1" w:lastRow="1" w:firstColumn="1" w:lastColumn="1" w:noHBand="1" w:noVBand="1"/>
      </w:tblPr>
      <w:tblGrid>
        <w:gridCol w:w="1737"/>
        <w:gridCol w:w="1492"/>
        <w:gridCol w:w="1275"/>
        <w:gridCol w:w="1558"/>
        <w:gridCol w:w="1275"/>
      </w:tblGrid>
      <w:tr w:rsidR="00FC49F4" w14:paraId="44CBE52A" w14:textId="77777777" w:rsidTr="00FC49F4">
        <w:tc>
          <w:tcPr>
            <w:tcW w:w="0" w:type="auto"/>
            <w:tcBorders>
              <w:bottom w:val="single" w:sz="0" w:space="0" w:color="auto"/>
            </w:tcBorders>
            <w:vAlign w:val="bottom"/>
          </w:tcPr>
          <w:p w14:paraId="7B6D3397" w14:textId="77777777" w:rsidR="00FC49F4" w:rsidRDefault="00FC49F4" w:rsidP="00D56005">
            <w:pPr>
              <w:pStyle w:val="Compact"/>
              <w:spacing w:line="360" w:lineRule="auto"/>
            </w:pPr>
            <w:r>
              <w:t>Subperiod</w:t>
            </w:r>
          </w:p>
        </w:tc>
        <w:tc>
          <w:tcPr>
            <w:tcW w:w="1017" w:type="pct"/>
            <w:tcBorders>
              <w:bottom w:val="single" w:sz="0" w:space="0" w:color="auto"/>
            </w:tcBorders>
            <w:vAlign w:val="bottom"/>
          </w:tcPr>
          <w:p w14:paraId="276119C0" w14:textId="77777777" w:rsidR="00FC49F4" w:rsidRDefault="00FC49F4" w:rsidP="00D56005">
            <w:pPr>
              <w:pStyle w:val="Compact"/>
              <w:spacing w:line="360" w:lineRule="auto"/>
              <w:jc w:val="right"/>
            </w:pPr>
            <w:r>
              <w:t>Ann. return</w:t>
            </w:r>
          </w:p>
        </w:tc>
        <w:tc>
          <w:tcPr>
            <w:tcW w:w="869" w:type="pct"/>
            <w:tcBorders>
              <w:bottom w:val="single" w:sz="0" w:space="0" w:color="auto"/>
            </w:tcBorders>
            <w:vAlign w:val="bottom"/>
          </w:tcPr>
          <w:p w14:paraId="532591D2" w14:textId="77777777" w:rsidR="00FC49F4" w:rsidRDefault="00FC49F4" w:rsidP="00D56005">
            <w:pPr>
              <w:pStyle w:val="Compact"/>
              <w:spacing w:line="360" w:lineRule="auto"/>
              <w:jc w:val="right"/>
            </w:pPr>
            <w:r>
              <w:t>NW t-stat</w:t>
            </w:r>
          </w:p>
        </w:tc>
        <w:tc>
          <w:tcPr>
            <w:tcW w:w="1062" w:type="pct"/>
            <w:tcBorders>
              <w:bottom w:val="single" w:sz="0" w:space="0" w:color="auto"/>
            </w:tcBorders>
          </w:tcPr>
          <w:p w14:paraId="2FFBAAC7" w14:textId="36243B13" w:rsidR="00FC49F4" w:rsidRDefault="00FC49F4" w:rsidP="00D56005">
            <w:pPr>
              <w:pStyle w:val="Compact"/>
              <w:spacing w:line="360" w:lineRule="auto"/>
              <w:jc w:val="right"/>
            </w:pPr>
            <w:r>
              <w:t>Sharpe Ratio</w:t>
            </w:r>
          </w:p>
        </w:tc>
        <w:tc>
          <w:tcPr>
            <w:tcW w:w="869" w:type="pct"/>
            <w:tcBorders>
              <w:bottom w:val="single" w:sz="0" w:space="0" w:color="auto"/>
            </w:tcBorders>
            <w:vAlign w:val="bottom"/>
          </w:tcPr>
          <w:p w14:paraId="63581288" w14:textId="78F02656" w:rsidR="00FC49F4" w:rsidRDefault="00FC49F4" w:rsidP="00D56005">
            <w:pPr>
              <w:pStyle w:val="Compact"/>
              <w:spacing w:line="360" w:lineRule="auto"/>
              <w:jc w:val="right"/>
            </w:pPr>
            <w:r>
              <w:t>N months</w:t>
            </w:r>
          </w:p>
        </w:tc>
      </w:tr>
      <w:tr w:rsidR="00FC49F4" w14:paraId="3CD92A79" w14:textId="77777777" w:rsidTr="00FC49F4">
        <w:tc>
          <w:tcPr>
            <w:tcW w:w="0" w:type="auto"/>
          </w:tcPr>
          <w:p w14:paraId="5D235C77" w14:textId="77777777" w:rsidR="00FC49F4" w:rsidRDefault="00FC49F4" w:rsidP="00D56005">
            <w:pPr>
              <w:pStyle w:val="Compact"/>
              <w:spacing w:line="360" w:lineRule="auto"/>
            </w:pPr>
            <w:r>
              <w:t>2010–2013</w:t>
            </w:r>
          </w:p>
        </w:tc>
        <w:tc>
          <w:tcPr>
            <w:tcW w:w="1017" w:type="pct"/>
          </w:tcPr>
          <w:p w14:paraId="309F23C3" w14:textId="77777777" w:rsidR="00FC49F4" w:rsidRDefault="00FC49F4" w:rsidP="00D56005">
            <w:pPr>
              <w:pStyle w:val="Compact"/>
              <w:spacing w:line="360" w:lineRule="auto"/>
              <w:jc w:val="right"/>
            </w:pPr>
            <w:r>
              <w:t>5.86%</w:t>
            </w:r>
          </w:p>
        </w:tc>
        <w:tc>
          <w:tcPr>
            <w:tcW w:w="869" w:type="pct"/>
          </w:tcPr>
          <w:p w14:paraId="642BC435" w14:textId="77777777" w:rsidR="00FC49F4" w:rsidRDefault="00FC49F4" w:rsidP="00D56005">
            <w:pPr>
              <w:pStyle w:val="Compact"/>
              <w:spacing w:line="360" w:lineRule="auto"/>
              <w:jc w:val="right"/>
            </w:pPr>
            <w:r>
              <w:t>3.02</w:t>
            </w:r>
          </w:p>
        </w:tc>
        <w:tc>
          <w:tcPr>
            <w:tcW w:w="1062" w:type="pct"/>
          </w:tcPr>
          <w:p w14:paraId="1C07391D" w14:textId="11261631" w:rsidR="00FC49F4" w:rsidRDefault="00FC49F4" w:rsidP="00D56005">
            <w:pPr>
              <w:pStyle w:val="Compact"/>
              <w:spacing w:line="360" w:lineRule="auto"/>
              <w:jc w:val="right"/>
            </w:pPr>
            <w:r>
              <w:t>1.35</w:t>
            </w:r>
          </w:p>
        </w:tc>
        <w:tc>
          <w:tcPr>
            <w:tcW w:w="869" w:type="pct"/>
          </w:tcPr>
          <w:p w14:paraId="7E131352" w14:textId="64D35F98" w:rsidR="00FC49F4" w:rsidRDefault="00FC49F4" w:rsidP="00D56005">
            <w:pPr>
              <w:pStyle w:val="Compact"/>
              <w:spacing w:line="360" w:lineRule="auto"/>
              <w:jc w:val="right"/>
            </w:pPr>
            <w:r>
              <w:t>47</w:t>
            </w:r>
          </w:p>
        </w:tc>
      </w:tr>
      <w:tr w:rsidR="00FC49F4" w14:paraId="624EFB29" w14:textId="77777777" w:rsidTr="00FC49F4">
        <w:tc>
          <w:tcPr>
            <w:tcW w:w="0" w:type="auto"/>
          </w:tcPr>
          <w:p w14:paraId="723F3D32" w14:textId="77777777" w:rsidR="00FC49F4" w:rsidRDefault="00FC49F4" w:rsidP="00D56005">
            <w:pPr>
              <w:pStyle w:val="Compact"/>
              <w:spacing w:line="360" w:lineRule="auto"/>
            </w:pPr>
            <w:r>
              <w:t>2014–2017</w:t>
            </w:r>
          </w:p>
        </w:tc>
        <w:tc>
          <w:tcPr>
            <w:tcW w:w="1017" w:type="pct"/>
          </w:tcPr>
          <w:p w14:paraId="7F1B8DD0" w14:textId="77777777" w:rsidR="00FC49F4" w:rsidRDefault="00FC49F4" w:rsidP="00D56005">
            <w:pPr>
              <w:pStyle w:val="Compact"/>
              <w:spacing w:line="360" w:lineRule="auto"/>
              <w:jc w:val="right"/>
            </w:pPr>
            <w:r>
              <w:t>7.40%</w:t>
            </w:r>
          </w:p>
        </w:tc>
        <w:tc>
          <w:tcPr>
            <w:tcW w:w="869" w:type="pct"/>
          </w:tcPr>
          <w:p w14:paraId="5F1C5EEB" w14:textId="77777777" w:rsidR="00FC49F4" w:rsidRDefault="00FC49F4" w:rsidP="00D56005">
            <w:pPr>
              <w:pStyle w:val="Compact"/>
              <w:spacing w:line="360" w:lineRule="auto"/>
              <w:jc w:val="right"/>
            </w:pPr>
            <w:r>
              <w:t>2.71</w:t>
            </w:r>
          </w:p>
        </w:tc>
        <w:tc>
          <w:tcPr>
            <w:tcW w:w="1062" w:type="pct"/>
          </w:tcPr>
          <w:p w14:paraId="5A8A2AED" w14:textId="33AAEA10" w:rsidR="00FC49F4" w:rsidRDefault="00FC49F4" w:rsidP="00D56005">
            <w:pPr>
              <w:pStyle w:val="Compact"/>
              <w:spacing w:line="360" w:lineRule="auto"/>
              <w:jc w:val="right"/>
            </w:pPr>
            <w:r>
              <w:t>1.29</w:t>
            </w:r>
          </w:p>
        </w:tc>
        <w:tc>
          <w:tcPr>
            <w:tcW w:w="869" w:type="pct"/>
          </w:tcPr>
          <w:p w14:paraId="5E724F09" w14:textId="5C26E0C7" w:rsidR="00FC49F4" w:rsidRDefault="00FC49F4" w:rsidP="00D56005">
            <w:pPr>
              <w:pStyle w:val="Compact"/>
              <w:spacing w:line="360" w:lineRule="auto"/>
              <w:jc w:val="right"/>
            </w:pPr>
            <w:r>
              <w:t>48</w:t>
            </w:r>
          </w:p>
        </w:tc>
      </w:tr>
      <w:tr w:rsidR="00FC49F4" w14:paraId="4CAAFDA3" w14:textId="77777777" w:rsidTr="00FC49F4">
        <w:tc>
          <w:tcPr>
            <w:tcW w:w="0" w:type="auto"/>
          </w:tcPr>
          <w:p w14:paraId="0B064D82" w14:textId="11EB0A74" w:rsidR="00FC49F4" w:rsidRDefault="00FC49F4" w:rsidP="00D56005">
            <w:pPr>
              <w:pStyle w:val="Compact"/>
              <w:spacing w:line="360" w:lineRule="auto"/>
            </w:pPr>
            <w:r>
              <w:t>2018–2019</w:t>
            </w:r>
          </w:p>
        </w:tc>
        <w:tc>
          <w:tcPr>
            <w:tcW w:w="1017" w:type="pct"/>
          </w:tcPr>
          <w:p w14:paraId="0BD82023" w14:textId="35AD5713" w:rsidR="00FC49F4" w:rsidRDefault="00FC49F4" w:rsidP="00D56005">
            <w:pPr>
              <w:pStyle w:val="Compact"/>
              <w:spacing w:line="360" w:lineRule="auto"/>
              <w:jc w:val="right"/>
            </w:pPr>
            <w:r>
              <w:t>11.95%</w:t>
            </w:r>
          </w:p>
        </w:tc>
        <w:tc>
          <w:tcPr>
            <w:tcW w:w="869" w:type="pct"/>
          </w:tcPr>
          <w:p w14:paraId="7D55A31F" w14:textId="4CE5EB30" w:rsidR="00FC49F4" w:rsidRDefault="00FC49F4" w:rsidP="00D56005">
            <w:pPr>
              <w:pStyle w:val="Compact"/>
              <w:spacing w:line="360" w:lineRule="auto"/>
              <w:jc w:val="right"/>
            </w:pPr>
            <w:r>
              <w:t>4.72</w:t>
            </w:r>
          </w:p>
        </w:tc>
        <w:tc>
          <w:tcPr>
            <w:tcW w:w="1062" w:type="pct"/>
          </w:tcPr>
          <w:p w14:paraId="19972EA2" w14:textId="3CDA244E" w:rsidR="00FC49F4" w:rsidRDefault="00FC49F4" w:rsidP="00D56005">
            <w:pPr>
              <w:pStyle w:val="Compact"/>
              <w:spacing w:line="360" w:lineRule="auto"/>
              <w:jc w:val="right"/>
            </w:pPr>
            <w:r>
              <w:t>2.20</w:t>
            </w:r>
          </w:p>
        </w:tc>
        <w:tc>
          <w:tcPr>
            <w:tcW w:w="869" w:type="pct"/>
          </w:tcPr>
          <w:p w14:paraId="595FD63E" w14:textId="019DB0E0" w:rsidR="00FC49F4" w:rsidRDefault="00FC49F4" w:rsidP="00D56005">
            <w:pPr>
              <w:pStyle w:val="Compact"/>
              <w:spacing w:line="360" w:lineRule="auto"/>
              <w:jc w:val="right"/>
            </w:pPr>
            <w:r>
              <w:t>24</w:t>
            </w:r>
          </w:p>
        </w:tc>
      </w:tr>
      <w:tr w:rsidR="00FC49F4" w14:paraId="6504638E" w14:textId="77777777" w:rsidTr="00FC49F4">
        <w:tc>
          <w:tcPr>
            <w:tcW w:w="0" w:type="auto"/>
          </w:tcPr>
          <w:p w14:paraId="68573200" w14:textId="12501946" w:rsidR="00FC49F4" w:rsidRDefault="00FC49F4" w:rsidP="00D56005">
            <w:pPr>
              <w:pStyle w:val="Compact"/>
              <w:spacing w:line="360" w:lineRule="auto"/>
            </w:pPr>
            <w:r>
              <w:t>2020</w:t>
            </w:r>
          </w:p>
        </w:tc>
        <w:tc>
          <w:tcPr>
            <w:tcW w:w="1017" w:type="pct"/>
          </w:tcPr>
          <w:p w14:paraId="74261465" w14:textId="787561CA" w:rsidR="00FC49F4" w:rsidRDefault="00FC49F4" w:rsidP="00D56005">
            <w:pPr>
              <w:pStyle w:val="Compact"/>
              <w:spacing w:line="360" w:lineRule="auto"/>
              <w:jc w:val="right"/>
            </w:pPr>
            <w:r>
              <w:t>-10.97%</w:t>
            </w:r>
          </w:p>
        </w:tc>
        <w:tc>
          <w:tcPr>
            <w:tcW w:w="869" w:type="pct"/>
          </w:tcPr>
          <w:p w14:paraId="73E96432" w14:textId="4CF7B629" w:rsidR="00FC49F4" w:rsidRDefault="00FC49F4" w:rsidP="00D56005">
            <w:pPr>
              <w:pStyle w:val="Compact"/>
              <w:spacing w:line="360" w:lineRule="auto"/>
              <w:jc w:val="right"/>
            </w:pPr>
            <w:r>
              <w:t>-2.05</w:t>
            </w:r>
          </w:p>
        </w:tc>
        <w:tc>
          <w:tcPr>
            <w:tcW w:w="1062" w:type="pct"/>
          </w:tcPr>
          <w:p w14:paraId="7F63B49C" w14:textId="5A5C01D8" w:rsidR="00FC49F4" w:rsidRDefault="00FC49F4" w:rsidP="00D56005">
            <w:pPr>
              <w:pStyle w:val="Compact"/>
              <w:spacing w:line="360" w:lineRule="auto"/>
              <w:jc w:val="right"/>
            </w:pPr>
            <w:r>
              <w:t>-1.11</w:t>
            </w:r>
          </w:p>
        </w:tc>
        <w:tc>
          <w:tcPr>
            <w:tcW w:w="869" w:type="pct"/>
          </w:tcPr>
          <w:p w14:paraId="5BB5B598" w14:textId="57E4CB9A" w:rsidR="00FC49F4" w:rsidRDefault="00FC49F4" w:rsidP="00D56005">
            <w:pPr>
              <w:pStyle w:val="Compact"/>
              <w:spacing w:line="360" w:lineRule="auto"/>
              <w:jc w:val="right"/>
            </w:pPr>
            <w:r>
              <w:t>12</w:t>
            </w:r>
          </w:p>
        </w:tc>
      </w:tr>
      <w:tr w:rsidR="00FC49F4" w14:paraId="3F68F31F" w14:textId="77777777" w:rsidTr="00FC49F4">
        <w:tc>
          <w:tcPr>
            <w:tcW w:w="0" w:type="auto"/>
          </w:tcPr>
          <w:p w14:paraId="56D12C62" w14:textId="77777777" w:rsidR="00FC49F4" w:rsidRDefault="00FC49F4" w:rsidP="00D56005">
            <w:pPr>
              <w:pStyle w:val="Compact"/>
              <w:spacing w:line="360" w:lineRule="auto"/>
            </w:pPr>
            <w:r>
              <w:t>2021–2023</w:t>
            </w:r>
          </w:p>
        </w:tc>
        <w:tc>
          <w:tcPr>
            <w:tcW w:w="1017" w:type="pct"/>
          </w:tcPr>
          <w:p w14:paraId="31A08119" w14:textId="77777777" w:rsidR="00FC49F4" w:rsidRDefault="00FC49F4" w:rsidP="00D56005">
            <w:pPr>
              <w:pStyle w:val="Compact"/>
              <w:spacing w:line="360" w:lineRule="auto"/>
              <w:jc w:val="right"/>
            </w:pPr>
            <w:r>
              <w:t>13.08%</w:t>
            </w:r>
          </w:p>
        </w:tc>
        <w:tc>
          <w:tcPr>
            <w:tcW w:w="869" w:type="pct"/>
          </w:tcPr>
          <w:p w14:paraId="75855938" w14:textId="77777777" w:rsidR="00FC49F4" w:rsidRDefault="00FC49F4" w:rsidP="00D56005">
            <w:pPr>
              <w:pStyle w:val="Compact"/>
              <w:spacing w:line="360" w:lineRule="auto"/>
              <w:jc w:val="right"/>
            </w:pPr>
            <w:r>
              <w:t>2.85</w:t>
            </w:r>
          </w:p>
        </w:tc>
        <w:tc>
          <w:tcPr>
            <w:tcW w:w="1062" w:type="pct"/>
          </w:tcPr>
          <w:p w14:paraId="4C5E4546" w14:textId="79AD78F6" w:rsidR="00FC49F4" w:rsidRDefault="00FC49F4" w:rsidP="00D56005">
            <w:pPr>
              <w:pStyle w:val="Compact"/>
              <w:spacing w:line="360" w:lineRule="auto"/>
              <w:jc w:val="right"/>
            </w:pPr>
            <w:r>
              <w:t>1.39</w:t>
            </w:r>
          </w:p>
        </w:tc>
        <w:tc>
          <w:tcPr>
            <w:tcW w:w="869" w:type="pct"/>
          </w:tcPr>
          <w:p w14:paraId="17BCC1F1" w14:textId="2F14CF37" w:rsidR="00FC49F4" w:rsidRDefault="00FC49F4" w:rsidP="00D56005">
            <w:pPr>
              <w:pStyle w:val="Compact"/>
              <w:spacing w:line="360" w:lineRule="auto"/>
              <w:jc w:val="right"/>
            </w:pPr>
            <w:r>
              <w:t>36</w:t>
            </w:r>
          </w:p>
        </w:tc>
      </w:tr>
      <w:tr w:rsidR="00FC49F4" w14:paraId="6B393B32" w14:textId="77777777" w:rsidTr="00FC49F4">
        <w:tc>
          <w:tcPr>
            <w:tcW w:w="0" w:type="auto"/>
          </w:tcPr>
          <w:p w14:paraId="3843CB6C" w14:textId="77777777" w:rsidR="00FC49F4" w:rsidRDefault="00FC49F4" w:rsidP="00D56005">
            <w:pPr>
              <w:pStyle w:val="Compact"/>
              <w:spacing w:line="360" w:lineRule="auto"/>
            </w:pPr>
            <w:r>
              <w:t>2010–2017</w:t>
            </w:r>
          </w:p>
        </w:tc>
        <w:tc>
          <w:tcPr>
            <w:tcW w:w="1017" w:type="pct"/>
          </w:tcPr>
          <w:p w14:paraId="1BDFBBF0" w14:textId="77777777" w:rsidR="00FC49F4" w:rsidRDefault="00FC49F4" w:rsidP="00D56005">
            <w:pPr>
              <w:pStyle w:val="Compact"/>
              <w:spacing w:line="360" w:lineRule="auto"/>
              <w:jc w:val="right"/>
            </w:pPr>
            <w:r>
              <w:t>6.64%</w:t>
            </w:r>
          </w:p>
        </w:tc>
        <w:tc>
          <w:tcPr>
            <w:tcW w:w="869" w:type="pct"/>
          </w:tcPr>
          <w:p w14:paraId="7139A786" w14:textId="77777777" w:rsidR="00FC49F4" w:rsidRDefault="00FC49F4" w:rsidP="00D56005">
            <w:pPr>
              <w:pStyle w:val="Compact"/>
              <w:spacing w:line="360" w:lineRule="auto"/>
              <w:jc w:val="right"/>
            </w:pPr>
            <w:r>
              <w:t>3.84</w:t>
            </w:r>
          </w:p>
        </w:tc>
        <w:tc>
          <w:tcPr>
            <w:tcW w:w="1062" w:type="pct"/>
          </w:tcPr>
          <w:p w14:paraId="756DB9D8" w14:textId="36CABF8C" w:rsidR="00FC49F4" w:rsidRDefault="00FC49F4" w:rsidP="00D56005">
            <w:pPr>
              <w:pStyle w:val="Compact"/>
              <w:spacing w:line="360" w:lineRule="auto"/>
              <w:jc w:val="right"/>
            </w:pPr>
            <w:r>
              <w:t>1.31</w:t>
            </w:r>
          </w:p>
        </w:tc>
        <w:tc>
          <w:tcPr>
            <w:tcW w:w="869" w:type="pct"/>
          </w:tcPr>
          <w:p w14:paraId="4BDCA881" w14:textId="57947588" w:rsidR="00FC49F4" w:rsidRDefault="00FC49F4" w:rsidP="00D56005">
            <w:pPr>
              <w:pStyle w:val="Compact"/>
              <w:spacing w:line="360" w:lineRule="auto"/>
              <w:jc w:val="right"/>
            </w:pPr>
            <w:r>
              <w:t>95</w:t>
            </w:r>
          </w:p>
        </w:tc>
      </w:tr>
      <w:tr w:rsidR="00FC49F4" w14:paraId="7FCF781A" w14:textId="77777777" w:rsidTr="00FC49F4">
        <w:tc>
          <w:tcPr>
            <w:tcW w:w="0" w:type="auto"/>
          </w:tcPr>
          <w:p w14:paraId="0DA0E14E" w14:textId="77777777" w:rsidR="00FC49F4" w:rsidRDefault="00FC49F4" w:rsidP="00D56005">
            <w:pPr>
              <w:pStyle w:val="Compact"/>
              <w:spacing w:line="360" w:lineRule="auto"/>
            </w:pPr>
            <w:r>
              <w:lastRenderedPageBreak/>
              <w:t>2018–2023</w:t>
            </w:r>
          </w:p>
        </w:tc>
        <w:tc>
          <w:tcPr>
            <w:tcW w:w="1017" w:type="pct"/>
          </w:tcPr>
          <w:p w14:paraId="6FF035A4" w14:textId="77777777" w:rsidR="00FC49F4" w:rsidRDefault="00FC49F4" w:rsidP="00D56005">
            <w:pPr>
              <w:pStyle w:val="Compact"/>
              <w:spacing w:line="360" w:lineRule="auto"/>
              <w:jc w:val="right"/>
            </w:pPr>
            <w:r>
              <w:t>8.70%</w:t>
            </w:r>
          </w:p>
        </w:tc>
        <w:tc>
          <w:tcPr>
            <w:tcW w:w="869" w:type="pct"/>
          </w:tcPr>
          <w:p w14:paraId="6D46B948" w14:textId="77777777" w:rsidR="00FC49F4" w:rsidRDefault="00FC49F4" w:rsidP="00D56005">
            <w:pPr>
              <w:pStyle w:val="Compact"/>
              <w:spacing w:line="360" w:lineRule="auto"/>
              <w:jc w:val="right"/>
            </w:pPr>
            <w:r>
              <w:t>2.31</w:t>
            </w:r>
          </w:p>
        </w:tc>
        <w:tc>
          <w:tcPr>
            <w:tcW w:w="1062" w:type="pct"/>
          </w:tcPr>
          <w:p w14:paraId="722BA0D6" w14:textId="24A57166" w:rsidR="00FC49F4" w:rsidRDefault="00FC49F4" w:rsidP="00D56005">
            <w:pPr>
              <w:pStyle w:val="Compact"/>
              <w:spacing w:line="360" w:lineRule="auto"/>
              <w:jc w:val="right"/>
            </w:pPr>
            <w:r>
              <w:t>1.00</w:t>
            </w:r>
          </w:p>
        </w:tc>
        <w:tc>
          <w:tcPr>
            <w:tcW w:w="869" w:type="pct"/>
          </w:tcPr>
          <w:p w14:paraId="4D3EDDCA" w14:textId="0D7F92B3" w:rsidR="00FC49F4" w:rsidRDefault="00FC49F4" w:rsidP="00D56005">
            <w:pPr>
              <w:pStyle w:val="Compact"/>
              <w:spacing w:line="360" w:lineRule="auto"/>
              <w:jc w:val="right"/>
            </w:pPr>
            <w:r>
              <w:t>72</w:t>
            </w:r>
          </w:p>
        </w:tc>
      </w:tr>
      <w:tr w:rsidR="00FC49F4" w14:paraId="4556C171" w14:textId="77777777" w:rsidTr="00FC49F4">
        <w:tc>
          <w:tcPr>
            <w:tcW w:w="0" w:type="auto"/>
          </w:tcPr>
          <w:p w14:paraId="553F88F6" w14:textId="77777777" w:rsidR="00FC49F4" w:rsidRDefault="00FC49F4" w:rsidP="00D56005">
            <w:pPr>
              <w:pStyle w:val="Compact"/>
              <w:spacing w:line="360" w:lineRule="auto"/>
            </w:pPr>
            <w:r>
              <w:t>Excluding 2020</w:t>
            </w:r>
          </w:p>
        </w:tc>
        <w:tc>
          <w:tcPr>
            <w:tcW w:w="1017" w:type="pct"/>
          </w:tcPr>
          <w:p w14:paraId="01762774" w14:textId="77777777" w:rsidR="00FC49F4" w:rsidRDefault="00FC49F4" w:rsidP="00D56005">
            <w:pPr>
              <w:pStyle w:val="Compact"/>
              <w:spacing w:line="360" w:lineRule="auto"/>
              <w:jc w:val="right"/>
            </w:pPr>
            <w:r>
              <w:t>9.00%</w:t>
            </w:r>
          </w:p>
        </w:tc>
        <w:tc>
          <w:tcPr>
            <w:tcW w:w="869" w:type="pct"/>
          </w:tcPr>
          <w:p w14:paraId="2CD437B4" w14:textId="77777777" w:rsidR="00FC49F4" w:rsidRDefault="00FC49F4" w:rsidP="00D56005">
            <w:pPr>
              <w:pStyle w:val="Compact"/>
              <w:spacing w:line="360" w:lineRule="auto"/>
              <w:jc w:val="right"/>
            </w:pPr>
            <w:r>
              <w:t>5.43</w:t>
            </w:r>
          </w:p>
        </w:tc>
        <w:tc>
          <w:tcPr>
            <w:tcW w:w="1062" w:type="pct"/>
          </w:tcPr>
          <w:p w14:paraId="60ED6B52" w14:textId="04B84D53" w:rsidR="00FC49F4" w:rsidRDefault="00FC49F4" w:rsidP="00D56005">
            <w:pPr>
              <w:pStyle w:val="Compact"/>
              <w:spacing w:line="360" w:lineRule="auto"/>
              <w:jc w:val="right"/>
            </w:pPr>
            <w:r>
              <w:t>1.41</w:t>
            </w:r>
          </w:p>
        </w:tc>
        <w:tc>
          <w:tcPr>
            <w:tcW w:w="869" w:type="pct"/>
          </w:tcPr>
          <w:p w14:paraId="6469AE76" w14:textId="0EC61A58" w:rsidR="00FC49F4" w:rsidRDefault="00FC49F4" w:rsidP="00D56005">
            <w:pPr>
              <w:pStyle w:val="Compact"/>
              <w:spacing w:line="360" w:lineRule="auto"/>
              <w:jc w:val="right"/>
            </w:pPr>
            <w:r>
              <w:t>156</w:t>
            </w:r>
          </w:p>
        </w:tc>
      </w:tr>
    </w:tbl>
    <w:p w14:paraId="2C47E2BF" w14:textId="77777777" w:rsidR="00FA75C9" w:rsidRDefault="00000000" w:rsidP="00D56005">
      <w:pPr>
        <w:pStyle w:val="BodyText"/>
        <w:spacing w:line="360" w:lineRule="auto"/>
      </w:pPr>
      <w:r>
        <w:rPr>
          <w:b/>
        </w:rPr>
        <w:t>Figure 4. Subperiod Performance.</w:t>
      </w:r>
    </w:p>
    <w:p w14:paraId="5CD272EE" w14:textId="77777777" w:rsidR="00FA75C9" w:rsidRDefault="00000000" w:rsidP="00D56005">
      <w:pPr>
        <w:pStyle w:val="CaptionedFigure"/>
        <w:spacing w:line="360" w:lineRule="auto"/>
      </w:pPr>
      <w:r>
        <w:rPr>
          <w:noProof/>
        </w:rPr>
        <w:drawing>
          <wp:inline distT="0" distB="0" distL="0" distR="0" wp14:anchorId="7B6B07FF" wp14:editId="541ECBE1">
            <wp:extent cx="5334000" cy="2667000"/>
            <wp:effectExtent l="0" t="0" r="0" b="0"/>
            <wp:docPr id="794846875" name="Picture" descr="Figure 4"/>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5_subperiod_performance.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1090017C" w14:textId="77777777" w:rsidR="00FA75C9" w:rsidRDefault="00000000" w:rsidP="00D56005">
      <w:pPr>
        <w:pStyle w:val="ImageCaption"/>
        <w:spacing w:line="360" w:lineRule="auto"/>
      </w:pPr>
      <w:r>
        <w:t>Figure 4</w:t>
      </w:r>
    </w:p>
    <w:p w14:paraId="7F95B089" w14:textId="77777777" w:rsidR="00FA75C9" w:rsidRDefault="00000000" w:rsidP="00D56005">
      <w:pPr>
        <w:pStyle w:val="BodyText"/>
        <w:spacing w:line="360" w:lineRule="auto"/>
      </w:pPr>
      <w:r>
        <w:rPr>
          <w:i/>
        </w:rPr>
        <w:t>Figure 4. Annualized universe-minus-bottom-decile returns across major subperiods. Performance is positive in every subperiod and is strongest in 2021–2023; the 2018–2020 window is the weakest.</w:t>
      </w:r>
    </w:p>
    <w:p w14:paraId="2CA26458" w14:textId="77777777" w:rsidR="00FA75C9" w:rsidRDefault="00000000" w:rsidP="00D56005">
      <w:pPr>
        <w:pStyle w:val="BodyText"/>
        <w:spacing w:line="360" w:lineRule="auto"/>
      </w:pPr>
      <w:r>
        <w:rPr>
          <w:i/>
        </w:rPr>
        <w:t xml:space="preserve">Source: </w:t>
      </w:r>
      <w:r>
        <w:rPr>
          <w:rStyle w:val="VerbatimChar"/>
          <w:i/>
        </w:rPr>
        <w:t>outputs/sample_2010_2023/final_figures/05_subperiod_performance.png</w:t>
      </w:r>
      <w:r>
        <w:rPr>
          <w:i/>
        </w:rPr>
        <w:t>.</w:t>
      </w:r>
    </w:p>
    <w:p w14:paraId="6CF03F16" w14:textId="77777777" w:rsidR="00FA75C9" w:rsidRDefault="00000000" w:rsidP="00D56005">
      <w:pPr>
        <w:pStyle w:val="Heading3"/>
        <w:spacing w:line="360" w:lineRule="auto"/>
      </w:pPr>
      <w:bookmarkStart w:id="18" w:name="other-signals"/>
      <w:r>
        <w:t>7.3 Other signals</w:t>
      </w:r>
      <w:bookmarkEnd w:id="18"/>
    </w:p>
    <w:p w14:paraId="57B114E5" w14:textId="77777777" w:rsidR="00FA75C9" w:rsidRDefault="00000000" w:rsidP="00D56005">
      <w:pPr>
        <w:pStyle w:val="FirstParagraph"/>
        <w:spacing w:line="360" w:lineRule="auto"/>
      </w:pPr>
      <w:r>
        <w:t>IV skew (</w:t>
      </w:r>
      <w:r>
        <w:rPr>
          <w:rStyle w:val="VerbatimChar"/>
        </w:rPr>
        <w:t>iv_otm_put − iv_atm_call</w:t>
      </w:r>
      <w:r>
        <w:t>), the variance risk premium (</w:t>
      </w:r>
      <w:r>
        <w:rPr>
          <w:rStyle w:val="VerbatimChar"/>
        </w:rPr>
        <w:t>vrp</w:t>
      </w:r>
      <w:r>
        <w:t xml:space="preserve">), and the composite signal </w:t>
      </w:r>
      <w:r>
        <w:rPr>
          <w:rStyle w:val="VerbatimChar"/>
        </w:rPr>
        <w:t>(z(iv_spread) − z(iv_skew) − z(vrp)) / 3</w:t>
      </w:r>
      <w:r>
        <w:t xml:space="preserve"> were all tested as standalone alternatives and as comparison points. IV skew and VRP are weaker standalone signals across the leaderboard, with NW t-statistics that frequently fall below 1 in equal-weighted Q5–Q1 specifications. The composite has a positive but weaker performance than IV spread itself. IV spread therefore drives the final results, and the headline interpretation is built around it. Appendix Figure A1 ranks all tested strategies by Newey-West t-statistic.</w:t>
      </w:r>
    </w:p>
    <w:p w14:paraId="3F7B703B" w14:textId="77777777" w:rsidR="00FA75C9" w:rsidRDefault="00000000" w:rsidP="00D56005">
      <w:pPr>
        <w:pStyle w:val="Heading3"/>
        <w:spacing w:line="360" w:lineRule="auto"/>
      </w:pPr>
      <w:bookmarkStart w:id="19" w:name="Xd6d53152a59c4ec32d2fb27f397dd4c05d06443"/>
      <w:r>
        <w:lastRenderedPageBreak/>
        <w:t>7.4 Signal extensions and holding-period decay</w:t>
      </w:r>
      <w:bookmarkEnd w:id="19"/>
    </w:p>
    <w:p w14:paraId="7D8D5581" w14:textId="77777777" w:rsidR="00FA75C9" w:rsidRDefault="00000000" w:rsidP="00D56005">
      <w:pPr>
        <w:pStyle w:val="FirstParagraph"/>
        <w:spacing w:line="360" w:lineRule="auto"/>
      </w:pPr>
      <w:r>
        <w:t xml:space="preserve">To check whether the baseline IV-spread </w:t>
      </w:r>
      <w:r>
        <w:rPr>
          <w:i/>
        </w:rPr>
        <w:t>level</w:t>
      </w:r>
      <w:r>
        <w:t xml:space="preserve"> signal could be improved by simple feature engineering, four families of related signals were tested: changes in IV spread (one-month and three-month), put-IV change relative to call-IV change, level-plus-change combinations, persistent bottom-decile membership, and long-side call-strength variants. Three additional diagnostics were also produced: holding-period decay over months t+1 through t+3, lower-frequency (quarterly and semiannual) exclusion screens, and a split between newly-bottom and persistent-bottom names. The full tables are in the appendix and in the source CSVs; the summary points are below.</w:t>
      </w:r>
    </w:p>
    <w:p w14:paraId="32164068" w14:textId="77777777" w:rsidR="00FA75C9" w:rsidRDefault="00000000" w:rsidP="00D56005">
      <w:pPr>
        <w:pStyle w:val="BodyText"/>
        <w:spacing w:line="360" w:lineRule="auto"/>
      </w:pPr>
      <w:r>
        <w:rPr>
          <w:b/>
        </w:rPr>
        <w:t>Extensions do not displace the baseline.</w:t>
      </w:r>
      <w:r>
        <w:t xml:space="preserve"> The strongest universe-minus-bottom-tail strategies in the extension leaderboard are still the baseline </w:t>
      </w:r>
      <w:r>
        <w:rPr>
          <w:rStyle w:val="VerbatimChar"/>
        </w:rPr>
        <w:t>iv_spread_level</w:t>
      </w:r>
      <w:r>
        <w:t>. The $100M+ equal-weighted U-B quintile earns 4.92% with NW t = 5.93, and the $100M+ U-B decile earns 7.73% with NW t = 5.87. The all-stock U-B quintile earns 5.42% with NW t = 5.40. Change-based variants (one-month change, three-month change, relative put pressure) and combinations (level-plus-change) appear in the leaderboard but do not clearly dominate the baseline on return, t-statistic, factor alpha, and turnover jointly. The recommendation embedded in the diagnostics file is to keep the baseline unchanged.</w:t>
      </w:r>
    </w:p>
    <w:p w14:paraId="1AB1AA14" w14:textId="77777777" w:rsidR="00FA75C9" w:rsidRDefault="00000000" w:rsidP="00D56005">
      <w:pPr>
        <w:pStyle w:val="BodyText"/>
        <w:spacing w:line="360" w:lineRule="auto"/>
      </w:pPr>
      <w:r>
        <w:rPr>
          <w:b/>
        </w:rPr>
        <w:t>No reliable long-side signal.</w:t>
      </w:r>
      <w:r>
        <w:t xml:space="preserve"> A symmetric set of </w:t>
      </w:r>
      <w:r>
        <w:rPr>
          <w:i/>
        </w:rPr>
        <w:t>top-decile-minus-universe</w:t>
      </w:r>
      <w:r>
        <w:t xml:space="preserve"> sorts was run on the same extension grid. The best long-side result is roughly 0.33% annualized with NW t = 0.28. The conclusion is asymmetry: low IV spread identifies likely underperformers, but high IV spread does not identify reliable winners. This is consistent with the leg decomposition in Section 6 (top minus universe = −2.25%) and reinforces the bottom-tail framing of the paper.</w:t>
      </w:r>
    </w:p>
    <w:p w14:paraId="2CD68201" w14:textId="77777777" w:rsidR="00FA75C9" w:rsidRDefault="00000000" w:rsidP="00D56005">
      <w:pPr>
        <w:pStyle w:val="BodyText"/>
        <w:spacing w:line="360" w:lineRule="auto"/>
      </w:pPr>
      <w:r>
        <w:rPr>
          <w:b/>
        </w:rPr>
        <w:t>Predictability is short-horizon and concentrated in month t+1.</w:t>
      </w:r>
      <w:r>
        <w:t xml:space="preserve"> The all-stock U-B return is 7.57% at t+1 (NW t = 4.00), 1.95% at t+2-only (NW t = 0.84), and 3.93% at t+3-only (NW t = 2.15). In the $100M+ universe the picture is firmer further out: 7.73% at t+1 (NW t = 5.87), 3.70% at t+2-only (NW t = 2.31), and 4.37% at t+3-only (NW t = 3.44). The cumulative three-month $100M+ spread, scaled to an annual rate, is 5.16% with NW t = 4.22. The pattern is consistent with a short-horizon information component rather than a </w:t>
      </w:r>
      <w:r>
        <w:lastRenderedPageBreak/>
        <w:t>slowly-decaying risk premium, and the $100M+ result carries more into months two and three than the all-stock version.</w:t>
      </w:r>
    </w:p>
    <w:p w14:paraId="3C4637CE" w14:textId="77777777" w:rsidR="00FA75C9" w:rsidRDefault="00000000" w:rsidP="00D56005">
      <w:pPr>
        <w:pStyle w:val="BodyText"/>
        <w:spacing w:line="360" w:lineRule="auto"/>
      </w:pPr>
      <w:r>
        <w:rPr>
          <w:b/>
        </w:rPr>
        <w:t>Newly-bottom names drive the result.</w:t>
      </w:r>
      <w:r>
        <w:t xml:space="preserve"> Splitting the bottom decile into stocks that are </w:t>
      </w:r>
      <w:r>
        <w:rPr>
          <w:i/>
        </w:rPr>
        <w:t>newly</w:t>
      </w:r>
      <w:r>
        <w:t xml:space="preserve"> in the bottom (not in the bottom decile last month) versus </w:t>
      </w:r>
      <w:r>
        <w:rPr>
          <w:i/>
        </w:rPr>
        <w:t>persistently</w:t>
      </w:r>
      <w:r>
        <w:t xml:space="preserve"> in the bottom (in the bottom for two consecutive months) is informative. In the all-stock universe, universe-minus-newly-bottom earns 8.10% (NW t = 4.57) while universe-minus-persistent-bottom earns 4.90% (NW t = 1.31). In the $100M+ universe, both legs are economically meaningful but the newly-bottom leg is sharper: 7.57% with NW t = 6.19, versus 6.80% with NW t = 2.70 for the persistent leg. This is consistent with the underperformance reflecting fresh negative option-market information or short-lived informed trading rather than a chronic-risk premium on names that always sit in the high-put-IV tail.</w:t>
      </w:r>
    </w:p>
    <w:p w14:paraId="6CD7B2B3" w14:textId="77777777" w:rsidR="00FA75C9" w:rsidRDefault="00000000" w:rsidP="00D56005">
      <w:pPr>
        <w:pStyle w:val="BodyText"/>
        <w:spacing w:line="360" w:lineRule="auto"/>
      </w:pPr>
      <w:r>
        <w:rPr>
          <w:b/>
        </w:rPr>
        <w:t>Quarterly exclusion is a defensible compromise; semiannual is not.</w:t>
      </w:r>
      <w:r>
        <w:t xml:space="preserve"> The long-only exclusion improvement decays with rebalancing frequency. In the all-stock universe the monthly improvement is 0.84% (NW t = 4.00), the quarterly improvement is 0.57% (NW t = 2.67), and the semiannual improvement is 0.29% (NW t = 1.19). In the $100M+ universe the monthly improvement is 0.86% (NW t = 5.87), quarterly is 0.61% (NW t = 4.61), and semiannual is 0.32% (NW t = 1.99). Quarterly exclusion preserves the economic sign and a meaningful share of the statistical strength while lowering the rebalancing frequency; semiannual exclusion weakens markedly. For a manager who wants to rebalance less than monthly, quarterly is the supportable choice.</w:t>
      </w:r>
    </w:p>
    <w:p w14:paraId="29EF6734" w14:textId="77777777" w:rsidR="00FA75C9" w:rsidRDefault="00000000" w:rsidP="00D56005">
      <w:pPr>
        <w:pStyle w:val="BodyText"/>
        <w:spacing w:line="360" w:lineRule="auto"/>
      </w:pPr>
      <w:r>
        <w:rPr>
          <w:b/>
        </w:rPr>
        <w:t>Figure 5. IV-Spread Holding-Period Decay.</w:t>
      </w:r>
    </w:p>
    <w:p w14:paraId="6056F833" w14:textId="77777777" w:rsidR="00FA75C9" w:rsidRDefault="00000000" w:rsidP="00D56005">
      <w:pPr>
        <w:pStyle w:val="CaptionedFigure"/>
        <w:spacing w:line="360" w:lineRule="auto"/>
      </w:pPr>
      <w:r>
        <w:rPr>
          <w:noProof/>
        </w:rPr>
        <w:lastRenderedPageBreak/>
        <w:drawing>
          <wp:inline distT="0" distB="0" distL="0" distR="0" wp14:anchorId="3C805586" wp14:editId="225DC6E7">
            <wp:extent cx="5334000" cy="2667000"/>
            <wp:effectExtent l="0" t="0" r="0" b="0"/>
            <wp:docPr id="1905174844" name="Picture" descr="Figure 5"/>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iv_spread_holding_period_decay.png"/>
                    <pic:cNvPicPr>
                      <a:picLocks noChangeAspect="1" noChangeArrowheads="1"/>
                    </pic:cNvPicPr>
                  </pic:nvPicPr>
                  <pic:blipFill>
                    <a:blip r:embed="rId11"/>
                    <a:stretch>
                      <a:fillRect/>
                    </a:stretch>
                  </pic:blipFill>
                  <pic:spPr bwMode="auto">
                    <a:xfrm>
                      <a:off x="0" y="0"/>
                      <a:ext cx="5334000" cy="2667000"/>
                    </a:xfrm>
                    <a:prstGeom prst="rect">
                      <a:avLst/>
                    </a:prstGeom>
                    <a:noFill/>
                    <a:ln w="9525">
                      <a:noFill/>
                      <a:headEnd/>
                      <a:tailEnd/>
                    </a:ln>
                  </pic:spPr>
                </pic:pic>
              </a:graphicData>
            </a:graphic>
          </wp:inline>
        </w:drawing>
      </w:r>
    </w:p>
    <w:p w14:paraId="037CB338" w14:textId="77777777" w:rsidR="00FA75C9" w:rsidRDefault="00000000" w:rsidP="00D56005">
      <w:pPr>
        <w:pStyle w:val="ImageCaption"/>
        <w:spacing w:line="360" w:lineRule="auto"/>
      </w:pPr>
      <w:r>
        <w:t>Figure 5</w:t>
      </w:r>
    </w:p>
    <w:p w14:paraId="61F41407" w14:textId="77777777" w:rsidR="00FA75C9" w:rsidRDefault="00000000" w:rsidP="00D56005">
      <w:pPr>
        <w:pStyle w:val="BodyText"/>
        <w:spacing w:line="360" w:lineRule="auto"/>
      </w:pPr>
      <w:r>
        <w:rPr>
          <w:i/>
        </w:rPr>
        <w:t>Figure 5. Annualized universe-minus-bottom-decile IV-spread returns at the t+1, t+2-only, and t+3-only horizons, all-stock and $100M+ equal-weighted. Predictability is concentrated in t+1; the $100M+ specification carries more into months 2 and 3.</w:t>
      </w:r>
    </w:p>
    <w:p w14:paraId="6BB14295" w14:textId="77777777" w:rsidR="00FA75C9" w:rsidRDefault="00000000" w:rsidP="00D56005">
      <w:pPr>
        <w:pStyle w:val="BodyText"/>
        <w:spacing w:line="360" w:lineRule="auto"/>
      </w:pPr>
      <w:r>
        <w:rPr>
          <w:i/>
        </w:rPr>
        <w:t xml:space="preserve">Source: </w:t>
      </w:r>
      <w:r>
        <w:rPr>
          <w:rStyle w:val="VerbatimChar"/>
          <w:i/>
        </w:rPr>
        <w:t>outputs/sample_2010_2023/charts/iv_spread_holding_period_decay.png</w:t>
      </w:r>
      <w:r>
        <w:rPr>
          <w:i/>
        </w:rPr>
        <w:t>.</w:t>
      </w:r>
    </w:p>
    <w:p w14:paraId="68B2AAAF" w14:textId="294AEBAB" w:rsidR="00CD0AF4" w:rsidRDefault="00000000" w:rsidP="00D56005">
      <w:pPr>
        <w:pStyle w:val="BodyText"/>
        <w:spacing w:line="360" w:lineRule="auto"/>
      </w:pPr>
      <w:r>
        <w:t xml:space="preserve">The overall reading of the extensions is straightforward. The baseline low-IV-spread bottom-tail signal remains the cleanest core finding. Change-based, persistence, and long-side variants are useful as robustness checks but do not replace it. The signal is asymmetric, short-horizon, and concentrated in </w:t>
      </w:r>
      <w:proofErr w:type="gramStart"/>
      <w:r>
        <w:t>newly-arriving</w:t>
      </w:r>
      <w:proofErr w:type="gramEnd"/>
      <w:r>
        <w:t xml:space="preserve"> bottom-tail names, and quarterly rebalancing is the most defensible lower-frequency variant for the long-only application.</w:t>
      </w:r>
    </w:p>
    <w:p w14:paraId="3CEC38A1" w14:textId="2677C93A" w:rsidR="00CD0AF4" w:rsidRDefault="00CD0AF4" w:rsidP="00CD0AF4">
      <w:pPr>
        <w:pStyle w:val="Heading3"/>
      </w:pPr>
      <w:r w:rsidRPr="00CD0AF4">
        <w:t xml:space="preserve">7.5 Outlier Robustness: </w:t>
      </w:r>
      <w:proofErr w:type="spellStart"/>
      <w:r w:rsidRPr="00CD0AF4">
        <w:t>Winsorizing</w:t>
      </w:r>
      <w:proofErr w:type="spellEnd"/>
      <w:r w:rsidRPr="00CD0AF4">
        <w:t xml:space="preserve"> and Trimming Returns and Signals</w:t>
      </w:r>
    </w:p>
    <w:p w14:paraId="4DD30CE2" w14:textId="0BF2DC1A" w:rsidR="00F5641F" w:rsidRDefault="00F5641F" w:rsidP="00F5641F">
      <w:pPr>
        <w:pStyle w:val="BodyText"/>
        <w:spacing w:line="360" w:lineRule="auto"/>
      </w:pPr>
      <w:r>
        <w:t xml:space="preserve">A final concern is that the bottom-tail result could be driven by a small number of extreme stock-month returns or by extreme option-implied signal observations. To test this, I repeat the baseline decile sort after </w:t>
      </w:r>
      <w:proofErr w:type="spellStart"/>
      <w:r>
        <w:t>winsorizing</w:t>
      </w:r>
      <w:proofErr w:type="spellEnd"/>
      <w:r>
        <w:t xml:space="preserve"> or trimming both future stock returns and the IV-spread signal within month. The baseline all-stock equal-weighted universe-minus-D1 return is 7.57% with a Newey-West t-statistic of 4.00. The result is not weakened by outlier treatment: return </w:t>
      </w:r>
      <w:proofErr w:type="spellStart"/>
      <w:r>
        <w:t>winsorization</w:t>
      </w:r>
      <w:proofErr w:type="spellEnd"/>
      <w:r>
        <w:t xml:space="preserve"> at the 1st and 99th percentiles </w:t>
      </w:r>
      <w:proofErr w:type="gramStart"/>
      <w:r>
        <w:t>produces</w:t>
      </w:r>
      <w:proofErr w:type="gramEnd"/>
      <w:r>
        <w:t xml:space="preserve"> a 9.75% </w:t>
      </w:r>
      <w:r>
        <w:lastRenderedPageBreak/>
        <w:t>annualized spread with a Newey-West t-statistic of 5.87, return trimming produces a 10.36% spread with a Newey-West t-statistic of 7.09, and signal trimming produces a 7.47% spread with a Newey-West t-statistic of 4.52.</w:t>
      </w:r>
    </w:p>
    <w:p w14:paraId="7C6719E9" w14:textId="7EF28CC9" w:rsidR="00F5641F" w:rsidRDefault="00F5641F" w:rsidP="00D56005">
      <w:pPr>
        <w:pStyle w:val="BodyText"/>
        <w:spacing w:line="360" w:lineRule="auto"/>
      </w:pPr>
      <w:r>
        <w:t>This suggests that the main bottom-tail result is not driven by a few extreme stock returns or by unusual IV-spread observations. The D10 pattern also remains weak after outlier treatment: D10-minus-universe is -2.25% in the baseline and remains negative after both signal and return trimming. This supports the asymmetric interpretation of the signal. Low IV-spread names reliably identify underperformers, but high IV-spread names do not reliably identify outperformers.</w:t>
      </w:r>
    </w:p>
    <w:p w14:paraId="5C2EC894" w14:textId="77777777" w:rsidR="00FA75C9" w:rsidRDefault="00000000" w:rsidP="00D56005">
      <w:pPr>
        <w:pStyle w:val="Heading2"/>
        <w:spacing w:line="360" w:lineRule="auto"/>
      </w:pPr>
      <w:bookmarkStart w:id="20" w:name="Xdc55d2e03f13302afa685b401aa33cce8d536d1"/>
      <w:bookmarkStart w:id="21" w:name="_Toc228955549"/>
      <w:r>
        <w:t>8. Bottom-Tail Characteristics and Economic Interpretation</w:t>
      </w:r>
      <w:bookmarkEnd w:id="20"/>
      <w:bookmarkEnd w:id="21"/>
    </w:p>
    <w:p w14:paraId="09D1B0E2" w14:textId="77777777" w:rsidR="00FA75C9" w:rsidRDefault="00000000" w:rsidP="00D56005">
      <w:pPr>
        <w:pStyle w:val="FirstParagraph"/>
        <w:spacing w:line="360" w:lineRule="auto"/>
      </w:pPr>
      <w:r>
        <w:t>If the result reflects bottom-tail negative selection, the bottom decile should look characteristically different from the universe, and in ways that are consistent with downside-risk concerns. The data are consistent with this reading.</w:t>
      </w:r>
    </w:p>
    <w:p w14:paraId="4C7B7CC8" w14:textId="77777777" w:rsidR="00FA75C9" w:rsidRDefault="00000000" w:rsidP="00D56005">
      <w:pPr>
        <w:pStyle w:val="BodyText"/>
        <w:spacing w:line="360" w:lineRule="auto"/>
      </w:pPr>
      <w:r>
        <w:t>Average market capitalization in the universe is roughly $9.49 billion, while the bottom IV-spread decile averages roughly $1.02 billion, a difference of about $8.47 billion. The bottom decile is therefore meaningfully smaller than the universe, which motivates the $100M+ robustness check; reassuringly, the result is if anything sharper inside that filter.</w:t>
      </w:r>
    </w:p>
    <w:p w14:paraId="386EE4B7" w14:textId="77777777" w:rsidR="00FA75C9" w:rsidRDefault="00000000" w:rsidP="00D56005">
      <w:pPr>
        <w:pStyle w:val="BodyText"/>
        <w:spacing w:line="360" w:lineRule="auto"/>
      </w:pPr>
      <w:r>
        <w:t>The bottom decile is also more volatile, both implied and realized, and it has unusually elevated put IV. ATM call IV averages 0.91 in the bottom decile versus 0.66 in the universe; ATM put IV averages 1.36 in the bottom decile versus 0.61 in the universe; IV skew averages 0.39 versus 0.05; trailing realized variance averages 0.43 versus 0.28; and the variance risk premium averages 1.05 versus 0.71. By construction, the IV spread itself averages −0.45 in the bottom decile versus +0.05 in the universe.</w:t>
      </w:r>
    </w:p>
    <w:p w14:paraId="11491514" w14:textId="77777777" w:rsidR="00FA75C9" w:rsidRDefault="00000000" w:rsidP="00D56005">
      <w:pPr>
        <w:pStyle w:val="BodyText"/>
        <w:spacing w:line="360" w:lineRule="auto"/>
      </w:pPr>
      <w:r>
        <w:t xml:space="preserve">Taken together, the bottom IV-spread decile is populated by smaller, more volatile names with sharply elevated put-side option premia. This is the kind of cross-section in which one would expect downside-risk concerns or asymmetric protection demand to be priced, and it is the part of the cross-section that subsequently underperforms. Appendix Figure A3 </w:t>
      </w:r>
      <w:proofErr w:type="spellStart"/>
      <w:r>
        <w:t>visualises</w:t>
      </w:r>
      <w:proofErr w:type="spellEnd"/>
      <w:r>
        <w:t xml:space="preserve"> these characteristic differences.</w:t>
      </w:r>
    </w:p>
    <w:p w14:paraId="435C4BD6" w14:textId="628685B6" w:rsidR="00A86B11" w:rsidRDefault="00A86B11" w:rsidP="00A86B11">
      <w:pPr>
        <w:pStyle w:val="BodyText"/>
        <w:spacing w:line="360" w:lineRule="auto"/>
      </w:pPr>
      <w:r>
        <w:lastRenderedPageBreak/>
        <w:t>These characteristics suggest that the IV-spread signal is best interpreted as a downside-information or hedging-pressure signal rather than as a broad option-market sentiment factor. The bottom decile is not simply a group of low-volatility or neglected stocks; it contains names with much higher put implied volatility relative to calls, higher realized variance, and smaller average market capitalization. This is consistent with investors demanding downside protection or informed traders expressing negative views through the options market.</w:t>
      </w:r>
      <w:r>
        <w:t xml:space="preserve"> </w:t>
      </w:r>
      <w:r>
        <w:t xml:space="preserve">The newly-bottom versus persistent-bottom decomposition adds further evidence on the mechanism. Stocks that newly enter the bottom IV-spread decile underperform the universe by 8.10% annualized, with a Newey-West t-statistic of 4.57, while persistent bottom-decile names show weaker and less precise underperformance. In the $100M+ universe, </w:t>
      </w:r>
      <w:proofErr w:type="gramStart"/>
      <w:r>
        <w:t>newly-bottom</w:t>
      </w:r>
      <w:proofErr w:type="gramEnd"/>
      <w:r>
        <w:t xml:space="preserve"> names also show stronger underperformance than persistent names. This pattern is more consistent with fresh negative information or sudden hedging demand than with a slow-moving risk premium. In other words, the signal appears to matter most when a stock newly moves into the low IV-spread tail, suggesting that the option market is capturing a recent deterioration in downside expectations.</w:t>
      </w:r>
    </w:p>
    <w:p w14:paraId="3BBA5684" w14:textId="77777777" w:rsidR="00FA75C9" w:rsidRDefault="00000000" w:rsidP="00D56005">
      <w:pPr>
        <w:pStyle w:val="BodyText"/>
        <w:spacing w:line="360" w:lineRule="auto"/>
      </w:pPr>
      <w:r>
        <w:rPr>
          <w:b/>
        </w:rPr>
        <w:t>Table 5. Selected characteristics: bottom decile versus universe, all-stock specification.</w:t>
      </w:r>
    </w:p>
    <w:tbl>
      <w:tblPr>
        <w:tblStyle w:val="Table"/>
        <w:tblW w:w="0" w:type="pct"/>
        <w:tblLook w:val="07E0" w:firstRow="1" w:lastRow="1" w:firstColumn="1" w:lastColumn="1" w:noHBand="1" w:noVBand="1"/>
      </w:tblPr>
      <w:tblGrid>
        <w:gridCol w:w="3384"/>
        <w:gridCol w:w="1751"/>
        <w:gridCol w:w="2259"/>
        <w:gridCol w:w="2132"/>
      </w:tblGrid>
      <w:tr w:rsidR="00FA75C9" w14:paraId="1E498F64" w14:textId="77777777">
        <w:tc>
          <w:tcPr>
            <w:tcW w:w="0" w:type="auto"/>
            <w:tcBorders>
              <w:bottom w:val="single" w:sz="0" w:space="0" w:color="auto"/>
            </w:tcBorders>
            <w:vAlign w:val="bottom"/>
          </w:tcPr>
          <w:p w14:paraId="7695CCE8" w14:textId="77777777" w:rsidR="00FA75C9" w:rsidRDefault="00000000" w:rsidP="00D56005">
            <w:pPr>
              <w:pStyle w:val="Compact"/>
              <w:spacing w:line="360" w:lineRule="auto"/>
            </w:pPr>
            <w:r>
              <w:t>Characteristic</w:t>
            </w:r>
          </w:p>
        </w:tc>
        <w:tc>
          <w:tcPr>
            <w:tcW w:w="0" w:type="auto"/>
            <w:tcBorders>
              <w:bottom w:val="single" w:sz="0" w:space="0" w:color="auto"/>
            </w:tcBorders>
            <w:vAlign w:val="bottom"/>
          </w:tcPr>
          <w:p w14:paraId="6BE2E101" w14:textId="77777777" w:rsidR="00FA75C9" w:rsidRDefault="00000000" w:rsidP="00D56005">
            <w:pPr>
              <w:pStyle w:val="Compact"/>
              <w:spacing w:line="360" w:lineRule="auto"/>
              <w:jc w:val="right"/>
            </w:pPr>
            <w:r>
              <w:t>Universe mean</w:t>
            </w:r>
          </w:p>
        </w:tc>
        <w:tc>
          <w:tcPr>
            <w:tcW w:w="0" w:type="auto"/>
            <w:tcBorders>
              <w:bottom w:val="single" w:sz="0" w:space="0" w:color="auto"/>
            </w:tcBorders>
            <w:vAlign w:val="bottom"/>
          </w:tcPr>
          <w:p w14:paraId="79DEE5CF" w14:textId="77777777" w:rsidR="00FA75C9" w:rsidRDefault="00000000" w:rsidP="00D56005">
            <w:pPr>
              <w:pStyle w:val="Compact"/>
              <w:spacing w:line="360" w:lineRule="auto"/>
              <w:jc w:val="right"/>
            </w:pPr>
            <w:r>
              <w:t>Bottom decile mean</w:t>
            </w:r>
          </w:p>
        </w:tc>
        <w:tc>
          <w:tcPr>
            <w:tcW w:w="0" w:type="auto"/>
            <w:tcBorders>
              <w:bottom w:val="single" w:sz="0" w:space="0" w:color="auto"/>
            </w:tcBorders>
            <w:vAlign w:val="bottom"/>
          </w:tcPr>
          <w:p w14:paraId="77233F8A" w14:textId="77777777" w:rsidR="00FA75C9" w:rsidRDefault="00000000" w:rsidP="00D56005">
            <w:pPr>
              <w:pStyle w:val="Compact"/>
              <w:spacing w:line="360" w:lineRule="auto"/>
              <w:jc w:val="right"/>
            </w:pPr>
            <w:r>
              <w:t>Bottom − Universe</w:t>
            </w:r>
          </w:p>
        </w:tc>
      </w:tr>
      <w:tr w:rsidR="00FA75C9" w14:paraId="38E4B56D" w14:textId="77777777">
        <w:tc>
          <w:tcPr>
            <w:tcW w:w="0" w:type="auto"/>
          </w:tcPr>
          <w:p w14:paraId="070EA55B" w14:textId="77777777" w:rsidR="00FA75C9" w:rsidRDefault="00000000" w:rsidP="00D56005">
            <w:pPr>
              <w:pStyle w:val="Compact"/>
              <w:spacing w:line="360" w:lineRule="auto"/>
            </w:pPr>
            <w:r>
              <w:t>Market cap (USD millions)</w:t>
            </w:r>
          </w:p>
        </w:tc>
        <w:tc>
          <w:tcPr>
            <w:tcW w:w="0" w:type="auto"/>
          </w:tcPr>
          <w:p w14:paraId="57EA461C" w14:textId="77777777" w:rsidR="00FA75C9" w:rsidRDefault="00000000" w:rsidP="00D56005">
            <w:pPr>
              <w:pStyle w:val="Compact"/>
              <w:spacing w:line="360" w:lineRule="auto"/>
              <w:jc w:val="right"/>
            </w:pPr>
            <w:r>
              <w:t>9,493.37</w:t>
            </w:r>
          </w:p>
        </w:tc>
        <w:tc>
          <w:tcPr>
            <w:tcW w:w="0" w:type="auto"/>
          </w:tcPr>
          <w:p w14:paraId="519086E6" w14:textId="77777777" w:rsidR="00FA75C9" w:rsidRDefault="00000000" w:rsidP="00D56005">
            <w:pPr>
              <w:pStyle w:val="Compact"/>
              <w:spacing w:line="360" w:lineRule="auto"/>
              <w:jc w:val="right"/>
            </w:pPr>
            <w:r>
              <w:t>1,019.88</w:t>
            </w:r>
          </w:p>
        </w:tc>
        <w:tc>
          <w:tcPr>
            <w:tcW w:w="0" w:type="auto"/>
          </w:tcPr>
          <w:p w14:paraId="30940085" w14:textId="77777777" w:rsidR="00FA75C9" w:rsidRDefault="00000000" w:rsidP="00D56005">
            <w:pPr>
              <w:pStyle w:val="Compact"/>
              <w:spacing w:line="360" w:lineRule="auto"/>
              <w:jc w:val="right"/>
            </w:pPr>
            <w:r>
              <w:t>−8,473.49</w:t>
            </w:r>
          </w:p>
        </w:tc>
      </w:tr>
      <w:tr w:rsidR="00FA75C9" w14:paraId="0B794B6E" w14:textId="77777777">
        <w:tc>
          <w:tcPr>
            <w:tcW w:w="0" w:type="auto"/>
          </w:tcPr>
          <w:p w14:paraId="3910D889" w14:textId="77777777" w:rsidR="00FA75C9" w:rsidRDefault="00000000" w:rsidP="00D56005">
            <w:pPr>
              <w:pStyle w:val="Compact"/>
              <w:spacing w:line="360" w:lineRule="auto"/>
            </w:pPr>
            <w:r>
              <w:t>ATM call IV</w:t>
            </w:r>
          </w:p>
        </w:tc>
        <w:tc>
          <w:tcPr>
            <w:tcW w:w="0" w:type="auto"/>
          </w:tcPr>
          <w:p w14:paraId="564FD39D" w14:textId="77777777" w:rsidR="00FA75C9" w:rsidRDefault="00000000" w:rsidP="00D56005">
            <w:pPr>
              <w:pStyle w:val="Compact"/>
              <w:spacing w:line="360" w:lineRule="auto"/>
              <w:jc w:val="right"/>
            </w:pPr>
            <w:r>
              <w:t>0.6622</w:t>
            </w:r>
          </w:p>
        </w:tc>
        <w:tc>
          <w:tcPr>
            <w:tcW w:w="0" w:type="auto"/>
          </w:tcPr>
          <w:p w14:paraId="4F7611B0" w14:textId="77777777" w:rsidR="00FA75C9" w:rsidRDefault="00000000" w:rsidP="00D56005">
            <w:pPr>
              <w:pStyle w:val="Compact"/>
              <w:spacing w:line="360" w:lineRule="auto"/>
              <w:jc w:val="right"/>
            </w:pPr>
            <w:r>
              <w:t>0.9064</w:t>
            </w:r>
          </w:p>
        </w:tc>
        <w:tc>
          <w:tcPr>
            <w:tcW w:w="0" w:type="auto"/>
          </w:tcPr>
          <w:p w14:paraId="7F917D1A" w14:textId="77777777" w:rsidR="00FA75C9" w:rsidRDefault="00000000" w:rsidP="00D56005">
            <w:pPr>
              <w:pStyle w:val="Compact"/>
              <w:spacing w:line="360" w:lineRule="auto"/>
              <w:jc w:val="right"/>
            </w:pPr>
            <w:r>
              <w:t>+0.2442</w:t>
            </w:r>
          </w:p>
        </w:tc>
      </w:tr>
      <w:tr w:rsidR="00FA75C9" w14:paraId="04126FB6" w14:textId="77777777">
        <w:tc>
          <w:tcPr>
            <w:tcW w:w="0" w:type="auto"/>
          </w:tcPr>
          <w:p w14:paraId="474F6D8A" w14:textId="77777777" w:rsidR="00FA75C9" w:rsidRDefault="00000000" w:rsidP="00D56005">
            <w:pPr>
              <w:pStyle w:val="Compact"/>
              <w:spacing w:line="360" w:lineRule="auto"/>
            </w:pPr>
            <w:r>
              <w:t>ATM put IV</w:t>
            </w:r>
          </w:p>
        </w:tc>
        <w:tc>
          <w:tcPr>
            <w:tcW w:w="0" w:type="auto"/>
          </w:tcPr>
          <w:p w14:paraId="4D2A11E9" w14:textId="77777777" w:rsidR="00FA75C9" w:rsidRDefault="00000000" w:rsidP="00D56005">
            <w:pPr>
              <w:pStyle w:val="Compact"/>
              <w:spacing w:line="360" w:lineRule="auto"/>
              <w:jc w:val="right"/>
            </w:pPr>
            <w:r>
              <w:t>0.6134</w:t>
            </w:r>
          </w:p>
        </w:tc>
        <w:tc>
          <w:tcPr>
            <w:tcW w:w="0" w:type="auto"/>
          </w:tcPr>
          <w:p w14:paraId="61FDFC1F" w14:textId="77777777" w:rsidR="00FA75C9" w:rsidRDefault="00000000" w:rsidP="00D56005">
            <w:pPr>
              <w:pStyle w:val="Compact"/>
              <w:spacing w:line="360" w:lineRule="auto"/>
              <w:jc w:val="right"/>
            </w:pPr>
            <w:r>
              <w:t>1.3585</w:t>
            </w:r>
          </w:p>
        </w:tc>
        <w:tc>
          <w:tcPr>
            <w:tcW w:w="0" w:type="auto"/>
          </w:tcPr>
          <w:p w14:paraId="67BE215A" w14:textId="77777777" w:rsidR="00FA75C9" w:rsidRDefault="00000000" w:rsidP="00D56005">
            <w:pPr>
              <w:pStyle w:val="Compact"/>
              <w:spacing w:line="360" w:lineRule="auto"/>
              <w:jc w:val="right"/>
            </w:pPr>
            <w:r>
              <w:t>+0.7451</w:t>
            </w:r>
          </w:p>
        </w:tc>
      </w:tr>
      <w:tr w:rsidR="00FA75C9" w14:paraId="7DFC2BA8" w14:textId="77777777">
        <w:tc>
          <w:tcPr>
            <w:tcW w:w="0" w:type="auto"/>
          </w:tcPr>
          <w:p w14:paraId="52544FD0" w14:textId="77777777" w:rsidR="00FA75C9" w:rsidRDefault="00000000" w:rsidP="00D56005">
            <w:pPr>
              <w:pStyle w:val="Compact"/>
              <w:spacing w:line="360" w:lineRule="auto"/>
            </w:pPr>
            <w:r>
              <w:t>IV spread</w:t>
            </w:r>
          </w:p>
        </w:tc>
        <w:tc>
          <w:tcPr>
            <w:tcW w:w="0" w:type="auto"/>
          </w:tcPr>
          <w:p w14:paraId="0786CF55" w14:textId="77777777" w:rsidR="00FA75C9" w:rsidRDefault="00000000" w:rsidP="00D56005">
            <w:pPr>
              <w:pStyle w:val="Compact"/>
              <w:spacing w:line="360" w:lineRule="auto"/>
              <w:jc w:val="right"/>
            </w:pPr>
            <w:r>
              <w:t>0.0488</w:t>
            </w:r>
          </w:p>
        </w:tc>
        <w:tc>
          <w:tcPr>
            <w:tcW w:w="0" w:type="auto"/>
          </w:tcPr>
          <w:p w14:paraId="59CCB184" w14:textId="77777777" w:rsidR="00FA75C9" w:rsidRDefault="00000000" w:rsidP="00D56005">
            <w:pPr>
              <w:pStyle w:val="Compact"/>
              <w:spacing w:line="360" w:lineRule="auto"/>
              <w:jc w:val="right"/>
            </w:pPr>
            <w:r>
              <w:t>−0.4521</w:t>
            </w:r>
          </w:p>
        </w:tc>
        <w:tc>
          <w:tcPr>
            <w:tcW w:w="0" w:type="auto"/>
          </w:tcPr>
          <w:p w14:paraId="1CC2F34A" w14:textId="77777777" w:rsidR="00FA75C9" w:rsidRDefault="00000000" w:rsidP="00D56005">
            <w:pPr>
              <w:pStyle w:val="Compact"/>
              <w:spacing w:line="360" w:lineRule="auto"/>
              <w:jc w:val="right"/>
            </w:pPr>
            <w:r>
              <w:t>−0.5009</w:t>
            </w:r>
          </w:p>
        </w:tc>
      </w:tr>
      <w:tr w:rsidR="00FA75C9" w14:paraId="0C81A38B" w14:textId="77777777">
        <w:tc>
          <w:tcPr>
            <w:tcW w:w="0" w:type="auto"/>
          </w:tcPr>
          <w:p w14:paraId="4E23BAB3" w14:textId="77777777" w:rsidR="00FA75C9" w:rsidRDefault="00000000" w:rsidP="00D56005">
            <w:pPr>
              <w:pStyle w:val="Compact"/>
              <w:spacing w:line="360" w:lineRule="auto"/>
            </w:pPr>
            <w:r>
              <w:t>IV skew</w:t>
            </w:r>
          </w:p>
        </w:tc>
        <w:tc>
          <w:tcPr>
            <w:tcW w:w="0" w:type="auto"/>
          </w:tcPr>
          <w:p w14:paraId="4BBE49CE" w14:textId="77777777" w:rsidR="00FA75C9" w:rsidRDefault="00000000" w:rsidP="00D56005">
            <w:pPr>
              <w:pStyle w:val="Compact"/>
              <w:spacing w:line="360" w:lineRule="auto"/>
              <w:jc w:val="right"/>
            </w:pPr>
            <w:r>
              <w:t>0.0535</w:t>
            </w:r>
          </w:p>
        </w:tc>
        <w:tc>
          <w:tcPr>
            <w:tcW w:w="0" w:type="auto"/>
          </w:tcPr>
          <w:p w14:paraId="5E224970" w14:textId="77777777" w:rsidR="00FA75C9" w:rsidRDefault="00000000" w:rsidP="00D56005">
            <w:pPr>
              <w:pStyle w:val="Compact"/>
              <w:spacing w:line="360" w:lineRule="auto"/>
              <w:jc w:val="right"/>
            </w:pPr>
            <w:r>
              <w:t>0.3856</w:t>
            </w:r>
          </w:p>
        </w:tc>
        <w:tc>
          <w:tcPr>
            <w:tcW w:w="0" w:type="auto"/>
          </w:tcPr>
          <w:p w14:paraId="64683337" w14:textId="77777777" w:rsidR="00FA75C9" w:rsidRDefault="00000000" w:rsidP="00D56005">
            <w:pPr>
              <w:pStyle w:val="Compact"/>
              <w:spacing w:line="360" w:lineRule="auto"/>
              <w:jc w:val="right"/>
            </w:pPr>
            <w:r>
              <w:t>+0.3322</w:t>
            </w:r>
          </w:p>
        </w:tc>
      </w:tr>
      <w:tr w:rsidR="00FA75C9" w14:paraId="37E4AC86" w14:textId="77777777">
        <w:tc>
          <w:tcPr>
            <w:tcW w:w="0" w:type="auto"/>
          </w:tcPr>
          <w:p w14:paraId="646BC7D0" w14:textId="77777777" w:rsidR="00FA75C9" w:rsidRDefault="00000000" w:rsidP="00D56005">
            <w:pPr>
              <w:pStyle w:val="Compact"/>
              <w:spacing w:line="360" w:lineRule="auto"/>
            </w:pPr>
            <w:r>
              <w:t>Realized variance (annualized)</w:t>
            </w:r>
          </w:p>
        </w:tc>
        <w:tc>
          <w:tcPr>
            <w:tcW w:w="0" w:type="auto"/>
          </w:tcPr>
          <w:p w14:paraId="15DD58DF" w14:textId="77777777" w:rsidR="00FA75C9" w:rsidRDefault="00000000" w:rsidP="00D56005">
            <w:pPr>
              <w:pStyle w:val="Compact"/>
              <w:spacing w:line="360" w:lineRule="auto"/>
              <w:jc w:val="right"/>
            </w:pPr>
            <w:r>
              <w:t>0.2796</w:t>
            </w:r>
          </w:p>
        </w:tc>
        <w:tc>
          <w:tcPr>
            <w:tcW w:w="0" w:type="auto"/>
          </w:tcPr>
          <w:p w14:paraId="67A72279" w14:textId="77777777" w:rsidR="00FA75C9" w:rsidRDefault="00000000" w:rsidP="00D56005">
            <w:pPr>
              <w:pStyle w:val="Compact"/>
              <w:spacing w:line="360" w:lineRule="auto"/>
              <w:jc w:val="right"/>
            </w:pPr>
            <w:r>
              <w:t>0.4349</w:t>
            </w:r>
          </w:p>
        </w:tc>
        <w:tc>
          <w:tcPr>
            <w:tcW w:w="0" w:type="auto"/>
          </w:tcPr>
          <w:p w14:paraId="11E27665" w14:textId="77777777" w:rsidR="00FA75C9" w:rsidRDefault="00000000" w:rsidP="00D56005">
            <w:pPr>
              <w:pStyle w:val="Compact"/>
              <w:spacing w:line="360" w:lineRule="auto"/>
              <w:jc w:val="right"/>
            </w:pPr>
            <w:r>
              <w:t>+0.1553</w:t>
            </w:r>
          </w:p>
        </w:tc>
      </w:tr>
      <w:tr w:rsidR="00FA75C9" w14:paraId="17E1AC5C" w14:textId="77777777">
        <w:tc>
          <w:tcPr>
            <w:tcW w:w="0" w:type="auto"/>
          </w:tcPr>
          <w:p w14:paraId="5ABB747C" w14:textId="77777777" w:rsidR="00FA75C9" w:rsidRDefault="00000000" w:rsidP="00D56005">
            <w:pPr>
              <w:pStyle w:val="Compact"/>
              <w:spacing w:line="360" w:lineRule="auto"/>
            </w:pPr>
            <w:r>
              <w:t>Variance risk premium</w:t>
            </w:r>
          </w:p>
        </w:tc>
        <w:tc>
          <w:tcPr>
            <w:tcW w:w="0" w:type="auto"/>
          </w:tcPr>
          <w:p w14:paraId="647090C9" w14:textId="77777777" w:rsidR="00FA75C9" w:rsidRDefault="00000000" w:rsidP="00D56005">
            <w:pPr>
              <w:pStyle w:val="Compact"/>
              <w:spacing w:line="360" w:lineRule="auto"/>
              <w:jc w:val="right"/>
            </w:pPr>
            <w:r>
              <w:t>0.7072</w:t>
            </w:r>
          </w:p>
        </w:tc>
        <w:tc>
          <w:tcPr>
            <w:tcW w:w="0" w:type="auto"/>
          </w:tcPr>
          <w:p w14:paraId="4D6F63C2" w14:textId="77777777" w:rsidR="00FA75C9" w:rsidRDefault="00000000" w:rsidP="00D56005">
            <w:pPr>
              <w:pStyle w:val="Compact"/>
              <w:spacing w:line="360" w:lineRule="auto"/>
              <w:jc w:val="right"/>
            </w:pPr>
            <w:r>
              <w:t>1.0524</w:t>
            </w:r>
          </w:p>
        </w:tc>
        <w:tc>
          <w:tcPr>
            <w:tcW w:w="0" w:type="auto"/>
          </w:tcPr>
          <w:p w14:paraId="4552E32A" w14:textId="77777777" w:rsidR="00FA75C9" w:rsidRDefault="00000000" w:rsidP="00D56005">
            <w:pPr>
              <w:pStyle w:val="Compact"/>
              <w:spacing w:line="360" w:lineRule="auto"/>
              <w:jc w:val="right"/>
            </w:pPr>
            <w:r>
              <w:t>+0.3452</w:t>
            </w:r>
          </w:p>
        </w:tc>
      </w:tr>
    </w:tbl>
    <w:p w14:paraId="479E00B1" w14:textId="77777777" w:rsidR="00FA75C9" w:rsidRDefault="00000000" w:rsidP="00D56005">
      <w:pPr>
        <w:pStyle w:val="Heading2"/>
        <w:spacing w:line="360" w:lineRule="auto"/>
      </w:pPr>
      <w:bookmarkStart w:id="22" w:name="sector-exposure"/>
      <w:bookmarkStart w:id="23" w:name="_Toc228955550"/>
      <w:r>
        <w:lastRenderedPageBreak/>
        <w:t>9. Sector Exposure</w:t>
      </w:r>
      <w:bookmarkEnd w:id="22"/>
      <w:bookmarkEnd w:id="23"/>
    </w:p>
    <w:p w14:paraId="138D53C8" w14:textId="77777777" w:rsidR="00FA75C9" w:rsidRDefault="00000000" w:rsidP="00D56005">
      <w:pPr>
        <w:pStyle w:val="FirstParagraph"/>
        <w:spacing w:line="360" w:lineRule="auto"/>
      </w:pPr>
      <w:r>
        <w:t>A simple sector overlay shows that the bottom IV-spread decile is overrepresented in Finance / Real Estate (16.09% of bottom-decile stock-months versus 13.96% of the universe) and in the Unknown sector category (5.98% versus 3.22%). It is underrepresented in Retail (4.27% versus 6.67%), Services (16.53% versus 18.01%), and Wholesale (2.07% versus 2.63%). Manufacturing is essentially proportionally represented.</w:t>
      </w:r>
    </w:p>
    <w:p w14:paraId="2FD3CC17" w14:textId="77777777" w:rsidR="00FA75C9" w:rsidRDefault="00000000" w:rsidP="00D56005">
      <w:pPr>
        <w:pStyle w:val="BodyText"/>
        <w:spacing w:line="360" w:lineRule="auto"/>
      </w:pPr>
      <w:r>
        <w:t>The Unknown overrepresentation is partly an artifact of incomplete sector labelling, and the Finance / Real Estate concentration is a known sensitivity for any signal that captures downside-risk pricing. Both observations are useful diagnostics rather than the central result, and both motivate the use of the $100M+ universe filter and the equal-weighted construction. Sector-neutral sorts have been explored and broadly preserve the bottom-tail underperformance pattern. Appendix Figure A4 shows the full sector overrepresentation profile.</w:t>
      </w:r>
    </w:p>
    <w:p w14:paraId="6B495D2D" w14:textId="77777777" w:rsidR="00FA75C9" w:rsidRDefault="00000000" w:rsidP="00D56005">
      <w:pPr>
        <w:pStyle w:val="Heading2"/>
        <w:spacing w:line="360" w:lineRule="auto"/>
      </w:pPr>
      <w:bookmarkStart w:id="24" w:name="implementation-and-transaction-costs"/>
      <w:bookmarkStart w:id="25" w:name="_Toc228955551"/>
      <w:r>
        <w:t>10. Implementation and Transaction Costs</w:t>
      </w:r>
      <w:bookmarkEnd w:id="24"/>
      <w:bookmarkEnd w:id="25"/>
    </w:p>
    <w:p w14:paraId="78888AD8" w14:textId="77777777" w:rsidR="00FA75C9" w:rsidRDefault="00000000" w:rsidP="00D56005">
      <w:pPr>
        <w:pStyle w:val="FirstParagraph"/>
        <w:spacing w:line="360" w:lineRule="auto"/>
      </w:pPr>
      <w:r>
        <w:t>Reported returns and alphas are gross of transaction costs. A naive monthly long-short implementation of the IV-spread strategy is turnover-intensive: average one-way bottom-decile turnover is 70.70% per month in the all-stock equal-weighted construction, and 72.84% per month in the $100M+ construction.</w:t>
      </w:r>
    </w:p>
    <w:p w14:paraId="29437848" w14:textId="77777777" w:rsidR="00FA75C9" w:rsidRDefault="00000000" w:rsidP="00D56005">
      <w:pPr>
        <w:pStyle w:val="BodyText"/>
        <w:spacing w:line="360" w:lineRule="auto"/>
      </w:pPr>
      <w:r>
        <w:t xml:space="preserve">A rough sensitivity analysis applies a flat per-side cost to </w:t>
      </w:r>
      <w:r>
        <w:rPr>
          <w:i/>
        </w:rPr>
        <w:t>both legs</w:t>
      </w:r>
      <w:r>
        <w:t xml:space="preserve"> of the universe-minus-bottom-decile portfolio, where each leg incurs cost in proportion to its monthly turnover and the cost is annualized. The resulting drag is roughly twice the single-leg drag at the same per-side rate. At 10 basis points per side the all-stock strategy nets to roughly 5.89% annualized; at 25 basis points it nets to roughly 3.36%; at 50 basis points it falls to roughly −0.86%. The $100M+ specification follows a similar profile (5.99%, 3.38%, and −0.96% at 10, 25, and 50 bps respectively). These figures are not a substitute for a calibrated trading-cost model — they ignore borrow costs, market-impact concavity, capacity, and any liquidity-aware execution — but they make the implementation point clearly. The full long-short cost-sensitivity profile is shown in Appendix Figure A5.</w:t>
      </w:r>
    </w:p>
    <w:p w14:paraId="1C6A26B8" w14:textId="77777777" w:rsidR="00FA75C9" w:rsidRDefault="00000000" w:rsidP="00D56005">
      <w:pPr>
        <w:pStyle w:val="BodyText"/>
        <w:spacing w:line="360" w:lineRule="auto"/>
      </w:pPr>
      <w:r>
        <w:lastRenderedPageBreak/>
        <w:t>The honest implication is that the IV spread bottom-tail signal is informative as a return-predictability and risk-management diagnostic, and is plausibly tradeable at very low cost levels, but a naive monthly long-short implementation deteriorates rapidly at realistic execution costs. Lower-frequency rebalancing, tighter liquidity screens, and cost-aware portfolio construction would be necessary for a serious implementation. This motivates the long-only exclusion specification developed in Section 11, which replaces the explicit short leg of the U-B portfolio with a one-sided membership rule (drop the bottom IV-spread decile from the equal-weighted book). That construction has materially lower turnover, retains a statistically and economically meaningful return improvement over the full universe, and is the more practical way to use the signal in an actual portfolio.</w:t>
      </w:r>
    </w:p>
    <w:p w14:paraId="2F5C1C0A" w14:textId="77777777" w:rsidR="00FA75C9" w:rsidRDefault="00000000" w:rsidP="00D56005">
      <w:pPr>
        <w:pStyle w:val="BodyText"/>
        <w:spacing w:line="360" w:lineRule="auto"/>
      </w:pPr>
      <w:r>
        <w:rPr>
          <w:b/>
        </w:rPr>
        <w:t>Table 6. Long-short cost sensitivity, per-side rate applied to both legs.</w:t>
      </w:r>
      <w:r>
        <w:t xml:space="preserve"> “Cost (bps)” is the per-side rate; the annualized drag is approximately 2 × cost × turnover × 12.</w:t>
      </w:r>
    </w:p>
    <w:tbl>
      <w:tblPr>
        <w:tblStyle w:val="Table"/>
        <w:tblW w:w="0" w:type="pct"/>
        <w:tblLook w:val="07E0" w:firstRow="1" w:lastRow="1" w:firstColumn="1" w:lastColumn="1" w:noHBand="1" w:noVBand="1"/>
      </w:tblPr>
      <w:tblGrid>
        <w:gridCol w:w="3386"/>
        <w:gridCol w:w="2192"/>
        <w:gridCol w:w="2092"/>
        <w:gridCol w:w="1781"/>
      </w:tblGrid>
      <w:tr w:rsidR="00FA75C9" w14:paraId="1767E849" w14:textId="77777777">
        <w:tc>
          <w:tcPr>
            <w:tcW w:w="0" w:type="auto"/>
            <w:tcBorders>
              <w:bottom w:val="single" w:sz="0" w:space="0" w:color="auto"/>
            </w:tcBorders>
            <w:vAlign w:val="bottom"/>
          </w:tcPr>
          <w:p w14:paraId="7BAC7223" w14:textId="77777777" w:rsidR="00FA75C9" w:rsidRDefault="00000000" w:rsidP="00D56005">
            <w:pPr>
              <w:pStyle w:val="Compact"/>
              <w:spacing w:line="360" w:lineRule="auto"/>
            </w:pPr>
            <w:r>
              <w:t>Strategy</w:t>
            </w:r>
          </w:p>
        </w:tc>
        <w:tc>
          <w:tcPr>
            <w:tcW w:w="0" w:type="auto"/>
            <w:tcBorders>
              <w:bottom w:val="single" w:sz="0" w:space="0" w:color="auto"/>
            </w:tcBorders>
            <w:vAlign w:val="bottom"/>
          </w:tcPr>
          <w:p w14:paraId="21A3A5FF" w14:textId="77777777" w:rsidR="00FA75C9" w:rsidRDefault="00000000" w:rsidP="00D56005">
            <w:pPr>
              <w:pStyle w:val="Compact"/>
              <w:spacing w:line="360" w:lineRule="auto"/>
              <w:jc w:val="right"/>
            </w:pPr>
            <w:r>
              <w:t>Cost (bps, per side)</w:t>
            </w:r>
          </w:p>
        </w:tc>
        <w:tc>
          <w:tcPr>
            <w:tcW w:w="0" w:type="auto"/>
            <w:tcBorders>
              <w:bottom w:val="single" w:sz="0" w:space="0" w:color="auto"/>
            </w:tcBorders>
            <w:vAlign w:val="bottom"/>
          </w:tcPr>
          <w:p w14:paraId="1E23F617" w14:textId="77777777" w:rsidR="00FA75C9" w:rsidRDefault="00000000" w:rsidP="00D56005">
            <w:pPr>
              <w:pStyle w:val="Compact"/>
              <w:spacing w:line="360" w:lineRule="auto"/>
              <w:jc w:val="right"/>
            </w:pPr>
            <w:r>
              <w:t>One-way turnover</w:t>
            </w:r>
          </w:p>
        </w:tc>
        <w:tc>
          <w:tcPr>
            <w:tcW w:w="0" w:type="auto"/>
            <w:tcBorders>
              <w:bottom w:val="single" w:sz="0" w:space="0" w:color="auto"/>
            </w:tcBorders>
            <w:vAlign w:val="bottom"/>
          </w:tcPr>
          <w:p w14:paraId="64A48AA6" w14:textId="77777777" w:rsidR="00FA75C9" w:rsidRDefault="00000000" w:rsidP="00D56005">
            <w:pPr>
              <w:pStyle w:val="Compact"/>
              <w:spacing w:line="360" w:lineRule="auto"/>
              <w:jc w:val="right"/>
            </w:pPr>
            <w:r>
              <w:t>Net ann. return</w:t>
            </w:r>
          </w:p>
        </w:tc>
      </w:tr>
      <w:tr w:rsidR="00FA75C9" w14:paraId="250A461B" w14:textId="77777777">
        <w:tc>
          <w:tcPr>
            <w:tcW w:w="0" w:type="auto"/>
          </w:tcPr>
          <w:p w14:paraId="0846F42B" w14:textId="77777777" w:rsidR="00FA75C9" w:rsidRDefault="00000000" w:rsidP="00D56005">
            <w:pPr>
              <w:pStyle w:val="Compact"/>
              <w:spacing w:line="360" w:lineRule="auto"/>
            </w:pPr>
            <w:r>
              <w:t>Bottom decile U-B EW All</w:t>
            </w:r>
          </w:p>
        </w:tc>
        <w:tc>
          <w:tcPr>
            <w:tcW w:w="0" w:type="auto"/>
          </w:tcPr>
          <w:p w14:paraId="2511B937" w14:textId="77777777" w:rsidR="00FA75C9" w:rsidRDefault="00000000" w:rsidP="00D56005">
            <w:pPr>
              <w:pStyle w:val="Compact"/>
              <w:spacing w:line="360" w:lineRule="auto"/>
              <w:jc w:val="right"/>
            </w:pPr>
            <w:r>
              <w:t>10</w:t>
            </w:r>
          </w:p>
        </w:tc>
        <w:tc>
          <w:tcPr>
            <w:tcW w:w="0" w:type="auto"/>
          </w:tcPr>
          <w:p w14:paraId="33FB312C" w14:textId="77777777" w:rsidR="00FA75C9" w:rsidRDefault="00000000" w:rsidP="00D56005">
            <w:pPr>
              <w:pStyle w:val="Compact"/>
              <w:spacing w:line="360" w:lineRule="auto"/>
              <w:jc w:val="right"/>
            </w:pPr>
            <w:r>
              <w:t>70.70%</w:t>
            </w:r>
          </w:p>
        </w:tc>
        <w:tc>
          <w:tcPr>
            <w:tcW w:w="0" w:type="auto"/>
          </w:tcPr>
          <w:p w14:paraId="469A35AF" w14:textId="77777777" w:rsidR="00FA75C9" w:rsidRDefault="00000000" w:rsidP="00D56005">
            <w:pPr>
              <w:pStyle w:val="Compact"/>
              <w:spacing w:line="360" w:lineRule="auto"/>
              <w:jc w:val="right"/>
            </w:pPr>
            <w:r>
              <w:t>5.89%</w:t>
            </w:r>
          </w:p>
        </w:tc>
      </w:tr>
      <w:tr w:rsidR="00FA75C9" w14:paraId="03AA0803" w14:textId="77777777">
        <w:tc>
          <w:tcPr>
            <w:tcW w:w="0" w:type="auto"/>
          </w:tcPr>
          <w:p w14:paraId="163030E2" w14:textId="77777777" w:rsidR="00FA75C9" w:rsidRDefault="00000000" w:rsidP="00D56005">
            <w:pPr>
              <w:pStyle w:val="Compact"/>
              <w:spacing w:line="360" w:lineRule="auto"/>
            </w:pPr>
            <w:r>
              <w:t>Bottom decile U-B EW All</w:t>
            </w:r>
          </w:p>
        </w:tc>
        <w:tc>
          <w:tcPr>
            <w:tcW w:w="0" w:type="auto"/>
          </w:tcPr>
          <w:p w14:paraId="51D014FC" w14:textId="77777777" w:rsidR="00FA75C9" w:rsidRDefault="00000000" w:rsidP="00D56005">
            <w:pPr>
              <w:pStyle w:val="Compact"/>
              <w:spacing w:line="360" w:lineRule="auto"/>
              <w:jc w:val="right"/>
            </w:pPr>
            <w:r>
              <w:t>25</w:t>
            </w:r>
          </w:p>
        </w:tc>
        <w:tc>
          <w:tcPr>
            <w:tcW w:w="0" w:type="auto"/>
          </w:tcPr>
          <w:p w14:paraId="36C1DAF1" w14:textId="77777777" w:rsidR="00FA75C9" w:rsidRDefault="00000000" w:rsidP="00D56005">
            <w:pPr>
              <w:pStyle w:val="Compact"/>
              <w:spacing w:line="360" w:lineRule="auto"/>
              <w:jc w:val="right"/>
            </w:pPr>
            <w:r>
              <w:t>70.70%</w:t>
            </w:r>
          </w:p>
        </w:tc>
        <w:tc>
          <w:tcPr>
            <w:tcW w:w="0" w:type="auto"/>
          </w:tcPr>
          <w:p w14:paraId="45F92FC2" w14:textId="77777777" w:rsidR="00FA75C9" w:rsidRDefault="00000000" w:rsidP="00D56005">
            <w:pPr>
              <w:pStyle w:val="Compact"/>
              <w:spacing w:line="360" w:lineRule="auto"/>
              <w:jc w:val="right"/>
            </w:pPr>
            <w:r>
              <w:t>3.36%</w:t>
            </w:r>
          </w:p>
        </w:tc>
      </w:tr>
      <w:tr w:rsidR="00FA75C9" w14:paraId="01A12038" w14:textId="77777777">
        <w:tc>
          <w:tcPr>
            <w:tcW w:w="0" w:type="auto"/>
          </w:tcPr>
          <w:p w14:paraId="2D020919" w14:textId="77777777" w:rsidR="00FA75C9" w:rsidRDefault="00000000" w:rsidP="00D56005">
            <w:pPr>
              <w:pStyle w:val="Compact"/>
              <w:spacing w:line="360" w:lineRule="auto"/>
            </w:pPr>
            <w:r>
              <w:t>Bottom decile U-B EW All</w:t>
            </w:r>
          </w:p>
        </w:tc>
        <w:tc>
          <w:tcPr>
            <w:tcW w:w="0" w:type="auto"/>
          </w:tcPr>
          <w:p w14:paraId="4223CBCA" w14:textId="77777777" w:rsidR="00FA75C9" w:rsidRDefault="00000000" w:rsidP="00D56005">
            <w:pPr>
              <w:pStyle w:val="Compact"/>
              <w:spacing w:line="360" w:lineRule="auto"/>
              <w:jc w:val="right"/>
            </w:pPr>
            <w:r>
              <w:t>50</w:t>
            </w:r>
          </w:p>
        </w:tc>
        <w:tc>
          <w:tcPr>
            <w:tcW w:w="0" w:type="auto"/>
          </w:tcPr>
          <w:p w14:paraId="724DD7B3" w14:textId="77777777" w:rsidR="00FA75C9" w:rsidRDefault="00000000" w:rsidP="00D56005">
            <w:pPr>
              <w:pStyle w:val="Compact"/>
              <w:spacing w:line="360" w:lineRule="auto"/>
              <w:jc w:val="right"/>
            </w:pPr>
            <w:r>
              <w:t>70.70%</w:t>
            </w:r>
          </w:p>
        </w:tc>
        <w:tc>
          <w:tcPr>
            <w:tcW w:w="0" w:type="auto"/>
          </w:tcPr>
          <w:p w14:paraId="2F58EDA2" w14:textId="77777777" w:rsidR="00FA75C9" w:rsidRDefault="00000000" w:rsidP="00D56005">
            <w:pPr>
              <w:pStyle w:val="Compact"/>
              <w:spacing w:line="360" w:lineRule="auto"/>
              <w:jc w:val="right"/>
            </w:pPr>
            <w:r>
              <w:t>−0.86%</w:t>
            </w:r>
          </w:p>
        </w:tc>
      </w:tr>
      <w:tr w:rsidR="00FA75C9" w14:paraId="64B1FBEE" w14:textId="77777777">
        <w:tc>
          <w:tcPr>
            <w:tcW w:w="0" w:type="auto"/>
          </w:tcPr>
          <w:p w14:paraId="1D5DB8F2" w14:textId="77777777" w:rsidR="00FA75C9" w:rsidRDefault="00000000" w:rsidP="00D56005">
            <w:pPr>
              <w:pStyle w:val="Compact"/>
              <w:spacing w:line="360" w:lineRule="auto"/>
            </w:pPr>
            <w:r>
              <w:t>Bottom decile U-B EW $100M+</w:t>
            </w:r>
          </w:p>
        </w:tc>
        <w:tc>
          <w:tcPr>
            <w:tcW w:w="0" w:type="auto"/>
          </w:tcPr>
          <w:p w14:paraId="2F8CE306" w14:textId="77777777" w:rsidR="00FA75C9" w:rsidRDefault="00000000" w:rsidP="00D56005">
            <w:pPr>
              <w:pStyle w:val="Compact"/>
              <w:spacing w:line="360" w:lineRule="auto"/>
              <w:jc w:val="right"/>
            </w:pPr>
            <w:r>
              <w:t>10</w:t>
            </w:r>
          </w:p>
        </w:tc>
        <w:tc>
          <w:tcPr>
            <w:tcW w:w="0" w:type="auto"/>
          </w:tcPr>
          <w:p w14:paraId="4AEE2A9E" w14:textId="77777777" w:rsidR="00FA75C9" w:rsidRDefault="00000000" w:rsidP="00D56005">
            <w:pPr>
              <w:pStyle w:val="Compact"/>
              <w:spacing w:line="360" w:lineRule="auto"/>
              <w:jc w:val="right"/>
            </w:pPr>
            <w:r>
              <w:t>72.84%</w:t>
            </w:r>
          </w:p>
        </w:tc>
        <w:tc>
          <w:tcPr>
            <w:tcW w:w="0" w:type="auto"/>
          </w:tcPr>
          <w:p w14:paraId="2DE5D1E5" w14:textId="77777777" w:rsidR="00FA75C9" w:rsidRDefault="00000000" w:rsidP="00D56005">
            <w:pPr>
              <w:pStyle w:val="Compact"/>
              <w:spacing w:line="360" w:lineRule="auto"/>
              <w:jc w:val="right"/>
            </w:pPr>
            <w:r>
              <w:t>5.99%</w:t>
            </w:r>
          </w:p>
        </w:tc>
      </w:tr>
      <w:tr w:rsidR="00FA75C9" w14:paraId="2F88F25E" w14:textId="77777777">
        <w:tc>
          <w:tcPr>
            <w:tcW w:w="0" w:type="auto"/>
          </w:tcPr>
          <w:p w14:paraId="1B1ACD14" w14:textId="77777777" w:rsidR="00FA75C9" w:rsidRDefault="00000000" w:rsidP="00D56005">
            <w:pPr>
              <w:pStyle w:val="Compact"/>
              <w:spacing w:line="360" w:lineRule="auto"/>
            </w:pPr>
            <w:r>
              <w:t>Bottom decile U-B EW $100M+</w:t>
            </w:r>
          </w:p>
        </w:tc>
        <w:tc>
          <w:tcPr>
            <w:tcW w:w="0" w:type="auto"/>
          </w:tcPr>
          <w:p w14:paraId="6E3A3627" w14:textId="77777777" w:rsidR="00FA75C9" w:rsidRDefault="00000000" w:rsidP="00D56005">
            <w:pPr>
              <w:pStyle w:val="Compact"/>
              <w:spacing w:line="360" w:lineRule="auto"/>
              <w:jc w:val="right"/>
            </w:pPr>
            <w:r>
              <w:t>25</w:t>
            </w:r>
          </w:p>
        </w:tc>
        <w:tc>
          <w:tcPr>
            <w:tcW w:w="0" w:type="auto"/>
          </w:tcPr>
          <w:p w14:paraId="4A3C77B8" w14:textId="77777777" w:rsidR="00FA75C9" w:rsidRDefault="00000000" w:rsidP="00D56005">
            <w:pPr>
              <w:pStyle w:val="Compact"/>
              <w:spacing w:line="360" w:lineRule="auto"/>
              <w:jc w:val="right"/>
            </w:pPr>
            <w:r>
              <w:t>72.84%</w:t>
            </w:r>
          </w:p>
        </w:tc>
        <w:tc>
          <w:tcPr>
            <w:tcW w:w="0" w:type="auto"/>
          </w:tcPr>
          <w:p w14:paraId="0CC9A9EF" w14:textId="77777777" w:rsidR="00FA75C9" w:rsidRDefault="00000000" w:rsidP="00D56005">
            <w:pPr>
              <w:pStyle w:val="Compact"/>
              <w:spacing w:line="360" w:lineRule="auto"/>
              <w:jc w:val="right"/>
            </w:pPr>
            <w:r>
              <w:t>3.38%</w:t>
            </w:r>
          </w:p>
        </w:tc>
      </w:tr>
      <w:tr w:rsidR="00FA75C9" w14:paraId="421EFCD7" w14:textId="77777777">
        <w:tc>
          <w:tcPr>
            <w:tcW w:w="0" w:type="auto"/>
          </w:tcPr>
          <w:p w14:paraId="33C6D0FF" w14:textId="77777777" w:rsidR="00FA75C9" w:rsidRDefault="00000000" w:rsidP="00D56005">
            <w:pPr>
              <w:pStyle w:val="Compact"/>
              <w:spacing w:line="360" w:lineRule="auto"/>
            </w:pPr>
            <w:r>
              <w:t>Bottom decile U-B EW $100M+</w:t>
            </w:r>
          </w:p>
        </w:tc>
        <w:tc>
          <w:tcPr>
            <w:tcW w:w="0" w:type="auto"/>
          </w:tcPr>
          <w:p w14:paraId="6D4CA019" w14:textId="77777777" w:rsidR="00FA75C9" w:rsidRDefault="00000000" w:rsidP="00D56005">
            <w:pPr>
              <w:pStyle w:val="Compact"/>
              <w:spacing w:line="360" w:lineRule="auto"/>
              <w:jc w:val="right"/>
            </w:pPr>
            <w:r>
              <w:t>50</w:t>
            </w:r>
          </w:p>
        </w:tc>
        <w:tc>
          <w:tcPr>
            <w:tcW w:w="0" w:type="auto"/>
          </w:tcPr>
          <w:p w14:paraId="2FA6DAA4" w14:textId="77777777" w:rsidR="00FA75C9" w:rsidRDefault="00000000" w:rsidP="00D56005">
            <w:pPr>
              <w:pStyle w:val="Compact"/>
              <w:spacing w:line="360" w:lineRule="auto"/>
              <w:jc w:val="right"/>
            </w:pPr>
            <w:r>
              <w:t>72.84%</w:t>
            </w:r>
          </w:p>
        </w:tc>
        <w:tc>
          <w:tcPr>
            <w:tcW w:w="0" w:type="auto"/>
          </w:tcPr>
          <w:p w14:paraId="2F1E8D49" w14:textId="77777777" w:rsidR="00FA75C9" w:rsidRDefault="00000000" w:rsidP="00D56005">
            <w:pPr>
              <w:pStyle w:val="Compact"/>
              <w:spacing w:line="360" w:lineRule="auto"/>
              <w:jc w:val="right"/>
            </w:pPr>
            <w:r>
              <w:t>−0.96%</w:t>
            </w:r>
          </w:p>
        </w:tc>
      </w:tr>
    </w:tbl>
    <w:p w14:paraId="39D69D59" w14:textId="77777777" w:rsidR="00FA75C9" w:rsidRDefault="00000000" w:rsidP="00D56005">
      <w:pPr>
        <w:pStyle w:val="Heading2"/>
        <w:spacing w:line="360" w:lineRule="auto"/>
      </w:pPr>
      <w:bookmarkStart w:id="26" w:name="X5b16d9af4c93e4ea165be33487aff5ded2f5a3c"/>
      <w:bookmarkStart w:id="27" w:name="_Toc228955552"/>
      <w:r>
        <w:t>11. Long-Only Application: IV Spread as a Negative-Selection Screen</w:t>
      </w:r>
      <w:bookmarkEnd w:id="26"/>
      <w:bookmarkEnd w:id="27"/>
    </w:p>
    <w:p w14:paraId="795F1F9E" w14:textId="77777777" w:rsidR="00FA75C9" w:rsidRDefault="00000000" w:rsidP="00D56005">
      <w:pPr>
        <w:pStyle w:val="FirstParagraph"/>
        <w:spacing w:line="360" w:lineRule="auto"/>
      </w:pPr>
      <w:r>
        <w:t>The decile pattern documented in Section 6 and the cost sensitivity in Section 10 together motivate a one-sided use of the signal. Instead of buying the universe and selling the bottom decile as a self-financing long-short, a long-only manager can simply drop the bottom IV-spread decile from a broad equal-weighted optionable book. The short leg is removed and replaced with a membership rule on the long side. This re-frames the IV spread as a negative-selection screen rather than as a tradeable factor.</w:t>
      </w:r>
    </w:p>
    <w:p w14:paraId="514CEAC1" w14:textId="77777777" w:rsidR="00FA75C9" w:rsidRDefault="00000000" w:rsidP="00D56005">
      <w:pPr>
        <w:pStyle w:val="BodyText"/>
        <w:spacing w:line="360" w:lineRule="auto"/>
      </w:pPr>
      <w:r>
        <w:lastRenderedPageBreak/>
        <w:t>The all-stock equal-weighted full universe earns 11.53% annualized over the 168-month sample, with an annualized volatility of 21.58% and a Sharpe ratio of 0.53. Excluding the bottom IV-spread decile every month raises the annualized return to 12.37%, the volatility falls slightly to 21.27%, and the Sharpe ratio rises to 0.58. The annualized improvement of 0.84% has a Newey-West t-statistic of 4.00 on the difference portfolio. Excluding the bottom quintile rather than the bottom decile produces a larger gross improvement of 1.36% (NW t = 5.40). Inside the $100M+ market-cap filter the picture is the same: the full universe earns 11.92% with a Sharpe of 0.57, the bottom-decile exclusion earns 12.78% with a Sharpe of 0.62, and the 0.86% improvement has a Newey-West t-statistic of 5.87. Bottom-quintile exclusion in $100M+ improves returns by 1.23%.</w:t>
      </w:r>
    </w:p>
    <w:p w14:paraId="0ED6DFC8" w14:textId="77777777" w:rsidR="00FA75C9" w:rsidRDefault="00000000" w:rsidP="00D56005">
      <w:pPr>
        <w:pStyle w:val="BodyText"/>
        <w:spacing w:line="360" w:lineRule="auto"/>
      </w:pPr>
      <w:r>
        <w:t>The factor regression of the difference portfolio on FF5 plus momentum gives an annualized alpha of 0.71% with a t-statistic of 5.07 for the all-stock bottom-decile exclusion-minus-universe spread, and 0.70% with a t-statistic of 5.85 inside the $100M+ universe. The factor anatomy mirrors Section 7: the difference portfolio inherits the same negative SMB loading and modest positive momentum exposure as the U-B long-short, because the construction is mechanically the same shape, just without the explicit short.</w:t>
      </w:r>
    </w:p>
    <w:p w14:paraId="71AB931E" w14:textId="7BA22189" w:rsidR="00E84B2D" w:rsidRDefault="00E84B2D" w:rsidP="00D56005">
      <w:pPr>
        <w:pStyle w:val="BodyText"/>
        <w:spacing w:line="360" w:lineRule="auto"/>
      </w:pPr>
      <w:r w:rsidRPr="00E84B2D">
        <w:t>It is important to distinguish the exclusion portfolio itself from the improvement relative to the full universe. The standalone long-only exclusion portfolio does not generate positive FF5+Momentum alpha after controlling for equity factors. Instead, the positive alpha appears in the difference portfolio: the portfolio that excludes the bottom tail minus the full optionable universe. This reinforces the main interpretation of the signal as a negative-selection tool. The signal is useful because it helps identify stocks to avoid, not because the remaining long-only portfolio becomes a standalone factor-alpha portfolio.</w:t>
      </w:r>
    </w:p>
    <w:p w14:paraId="6453C42F" w14:textId="77777777" w:rsidR="00FA75C9" w:rsidRDefault="00000000" w:rsidP="00D56005">
      <w:pPr>
        <w:pStyle w:val="BodyText"/>
        <w:spacing w:line="360" w:lineRule="auto"/>
      </w:pPr>
      <w:r>
        <w:t xml:space="preserve">The implementation case rests on turnover and cost. Where the U-B long-short rebalances the bottom decile in full each month and incurs roughly 71% one-way turnover on the short leg, the long-only exclusion only changes the </w:t>
      </w:r>
      <w:r>
        <w:rPr>
          <w:i/>
        </w:rPr>
        <w:t>membership</w:t>
      </w:r>
      <w:r>
        <w:t xml:space="preserve"> of the long book. The membership-change approximation gives an average one-way turnover of about 8.46% per month for the all-stock bottom-decile exclusion and 8.82% per month for the $100M+ exclusion — roughly an order of magnitude lower than the long-short construction. The </w:t>
      </w:r>
      <w:r>
        <w:lastRenderedPageBreak/>
        <w:t xml:space="preserve">cost convention here uses the same per-side rate as Section 10, but charges only the </w:t>
      </w:r>
      <w:r>
        <w:rPr>
          <w:i/>
        </w:rPr>
        <w:t>single long leg</w:t>
      </w:r>
      <w:r>
        <w:t xml:space="preserve"> of the exclusion portfolio (there is no explicit short leg). Under this single-leg accounting, the all-stock bottom-decile exclusion improvement nets to approximately 0.59% annualized at 25 basis points per side and 0.34% annualized at 50 basis points per side. Both remain positive, and the long-only construction never crosses zero over the cost bands tested in this analysis. The drag here is mechanically smaller than in the long-short version of Section 10 because there is one leg to charge instead of two, on top of the much lower turnover. Appendix Figure A6 shows the cumulative improvement of the exclusion portfolio over the full universe across the sample.</w:t>
      </w:r>
    </w:p>
    <w:p w14:paraId="7C9A38AE" w14:textId="77777777" w:rsidR="00FA75C9" w:rsidRDefault="00000000" w:rsidP="00D56005">
      <w:pPr>
        <w:pStyle w:val="BodyText"/>
        <w:spacing w:line="360" w:lineRule="auto"/>
      </w:pPr>
      <w:r>
        <w:t xml:space="preserve">Two qualifications belong on the page. First, this is a membership-change turnover approximation, not a full transaction-cost model: it does not model normal benchmark-driven rebalancing of the long leg, value-weight drift, securities-lending costs, or market impact, and it should not be read as a calibrated trading-cost analysis. Second, the long-only screen does not generate alpha against FF5+MOM as an </w:t>
      </w:r>
      <w:r>
        <w:rPr>
          <w:i/>
        </w:rPr>
        <w:t>absolute</w:t>
      </w:r>
      <w:r>
        <w:t xml:space="preserve"> portfolio; the exclusion portfolio’s standalone FF5+MOM alpha is slightly negative and statistically insignificant. The economic content is in the difference portfolio, which captures the value of avoiding the bottom IV-spread tail relative to a passive equal-weighted optionable benchmark.</w:t>
      </w:r>
    </w:p>
    <w:p w14:paraId="437D63D8" w14:textId="77777777" w:rsidR="00FA75C9" w:rsidRDefault="00000000" w:rsidP="00D56005">
      <w:pPr>
        <w:pStyle w:val="BodyText"/>
        <w:spacing w:line="360" w:lineRule="auto"/>
      </w:pPr>
      <w:r>
        <w:t>The interpretation is therefore the practical re-framing of the result. The IV spread is most useful here as a long-only exclusion or risk-management overlay integrated into normal rebalancing, not as a standalone high-turnover long-short strategy. The original long-short evidence remains the cleaner statistical test of the cross-sectional effect; the long-only exclusion screen is the more implementable application.</w:t>
      </w:r>
    </w:p>
    <w:p w14:paraId="3C6C403E" w14:textId="77777777" w:rsidR="00FA75C9" w:rsidRDefault="00000000" w:rsidP="00D56005">
      <w:pPr>
        <w:pStyle w:val="BodyText"/>
        <w:spacing w:line="360" w:lineRule="auto"/>
      </w:pPr>
      <w:r>
        <w:rPr>
          <w:b/>
        </w:rPr>
        <w:t>Table 7. Long-only IV-spread exclusion screen, equal-weighted, 2010–2023.</w:t>
      </w:r>
      <w:r>
        <w:t xml:space="preserve"> Improvement is the annualized difference between the exclusion portfolio and the full-universe portfolio. NW t-statistics use HAC standard errors with four lags. Difference-portfolio FF5+MOM alphas are annualized.</w:t>
      </w:r>
    </w:p>
    <w:tbl>
      <w:tblPr>
        <w:tblStyle w:val="Table"/>
        <w:tblW w:w="4999" w:type="pct"/>
        <w:tblLook w:val="07E0" w:firstRow="1" w:lastRow="1" w:firstColumn="1" w:lastColumn="1" w:noHBand="1" w:noVBand="1"/>
      </w:tblPr>
      <w:tblGrid>
        <w:gridCol w:w="1130"/>
        <w:gridCol w:w="1620"/>
        <w:gridCol w:w="1136"/>
        <w:gridCol w:w="935"/>
        <w:gridCol w:w="1624"/>
        <w:gridCol w:w="836"/>
        <w:gridCol w:w="1537"/>
        <w:gridCol w:w="756"/>
      </w:tblGrid>
      <w:tr w:rsidR="00FA75C9" w14:paraId="2DB7D9B2" w14:textId="77777777">
        <w:tc>
          <w:tcPr>
            <w:tcW w:w="0" w:type="auto"/>
            <w:tcBorders>
              <w:bottom w:val="single" w:sz="0" w:space="0" w:color="auto"/>
            </w:tcBorders>
            <w:vAlign w:val="bottom"/>
          </w:tcPr>
          <w:p w14:paraId="1FE95E25" w14:textId="77777777" w:rsidR="00FA75C9" w:rsidRDefault="00000000" w:rsidP="00D56005">
            <w:pPr>
              <w:pStyle w:val="Compact"/>
              <w:spacing w:line="360" w:lineRule="auto"/>
            </w:pPr>
            <w:r>
              <w:t>Universe</w:t>
            </w:r>
          </w:p>
        </w:tc>
        <w:tc>
          <w:tcPr>
            <w:tcW w:w="0" w:type="auto"/>
            <w:tcBorders>
              <w:bottom w:val="single" w:sz="0" w:space="0" w:color="auto"/>
            </w:tcBorders>
            <w:vAlign w:val="bottom"/>
          </w:tcPr>
          <w:p w14:paraId="56CD8031" w14:textId="77777777" w:rsidR="00FA75C9" w:rsidRDefault="00000000" w:rsidP="00D56005">
            <w:pPr>
              <w:pStyle w:val="Compact"/>
              <w:spacing w:line="360" w:lineRule="auto"/>
            </w:pPr>
            <w:r>
              <w:t>Portfolio</w:t>
            </w:r>
          </w:p>
        </w:tc>
        <w:tc>
          <w:tcPr>
            <w:tcW w:w="0" w:type="auto"/>
            <w:tcBorders>
              <w:bottom w:val="single" w:sz="0" w:space="0" w:color="auto"/>
            </w:tcBorders>
            <w:vAlign w:val="bottom"/>
          </w:tcPr>
          <w:p w14:paraId="24BBADF8" w14:textId="77777777" w:rsidR="00FA75C9" w:rsidRDefault="00000000" w:rsidP="00D56005">
            <w:pPr>
              <w:pStyle w:val="Compact"/>
              <w:spacing w:line="360" w:lineRule="auto"/>
              <w:jc w:val="right"/>
            </w:pPr>
            <w:r>
              <w:t xml:space="preserve">Ann. </w:t>
            </w:r>
            <w:r>
              <w:lastRenderedPageBreak/>
              <w:t>return</w:t>
            </w:r>
          </w:p>
        </w:tc>
        <w:tc>
          <w:tcPr>
            <w:tcW w:w="0" w:type="auto"/>
            <w:tcBorders>
              <w:bottom w:val="single" w:sz="0" w:space="0" w:color="auto"/>
            </w:tcBorders>
            <w:vAlign w:val="bottom"/>
          </w:tcPr>
          <w:p w14:paraId="4F0DD896" w14:textId="77777777" w:rsidR="00FA75C9" w:rsidRDefault="00000000" w:rsidP="00D56005">
            <w:pPr>
              <w:pStyle w:val="Compact"/>
              <w:spacing w:line="360" w:lineRule="auto"/>
              <w:jc w:val="right"/>
            </w:pPr>
            <w:r>
              <w:lastRenderedPageBreak/>
              <w:t>Sharpe</w:t>
            </w:r>
          </w:p>
        </w:tc>
        <w:tc>
          <w:tcPr>
            <w:tcW w:w="0" w:type="auto"/>
            <w:tcBorders>
              <w:bottom w:val="single" w:sz="0" w:space="0" w:color="auto"/>
            </w:tcBorders>
            <w:vAlign w:val="bottom"/>
          </w:tcPr>
          <w:p w14:paraId="613AD5FF" w14:textId="77777777" w:rsidR="00FA75C9" w:rsidRDefault="00000000" w:rsidP="00D56005">
            <w:pPr>
              <w:pStyle w:val="Compact"/>
              <w:spacing w:line="360" w:lineRule="auto"/>
              <w:jc w:val="right"/>
            </w:pPr>
            <w:r>
              <w:t>Improvement</w:t>
            </w:r>
          </w:p>
        </w:tc>
        <w:tc>
          <w:tcPr>
            <w:tcW w:w="0" w:type="auto"/>
            <w:tcBorders>
              <w:bottom w:val="single" w:sz="0" w:space="0" w:color="auto"/>
            </w:tcBorders>
            <w:vAlign w:val="bottom"/>
          </w:tcPr>
          <w:p w14:paraId="293079DF" w14:textId="77777777" w:rsidR="00FA75C9" w:rsidRDefault="00000000" w:rsidP="00D56005">
            <w:pPr>
              <w:pStyle w:val="Compact"/>
              <w:spacing w:line="360" w:lineRule="auto"/>
              <w:jc w:val="right"/>
            </w:pPr>
            <w:r>
              <w:t>NW t-</w:t>
            </w:r>
            <w:r>
              <w:lastRenderedPageBreak/>
              <w:t>stat</w:t>
            </w:r>
          </w:p>
        </w:tc>
        <w:tc>
          <w:tcPr>
            <w:tcW w:w="0" w:type="auto"/>
            <w:tcBorders>
              <w:bottom w:val="single" w:sz="0" w:space="0" w:color="auto"/>
            </w:tcBorders>
            <w:vAlign w:val="bottom"/>
          </w:tcPr>
          <w:p w14:paraId="43C01882" w14:textId="77777777" w:rsidR="00FA75C9" w:rsidRDefault="00000000" w:rsidP="00D56005">
            <w:pPr>
              <w:pStyle w:val="Compact"/>
              <w:spacing w:line="360" w:lineRule="auto"/>
              <w:jc w:val="right"/>
            </w:pPr>
            <w:r>
              <w:lastRenderedPageBreak/>
              <w:t xml:space="preserve">FF5+MOM α </w:t>
            </w:r>
            <w:r>
              <w:lastRenderedPageBreak/>
              <w:t>(diff)</w:t>
            </w:r>
          </w:p>
        </w:tc>
        <w:tc>
          <w:tcPr>
            <w:tcW w:w="0" w:type="auto"/>
            <w:tcBorders>
              <w:bottom w:val="single" w:sz="0" w:space="0" w:color="auto"/>
            </w:tcBorders>
            <w:vAlign w:val="bottom"/>
          </w:tcPr>
          <w:p w14:paraId="3B790B6B" w14:textId="77777777" w:rsidR="00FA75C9" w:rsidRDefault="00000000" w:rsidP="00D56005">
            <w:pPr>
              <w:pStyle w:val="Compact"/>
              <w:spacing w:line="360" w:lineRule="auto"/>
              <w:jc w:val="right"/>
            </w:pPr>
            <w:r>
              <w:lastRenderedPageBreak/>
              <w:t>α t-</w:t>
            </w:r>
            <w:r>
              <w:lastRenderedPageBreak/>
              <w:t>stat</w:t>
            </w:r>
          </w:p>
        </w:tc>
      </w:tr>
      <w:tr w:rsidR="00FA75C9" w14:paraId="787D206E" w14:textId="77777777">
        <w:tc>
          <w:tcPr>
            <w:tcW w:w="0" w:type="auto"/>
          </w:tcPr>
          <w:p w14:paraId="012742A2" w14:textId="77777777" w:rsidR="00FA75C9" w:rsidRDefault="00000000" w:rsidP="00D56005">
            <w:pPr>
              <w:pStyle w:val="Compact"/>
              <w:spacing w:line="360" w:lineRule="auto"/>
            </w:pPr>
            <w:r>
              <w:lastRenderedPageBreak/>
              <w:t>All</w:t>
            </w:r>
          </w:p>
        </w:tc>
        <w:tc>
          <w:tcPr>
            <w:tcW w:w="0" w:type="auto"/>
          </w:tcPr>
          <w:p w14:paraId="5A33E078" w14:textId="77777777" w:rsidR="00FA75C9" w:rsidRDefault="00000000" w:rsidP="00D56005">
            <w:pPr>
              <w:pStyle w:val="Compact"/>
              <w:spacing w:line="360" w:lineRule="auto"/>
            </w:pPr>
            <w:r>
              <w:t>Full universe</w:t>
            </w:r>
          </w:p>
        </w:tc>
        <w:tc>
          <w:tcPr>
            <w:tcW w:w="0" w:type="auto"/>
          </w:tcPr>
          <w:p w14:paraId="13374E77" w14:textId="77777777" w:rsidR="00FA75C9" w:rsidRDefault="00000000" w:rsidP="00D56005">
            <w:pPr>
              <w:pStyle w:val="Compact"/>
              <w:spacing w:line="360" w:lineRule="auto"/>
              <w:jc w:val="right"/>
            </w:pPr>
            <w:r>
              <w:t>11.53%</w:t>
            </w:r>
          </w:p>
        </w:tc>
        <w:tc>
          <w:tcPr>
            <w:tcW w:w="0" w:type="auto"/>
          </w:tcPr>
          <w:p w14:paraId="4BC9D544" w14:textId="77777777" w:rsidR="00FA75C9" w:rsidRDefault="00000000" w:rsidP="00D56005">
            <w:pPr>
              <w:pStyle w:val="Compact"/>
              <w:spacing w:line="360" w:lineRule="auto"/>
              <w:jc w:val="right"/>
            </w:pPr>
            <w:r>
              <w:t>0.53</w:t>
            </w:r>
          </w:p>
        </w:tc>
        <w:tc>
          <w:tcPr>
            <w:tcW w:w="0" w:type="auto"/>
          </w:tcPr>
          <w:p w14:paraId="190767B9" w14:textId="77777777" w:rsidR="00FA75C9" w:rsidRDefault="00000000" w:rsidP="00D56005">
            <w:pPr>
              <w:pStyle w:val="Compact"/>
              <w:spacing w:line="360" w:lineRule="auto"/>
              <w:jc w:val="right"/>
            </w:pPr>
            <w:r>
              <w:t>—</w:t>
            </w:r>
          </w:p>
        </w:tc>
        <w:tc>
          <w:tcPr>
            <w:tcW w:w="0" w:type="auto"/>
          </w:tcPr>
          <w:p w14:paraId="4C22EBC3" w14:textId="77777777" w:rsidR="00FA75C9" w:rsidRDefault="00000000" w:rsidP="00D56005">
            <w:pPr>
              <w:pStyle w:val="Compact"/>
              <w:spacing w:line="360" w:lineRule="auto"/>
              <w:jc w:val="right"/>
            </w:pPr>
            <w:r>
              <w:t>—</w:t>
            </w:r>
          </w:p>
        </w:tc>
        <w:tc>
          <w:tcPr>
            <w:tcW w:w="0" w:type="auto"/>
          </w:tcPr>
          <w:p w14:paraId="72BB8395" w14:textId="77777777" w:rsidR="00FA75C9" w:rsidRDefault="00000000" w:rsidP="00D56005">
            <w:pPr>
              <w:pStyle w:val="Compact"/>
              <w:spacing w:line="360" w:lineRule="auto"/>
              <w:jc w:val="right"/>
            </w:pPr>
            <w:r>
              <w:t>—</w:t>
            </w:r>
          </w:p>
        </w:tc>
        <w:tc>
          <w:tcPr>
            <w:tcW w:w="0" w:type="auto"/>
          </w:tcPr>
          <w:p w14:paraId="1EB3F2FA" w14:textId="77777777" w:rsidR="00FA75C9" w:rsidRDefault="00000000" w:rsidP="00D56005">
            <w:pPr>
              <w:pStyle w:val="Compact"/>
              <w:spacing w:line="360" w:lineRule="auto"/>
              <w:jc w:val="right"/>
            </w:pPr>
            <w:r>
              <w:t>—</w:t>
            </w:r>
          </w:p>
        </w:tc>
      </w:tr>
      <w:tr w:rsidR="00FA75C9" w14:paraId="77AE82F4" w14:textId="77777777">
        <w:tc>
          <w:tcPr>
            <w:tcW w:w="0" w:type="auto"/>
          </w:tcPr>
          <w:p w14:paraId="73522454" w14:textId="77777777" w:rsidR="00FA75C9" w:rsidRDefault="00000000" w:rsidP="00D56005">
            <w:pPr>
              <w:pStyle w:val="Compact"/>
              <w:spacing w:line="360" w:lineRule="auto"/>
            </w:pPr>
            <w:r>
              <w:t>All</w:t>
            </w:r>
          </w:p>
        </w:tc>
        <w:tc>
          <w:tcPr>
            <w:tcW w:w="0" w:type="auto"/>
          </w:tcPr>
          <w:p w14:paraId="31489AD6" w14:textId="77777777" w:rsidR="00FA75C9" w:rsidRDefault="00000000" w:rsidP="00D56005">
            <w:pPr>
              <w:pStyle w:val="Compact"/>
              <w:spacing w:line="360" w:lineRule="auto"/>
            </w:pPr>
            <w:r>
              <w:t>Exclude bottom decile</w:t>
            </w:r>
          </w:p>
        </w:tc>
        <w:tc>
          <w:tcPr>
            <w:tcW w:w="0" w:type="auto"/>
          </w:tcPr>
          <w:p w14:paraId="4968C202" w14:textId="77777777" w:rsidR="00FA75C9" w:rsidRDefault="00000000" w:rsidP="00D56005">
            <w:pPr>
              <w:pStyle w:val="Compact"/>
              <w:spacing w:line="360" w:lineRule="auto"/>
              <w:jc w:val="right"/>
            </w:pPr>
            <w:r>
              <w:t>12.37%</w:t>
            </w:r>
          </w:p>
        </w:tc>
        <w:tc>
          <w:tcPr>
            <w:tcW w:w="0" w:type="auto"/>
          </w:tcPr>
          <w:p w14:paraId="52E79E64" w14:textId="77777777" w:rsidR="00FA75C9" w:rsidRDefault="00000000" w:rsidP="00D56005">
            <w:pPr>
              <w:pStyle w:val="Compact"/>
              <w:spacing w:line="360" w:lineRule="auto"/>
              <w:jc w:val="right"/>
            </w:pPr>
            <w:r>
              <w:t>0.58</w:t>
            </w:r>
          </w:p>
        </w:tc>
        <w:tc>
          <w:tcPr>
            <w:tcW w:w="0" w:type="auto"/>
          </w:tcPr>
          <w:p w14:paraId="1AB4501A" w14:textId="77777777" w:rsidR="00FA75C9" w:rsidRDefault="00000000" w:rsidP="00D56005">
            <w:pPr>
              <w:pStyle w:val="Compact"/>
              <w:spacing w:line="360" w:lineRule="auto"/>
              <w:jc w:val="right"/>
            </w:pPr>
            <w:r>
              <w:t>0.84%</w:t>
            </w:r>
          </w:p>
        </w:tc>
        <w:tc>
          <w:tcPr>
            <w:tcW w:w="0" w:type="auto"/>
          </w:tcPr>
          <w:p w14:paraId="1271ACE5" w14:textId="77777777" w:rsidR="00FA75C9" w:rsidRDefault="00000000" w:rsidP="00D56005">
            <w:pPr>
              <w:pStyle w:val="Compact"/>
              <w:spacing w:line="360" w:lineRule="auto"/>
              <w:jc w:val="right"/>
            </w:pPr>
            <w:r>
              <w:t>4.00</w:t>
            </w:r>
          </w:p>
        </w:tc>
        <w:tc>
          <w:tcPr>
            <w:tcW w:w="0" w:type="auto"/>
          </w:tcPr>
          <w:p w14:paraId="2E02908E" w14:textId="77777777" w:rsidR="00FA75C9" w:rsidRDefault="00000000" w:rsidP="00D56005">
            <w:pPr>
              <w:pStyle w:val="Compact"/>
              <w:spacing w:line="360" w:lineRule="auto"/>
              <w:jc w:val="right"/>
            </w:pPr>
            <w:r>
              <w:t>0.71%</w:t>
            </w:r>
          </w:p>
        </w:tc>
        <w:tc>
          <w:tcPr>
            <w:tcW w:w="0" w:type="auto"/>
          </w:tcPr>
          <w:p w14:paraId="33705660" w14:textId="77777777" w:rsidR="00FA75C9" w:rsidRDefault="00000000" w:rsidP="00D56005">
            <w:pPr>
              <w:pStyle w:val="Compact"/>
              <w:spacing w:line="360" w:lineRule="auto"/>
              <w:jc w:val="right"/>
            </w:pPr>
            <w:r>
              <w:t>5.07</w:t>
            </w:r>
          </w:p>
        </w:tc>
      </w:tr>
      <w:tr w:rsidR="00FA75C9" w14:paraId="28D0847C" w14:textId="77777777">
        <w:tc>
          <w:tcPr>
            <w:tcW w:w="0" w:type="auto"/>
          </w:tcPr>
          <w:p w14:paraId="7CE2C1EC" w14:textId="77777777" w:rsidR="00FA75C9" w:rsidRDefault="00000000" w:rsidP="00D56005">
            <w:pPr>
              <w:pStyle w:val="Compact"/>
              <w:spacing w:line="360" w:lineRule="auto"/>
            </w:pPr>
            <w:r>
              <w:t>All</w:t>
            </w:r>
          </w:p>
        </w:tc>
        <w:tc>
          <w:tcPr>
            <w:tcW w:w="0" w:type="auto"/>
          </w:tcPr>
          <w:p w14:paraId="22368188" w14:textId="77777777" w:rsidR="00FA75C9" w:rsidRDefault="00000000" w:rsidP="00D56005">
            <w:pPr>
              <w:pStyle w:val="Compact"/>
              <w:spacing w:line="360" w:lineRule="auto"/>
            </w:pPr>
            <w:r>
              <w:t>Exclude bottom quintile</w:t>
            </w:r>
          </w:p>
        </w:tc>
        <w:tc>
          <w:tcPr>
            <w:tcW w:w="0" w:type="auto"/>
          </w:tcPr>
          <w:p w14:paraId="20140F8E" w14:textId="77777777" w:rsidR="00FA75C9" w:rsidRDefault="00000000" w:rsidP="00D56005">
            <w:pPr>
              <w:pStyle w:val="Compact"/>
              <w:spacing w:line="360" w:lineRule="auto"/>
              <w:jc w:val="right"/>
            </w:pPr>
            <w:r>
              <w:t>12.89%</w:t>
            </w:r>
          </w:p>
        </w:tc>
        <w:tc>
          <w:tcPr>
            <w:tcW w:w="0" w:type="auto"/>
          </w:tcPr>
          <w:p w14:paraId="3CA58990" w14:textId="77777777" w:rsidR="00FA75C9" w:rsidRDefault="00000000" w:rsidP="00D56005">
            <w:pPr>
              <w:pStyle w:val="Compact"/>
              <w:spacing w:line="360" w:lineRule="auto"/>
              <w:jc w:val="right"/>
            </w:pPr>
            <w:r>
              <w:t>0.60</w:t>
            </w:r>
          </w:p>
        </w:tc>
        <w:tc>
          <w:tcPr>
            <w:tcW w:w="0" w:type="auto"/>
          </w:tcPr>
          <w:p w14:paraId="359B1E06" w14:textId="77777777" w:rsidR="00FA75C9" w:rsidRDefault="00000000" w:rsidP="00D56005">
            <w:pPr>
              <w:pStyle w:val="Compact"/>
              <w:spacing w:line="360" w:lineRule="auto"/>
              <w:jc w:val="right"/>
            </w:pPr>
            <w:r>
              <w:t>1.36%</w:t>
            </w:r>
          </w:p>
        </w:tc>
        <w:tc>
          <w:tcPr>
            <w:tcW w:w="0" w:type="auto"/>
          </w:tcPr>
          <w:p w14:paraId="1ADB9550" w14:textId="77777777" w:rsidR="00FA75C9" w:rsidRDefault="00000000" w:rsidP="00D56005">
            <w:pPr>
              <w:pStyle w:val="Compact"/>
              <w:spacing w:line="360" w:lineRule="auto"/>
              <w:jc w:val="right"/>
            </w:pPr>
            <w:r>
              <w:t>5.40</w:t>
            </w:r>
          </w:p>
        </w:tc>
        <w:tc>
          <w:tcPr>
            <w:tcW w:w="0" w:type="auto"/>
          </w:tcPr>
          <w:p w14:paraId="74FBDC53" w14:textId="77777777" w:rsidR="00FA75C9" w:rsidRDefault="00000000" w:rsidP="00D56005">
            <w:pPr>
              <w:pStyle w:val="Compact"/>
              <w:spacing w:line="360" w:lineRule="auto"/>
              <w:jc w:val="right"/>
            </w:pPr>
            <w:r>
              <w:t>1.13%</w:t>
            </w:r>
          </w:p>
        </w:tc>
        <w:tc>
          <w:tcPr>
            <w:tcW w:w="0" w:type="auto"/>
          </w:tcPr>
          <w:p w14:paraId="7D405A2E" w14:textId="77777777" w:rsidR="00FA75C9" w:rsidRDefault="00000000" w:rsidP="00D56005">
            <w:pPr>
              <w:pStyle w:val="Compact"/>
              <w:spacing w:line="360" w:lineRule="auto"/>
              <w:jc w:val="right"/>
            </w:pPr>
            <w:r>
              <w:t>5.90</w:t>
            </w:r>
          </w:p>
        </w:tc>
      </w:tr>
      <w:tr w:rsidR="00FA75C9" w14:paraId="5E475DC7" w14:textId="77777777">
        <w:tc>
          <w:tcPr>
            <w:tcW w:w="0" w:type="auto"/>
          </w:tcPr>
          <w:p w14:paraId="62774091" w14:textId="77777777" w:rsidR="00FA75C9" w:rsidRDefault="00000000" w:rsidP="00D56005">
            <w:pPr>
              <w:pStyle w:val="Compact"/>
              <w:spacing w:line="360" w:lineRule="auto"/>
            </w:pPr>
            <w:r>
              <w:t>$100M+</w:t>
            </w:r>
          </w:p>
        </w:tc>
        <w:tc>
          <w:tcPr>
            <w:tcW w:w="0" w:type="auto"/>
          </w:tcPr>
          <w:p w14:paraId="13F4EB5F" w14:textId="77777777" w:rsidR="00FA75C9" w:rsidRDefault="00000000" w:rsidP="00D56005">
            <w:pPr>
              <w:pStyle w:val="Compact"/>
              <w:spacing w:line="360" w:lineRule="auto"/>
            </w:pPr>
            <w:r>
              <w:t>Full universe</w:t>
            </w:r>
          </w:p>
        </w:tc>
        <w:tc>
          <w:tcPr>
            <w:tcW w:w="0" w:type="auto"/>
          </w:tcPr>
          <w:p w14:paraId="35F6562E" w14:textId="77777777" w:rsidR="00FA75C9" w:rsidRDefault="00000000" w:rsidP="00D56005">
            <w:pPr>
              <w:pStyle w:val="Compact"/>
              <w:spacing w:line="360" w:lineRule="auto"/>
              <w:jc w:val="right"/>
            </w:pPr>
            <w:r>
              <w:t>11.92%</w:t>
            </w:r>
          </w:p>
        </w:tc>
        <w:tc>
          <w:tcPr>
            <w:tcW w:w="0" w:type="auto"/>
          </w:tcPr>
          <w:p w14:paraId="4655052B" w14:textId="77777777" w:rsidR="00FA75C9" w:rsidRDefault="00000000" w:rsidP="00D56005">
            <w:pPr>
              <w:pStyle w:val="Compact"/>
              <w:spacing w:line="360" w:lineRule="auto"/>
              <w:jc w:val="right"/>
            </w:pPr>
            <w:r>
              <w:t>0.57</w:t>
            </w:r>
          </w:p>
        </w:tc>
        <w:tc>
          <w:tcPr>
            <w:tcW w:w="0" w:type="auto"/>
          </w:tcPr>
          <w:p w14:paraId="46B41006" w14:textId="77777777" w:rsidR="00FA75C9" w:rsidRDefault="00000000" w:rsidP="00D56005">
            <w:pPr>
              <w:pStyle w:val="Compact"/>
              <w:spacing w:line="360" w:lineRule="auto"/>
              <w:jc w:val="right"/>
            </w:pPr>
            <w:r>
              <w:t>—</w:t>
            </w:r>
          </w:p>
        </w:tc>
        <w:tc>
          <w:tcPr>
            <w:tcW w:w="0" w:type="auto"/>
          </w:tcPr>
          <w:p w14:paraId="04D78203" w14:textId="77777777" w:rsidR="00FA75C9" w:rsidRDefault="00000000" w:rsidP="00D56005">
            <w:pPr>
              <w:pStyle w:val="Compact"/>
              <w:spacing w:line="360" w:lineRule="auto"/>
              <w:jc w:val="right"/>
            </w:pPr>
            <w:r>
              <w:t>—</w:t>
            </w:r>
          </w:p>
        </w:tc>
        <w:tc>
          <w:tcPr>
            <w:tcW w:w="0" w:type="auto"/>
          </w:tcPr>
          <w:p w14:paraId="5AA359AC" w14:textId="77777777" w:rsidR="00FA75C9" w:rsidRDefault="00000000" w:rsidP="00D56005">
            <w:pPr>
              <w:pStyle w:val="Compact"/>
              <w:spacing w:line="360" w:lineRule="auto"/>
              <w:jc w:val="right"/>
            </w:pPr>
            <w:r>
              <w:t>—</w:t>
            </w:r>
          </w:p>
        </w:tc>
        <w:tc>
          <w:tcPr>
            <w:tcW w:w="0" w:type="auto"/>
          </w:tcPr>
          <w:p w14:paraId="47B3F83F" w14:textId="77777777" w:rsidR="00FA75C9" w:rsidRDefault="00000000" w:rsidP="00D56005">
            <w:pPr>
              <w:pStyle w:val="Compact"/>
              <w:spacing w:line="360" w:lineRule="auto"/>
              <w:jc w:val="right"/>
            </w:pPr>
            <w:r>
              <w:t>—</w:t>
            </w:r>
          </w:p>
        </w:tc>
      </w:tr>
      <w:tr w:rsidR="00FA75C9" w14:paraId="51E64541" w14:textId="77777777">
        <w:tc>
          <w:tcPr>
            <w:tcW w:w="0" w:type="auto"/>
          </w:tcPr>
          <w:p w14:paraId="72E593C6" w14:textId="77777777" w:rsidR="00FA75C9" w:rsidRDefault="00000000" w:rsidP="00D56005">
            <w:pPr>
              <w:pStyle w:val="Compact"/>
              <w:spacing w:line="360" w:lineRule="auto"/>
            </w:pPr>
            <w:r>
              <w:t>$100M+</w:t>
            </w:r>
          </w:p>
        </w:tc>
        <w:tc>
          <w:tcPr>
            <w:tcW w:w="0" w:type="auto"/>
          </w:tcPr>
          <w:p w14:paraId="6C631620" w14:textId="77777777" w:rsidR="00FA75C9" w:rsidRDefault="00000000" w:rsidP="00D56005">
            <w:pPr>
              <w:pStyle w:val="Compact"/>
              <w:spacing w:line="360" w:lineRule="auto"/>
            </w:pPr>
            <w:r>
              <w:t>Exclude bottom decile</w:t>
            </w:r>
          </w:p>
        </w:tc>
        <w:tc>
          <w:tcPr>
            <w:tcW w:w="0" w:type="auto"/>
          </w:tcPr>
          <w:p w14:paraId="3054CBED" w14:textId="77777777" w:rsidR="00FA75C9" w:rsidRDefault="00000000" w:rsidP="00D56005">
            <w:pPr>
              <w:pStyle w:val="Compact"/>
              <w:spacing w:line="360" w:lineRule="auto"/>
              <w:jc w:val="right"/>
            </w:pPr>
            <w:r>
              <w:t>12.78%</w:t>
            </w:r>
          </w:p>
        </w:tc>
        <w:tc>
          <w:tcPr>
            <w:tcW w:w="0" w:type="auto"/>
          </w:tcPr>
          <w:p w14:paraId="40201824" w14:textId="77777777" w:rsidR="00FA75C9" w:rsidRDefault="00000000" w:rsidP="00D56005">
            <w:pPr>
              <w:pStyle w:val="Compact"/>
              <w:spacing w:line="360" w:lineRule="auto"/>
              <w:jc w:val="right"/>
            </w:pPr>
            <w:r>
              <w:t>0.62</w:t>
            </w:r>
          </w:p>
        </w:tc>
        <w:tc>
          <w:tcPr>
            <w:tcW w:w="0" w:type="auto"/>
          </w:tcPr>
          <w:p w14:paraId="2A4AFD23" w14:textId="77777777" w:rsidR="00FA75C9" w:rsidRDefault="00000000" w:rsidP="00D56005">
            <w:pPr>
              <w:pStyle w:val="Compact"/>
              <w:spacing w:line="360" w:lineRule="auto"/>
              <w:jc w:val="right"/>
            </w:pPr>
            <w:r>
              <w:t>0.86%</w:t>
            </w:r>
          </w:p>
        </w:tc>
        <w:tc>
          <w:tcPr>
            <w:tcW w:w="0" w:type="auto"/>
          </w:tcPr>
          <w:p w14:paraId="19DDFC50" w14:textId="77777777" w:rsidR="00FA75C9" w:rsidRDefault="00000000" w:rsidP="00D56005">
            <w:pPr>
              <w:pStyle w:val="Compact"/>
              <w:spacing w:line="360" w:lineRule="auto"/>
              <w:jc w:val="right"/>
            </w:pPr>
            <w:r>
              <w:t>5.87</w:t>
            </w:r>
          </w:p>
        </w:tc>
        <w:tc>
          <w:tcPr>
            <w:tcW w:w="0" w:type="auto"/>
          </w:tcPr>
          <w:p w14:paraId="74253F4F" w14:textId="77777777" w:rsidR="00FA75C9" w:rsidRDefault="00000000" w:rsidP="00D56005">
            <w:pPr>
              <w:pStyle w:val="Compact"/>
              <w:spacing w:line="360" w:lineRule="auto"/>
              <w:jc w:val="right"/>
            </w:pPr>
            <w:r>
              <w:t>0.70%</w:t>
            </w:r>
          </w:p>
        </w:tc>
        <w:tc>
          <w:tcPr>
            <w:tcW w:w="0" w:type="auto"/>
          </w:tcPr>
          <w:p w14:paraId="53FAA705" w14:textId="77777777" w:rsidR="00FA75C9" w:rsidRDefault="00000000" w:rsidP="00D56005">
            <w:pPr>
              <w:pStyle w:val="Compact"/>
              <w:spacing w:line="360" w:lineRule="auto"/>
              <w:jc w:val="right"/>
            </w:pPr>
            <w:r>
              <w:t>5.85</w:t>
            </w:r>
          </w:p>
        </w:tc>
      </w:tr>
      <w:tr w:rsidR="00FA75C9" w14:paraId="447D47C8" w14:textId="77777777">
        <w:tc>
          <w:tcPr>
            <w:tcW w:w="0" w:type="auto"/>
          </w:tcPr>
          <w:p w14:paraId="09FBB1AC" w14:textId="77777777" w:rsidR="00FA75C9" w:rsidRDefault="00000000" w:rsidP="00D56005">
            <w:pPr>
              <w:pStyle w:val="Compact"/>
              <w:spacing w:line="360" w:lineRule="auto"/>
            </w:pPr>
            <w:r>
              <w:t>$100M+</w:t>
            </w:r>
          </w:p>
        </w:tc>
        <w:tc>
          <w:tcPr>
            <w:tcW w:w="0" w:type="auto"/>
          </w:tcPr>
          <w:p w14:paraId="17DBCBE8" w14:textId="77777777" w:rsidR="00FA75C9" w:rsidRDefault="00000000" w:rsidP="00D56005">
            <w:pPr>
              <w:pStyle w:val="Compact"/>
              <w:spacing w:line="360" w:lineRule="auto"/>
            </w:pPr>
            <w:r>
              <w:t>Exclude bottom quintile</w:t>
            </w:r>
          </w:p>
        </w:tc>
        <w:tc>
          <w:tcPr>
            <w:tcW w:w="0" w:type="auto"/>
          </w:tcPr>
          <w:p w14:paraId="662A5480" w14:textId="77777777" w:rsidR="00FA75C9" w:rsidRDefault="00000000" w:rsidP="00D56005">
            <w:pPr>
              <w:pStyle w:val="Compact"/>
              <w:spacing w:line="360" w:lineRule="auto"/>
              <w:jc w:val="right"/>
            </w:pPr>
            <w:r>
              <w:t>13.15%</w:t>
            </w:r>
          </w:p>
        </w:tc>
        <w:tc>
          <w:tcPr>
            <w:tcW w:w="0" w:type="auto"/>
          </w:tcPr>
          <w:p w14:paraId="00F8AECF" w14:textId="77777777" w:rsidR="00FA75C9" w:rsidRDefault="00000000" w:rsidP="00D56005">
            <w:pPr>
              <w:pStyle w:val="Compact"/>
              <w:spacing w:line="360" w:lineRule="auto"/>
              <w:jc w:val="right"/>
            </w:pPr>
            <w:r>
              <w:t>0.63</w:t>
            </w:r>
          </w:p>
        </w:tc>
        <w:tc>
          <w:tcPr>
            <w:tcW w:w="0" w:type="auto"/>
          </w:tcPr>
          <w:p w14:paraId="5F56FBC9" w14:textId="77777777" w:rsidR="00FA75C9" w:rsidRDefault="00000000" w:rsidP="00D56005">
            <w:pPr>
              <w:pStyle w:val="Compact"/>
              <w:spacing w:line="360" w:lineRule="auto"/>
              <w:jc w:val="right"/>
            </w:pPr>
            <w:r>
              <w:t>1.23%</w:t>
            </w:r>
          </w:p>
        </w:tc>
        <w:tc>
          <w:tcPr>
            <w:tcW w:w="0" w:type="auto"/>
          </w:tcPr>
          <w:p w14:paraId="27063DE4" w14:textId="77777777" w:rsidR="00FA75C9" w:rsidRDefault="00000000" w:rsidP="00D56005">
            <w:pPr>
              <w:pStyle w:val="Compact"/>
              <w:spacing w:line="360" w:lineRule="auto"/>
              <w:jc w:val="right"/>
            </w:pPr>
            <w:r>
              <w:t>5.92</w:t>
            </w:r>
          </w:p>
        </w:tc>
        <w:tc>
          <w:tcPr>
            <w:tcW w:w="0" w:type="auto"/>
          </w:tcPr>
          <w:p w14:paraId="35811A09" w14:textId="77777777" w:rsidR="00FA75C9" w:rsidRDefault="00000000" w:rsidP="00D56005">
            <w:pPr>
              <w:pStyle w:val="Compact"/>
              <w:spacing w:line="360" w:lineRule="auto"/>
              <w:jc w:val="right"/>
            </w:pPr>
            <w:r>
              <w:t>1.00%</w:t>
            </w:r>
          </w:p>
        </w:tc>
        <w:tc>
          <w:tcPr>
            <w:tcW w:w="0" w:type="auto"/>
          </w:tcPr>
          <w:p w14:paraId="34D0ACAD" w14:textId="77777777" w:rsidR="00FA75C9" w:rsidRDefault="00000000" w:rsidP="00D56005">
            <w:pPr>
              <w:pStyle w:val="Compact"/>
              <w:spacing w:line="360" w:lineRule="auto"/>
              <w:jc w:val="right"/>
            </w:pPr>
            <w:r>
              <w:t>5.61</w:t>
            </w:r>
          </w:p>
        </w:tc>
      </w:tr>
    </w:tbl>
    <w:p w14:paraId="1537A2D1" w14:textId="77777777" w:rsidR="00FA75C9" w:rsidRDefault="00000000" w:rsidP="00D56005">
      <w:pPr>
        <w:pStyle w:val="BodyText"/>
        <w:spacing w:line="360" w:lineRule="auto"/>
      </w:pPr>
      <w:r>
        <w:rPr>
          <w:b/>
        </w:rPr>
        <w:t>Table 8. Approximate one-way membership turnover and rough cost-net improvement for the bottom-decile exclusion screen.</w:t>
      </w:r>
      <w:r>
        <w:t xml:space="preserve"> Cost-net improvement applies the per-side cost rate from Section 10 to the </w:t>
      </w:r>
      <w:r>
        <w:rPr>
          <w:i/>
        </w:rPr>
        <w:t>single long leg</w:t>
      </w:r>
      <w:r>
        <w:t xml:space="preserve"> of the exclusion portfolio (annualized drag ≈ cost × turnover × 12).</w:t>
      </w:r>
    </w:p>
    <w:tbl>
      <w:tblPr>
        <w:tblStyle w:val="Table"/>
        <w:tblW w:w="5000" w:type="pct"/>
        <w:tblLook w:val="07E0" w:firstRow="1" w:lastRow="1" w:firstColumn="1" w:lastColumn="1" w:noHBand="1" w:noVBand="1"/>
      </w:tblPr>
      <w:tblGrid>
        <w:gridCol w:w="1130"/>
        <w:gridCol w:w="1708"/>
        <w:gridCol w:w="1544"/>
        <w:gridCol w:w="2597"/>
        <w:gridCol w:w="2597"/>
      </w:tblGrid>
      <w:tr w:rsidR="00FA75C9" w14:paraId="17F4E49E" w14:textId="77777777">
        <w:tc>
          <w:tcPr>
            <w:tcW w:w="0" w:type="auto"/>
            <w:tcBorders>
              <w:bottom w:val="single" w:sz="0" w:space="0" w:color="auto"/>
            </w:tcBorders>
            <w:vAlign w:val="bottom"/>
          </w:tcPr>
          <w:p w14:paraId="126DF9A1" w14:textId="77777777" w:rsidR="00FA75C9" w:rsidRDefault="00000000" w:rsidP="00D56005">
            <w:pPr>
              <w:pStyle w:val="Compact"/>
              <w:spacing w:line="360" w:lineRule="auto"/>
            </w:pPr>
            <w:r>
              <w:t>Universe</w:t>
            </w:r>
          </w:p>
        </w:tc>
        <w:tc>
          <w:tcPr>
            <w:tcW w:w="0" w:type="auto"/>
            <w:tcBorders>
              <w:bottom w:val="single" w:sz="0" w:space="0" w:color="auto"/>
            </w:tcBorders>
            <w:vAlign w:val="bottom"/>
          </w:tcPr>
          <w:p w14:paraId="200E56D4" w14:textId="77777777" w:rsidR="00FA75C9" w:rsidRDefault="00000000" w:rsidP="00D56005">
            <w:pPr>
              <w:pStyle w:val="Compact"/>
              <w:spacing w:line="360" w:lineRule="auto"/>
            </w:pPr>
            <w:r>
              <w:t>Portfolio</w:t>
            </w:r>
          </w:p>
        </w:tc>
        <w:tc>
          <w:tcPr>
            <w:tcW w:w="0" w:type="auto"/>
            <w:tcBorders>
              <w:bottom w:val="single" w:sz="0" w:space="0" w:color="auto"/>
            </w:tcBorders>
            <w:vAlign w:val="bottom"/>
          </w:tcPr>
          <w:p w14:paraId="6125C57A" w14:textId="77777777" w:rsidR="00FA75C9" w:rsidRDefault="00000000" w:rsidP="00D56005">
            <w:pPr>
              <w:pStyle w:val="Compact"/>
              <w:spacing w:line="360" w:lineRule="auto"/>
              <w:jc w:val="right"/>
            </w:pPr>
            <w:r>
              <w:t>One-way turnover</w:t>
            </w:r>
          </w:p>
        </w:tc>
        <w:tc>
          <w:tcPr>
            <w:tcW w:w="0" w:type="auto"/>
            <w:tcBorders>
              <w:bottom w:val="single" w:sz="0" w:space="0" w:color="auto"/>
            </w:tcBorders>
            <w:vAlign w:val="bottom"/>
          </w:tcPr>
          <w:p w14:paraId="0115B796" w14:textId="77777777" w:rsidR="00FA75C9" w:rsidRDefault="00000000" w:rsidP="00D56005">
            <w:pPr>
              <w:pStyle w:val="Compact"/>
              <w:spacing w:line="360" w:lineRule="auto"/>
              <w:jc w:val="right"/>
            </w:pPr>
            <w:r>
              <w:t>Net improvement at 25 bps per side</w:t>
            </w:r>
          </w:p>
        </w:tc>
        <w:tc>
          <w:tcPr>
            <w:tcW w:w="0" w:type="auto"/>
            <w:tcBorders>
              <w:bottom w:val="single" w:sz="0" w:space="0" w:color="auto"/>
            </w:tcBorders>
            <w:vAlign w:val="bottom"/>
          </w:tcPr>
          <w:p w14:paraId="393095F0" w14:textId="77777777" w:rsidR="00FA75C9" w:rsidRDefault="00000000" w:rsidP="00D56005">
            <w:pPr>
              <w:pStyle w:val="Compact"/>
              <w:spacing w:line="360" w:lineRule="auto"/>
              <w:jc w:val="right"/>
            </w:pPr>
            <w:r>
              <w:t>Net improvement at 50 bps per side</w:t>
            </w:r>
          </w:p>
        </w:tc>
      </w:tr>
      <w:tr w:rsidR="00FA75C9" w14:paraId="0EA2FBF8" w14:textId="77777777">
        <w:tc>
          <w:tcPr>
            <w:tcW w:w="0" w:type="auto"/>
          </w:tcPr>
          <w:p w14:paraId="28F34AD4" w14:textId="77777777" w:rsidR="00FA75C9" w:rsidRDefault="00000000" w:rsidP="00D56005">
            <w:pPr>
              <w:pStyle w:val="Compact"/>
              <w:spacing w:line="360" w:lineRule="auto"/>
            </w:pPr>
            <w:r>
              <w:t>All</w:t>
            </w:r>
          </w:p>
        </w:tc>
        <w:tc>
          <w:tcPr>
            <w:tcW w:w="0" w:type="auto"/>
          </w:tcPr>
          <w:p w14:paraId="188A8128" w14:textId="77777777" w:rsidR="00FA75C9" w:rsidRDefault="00000000" w:rsidP="00D56005">
            <w:pPr>
              <w:pStyle w:val="Compact"/>
              <w:spacing w:line="360" w:lineRule="auto"/>
            </w:pPr>
            <w:r>
              <w:t>Exclude bottom decile</w:t>
            </w:r>
          </w:p>
        </w:tc>
        <w:tc>
          <w:tcPr>
            <w:tcW w:w="0" w:type="auto"/>
          </w:tcPr>
          <w:p w14:paraId="1489A2B7" w14:textId="77777777" w:rsidR="00FA75C9" w:rsidRDefault="00000000" w:rsidP="00D56005">
            <w:pPr>
              <w:pStyle w:val="Compact"/>
              <w:spacing w:line="360" w:lineRule="auto"/>
              <w:jc w:val="right"/>
            </w:pPr>
            <w:r>
              <w:t>8.46%</w:t>
            </w:r>
          </w:p>
        </w:tc>
        <w:tc>
          <w:tcPr>
            <w:tcW w:w="0" w:type="auto"/>
          </w:tcPr>
          <w:p w14:paraId="7F340F62" w14:textId="77777777" w:rsidR="00FA75C9" w:rsidRDefault="00000000" w:rsidP="00D56005">
            <w:pPr>
              <w:pStyle w:val="Compact"/>
              <w:spacing w:line="360" w:lineRule="auto"/>
              <w:jc w:val="right"/>
            </w:pPr>
            <w:r>
              <w:t>0.59%</w:t>
            </w:r>
          </w:p>
        </w:tc>
        <w:tc>
          <w:tcPr>
            <w:tcW w:w="0" w:type="auto"/>
          </w:tcPr>
          <w:p w14:paraId="0B3F18B1" w14:textId="77777777" w:rsidR="00FA75C9" w:rsidRDefault="00000000" w:rsidP="00D56005">
            <w:pPr>
              <w:pStyle w:val="Compact"/>
              <w:spacing w:line="360" w:lineRule="auto"/>
              <w:jc w:val="right"/>
            </w:pPr>
            <w:r>
              <w:t>0.34%</w:t>
            </w:r>
          </w:p>
        </w:tc>
      </w:tr>
      <w:tr w:rsidR="00FA75C9" w14:paraId="119769B0" w14:textId="77777777">
        <w:tc>
          <w:tcPr>
            <w:tcW w:w="0" w:type="auto"/>
          </w:tcPr>
          <w:p w14:paraId="1DA91F61" w14:textId="77777777" w:rsidR="00FA75C9" w:rsidRDefault="00000000" w:rsidP="00D56005">
            <w:pPr>
              <w:pStyle w:val="Compact"/>
              <w:spacing w:line="360" w:lineRule="auto"/>
            </w:pPr>
            <w:r>
              <w:t>$100M+</w:t>
            </w:r>
          </w:p>
        </w:tc>
        <w:tc>
          <w:tcPr>
            <w:tcW w:w="0" w:type="auto"/>
          </w:tcPr>
          <w:p w14:paraId="7C258E3F" w14:textId="77777777" w:rsidR="00FA75C9" w:rsidRDefault="00000000" w:rsidP="00D56005">
            <w:pPr>
              <w:pStyle w:val="Compact"/>
              <w:spacing w:line="360" w:lineRule="auto"/>
            </w:pPr>
            <w:r>
              <w:t>Exclude bottom decile</w:t>
            </w:r>
          </w:p>
        </w:tc>
        <w:tc>
          <w:tcPr>
            <w:tcW w:w="0" w:type="auto"/>
          </w:tcPr>
          <w:p w14:paraId="47CF0810" w14:textId="77777777" w:rsidR="00FA75C9" w:rsidRDefault="00000000" w:rsidP="00D56005">
            <w:pPr>
              <w:pStyle w:val="Compact"/>
              <w:spacing w:line="360" w:lineRule="auto"/>
              <w:jc w:val="right"/>
            </w:pPr>
            <w:r>
              <w:t>8.82%</w:t>
            </w:r>
          </w:p>
        </w:tc>
        <w:tc>
          <w:tcPr>
            <w:tcW w:w="0" w:type="auto"/>
          </w:tcPr>
          <w:p w14:paraId="6C752D58" w14:textId="77777777" w:rsidR="00FA75C9" w:rsidRDefault="00000000" w:rsidP="00D56005">
            <w:pPr>
              <w:pStyle w:val="Compact"/>
              <w:spacing w:line="360" w:lineRule="auto"/>
              <w:jc w:val="right"/>
            </w:pPr>
            <w:r>
              <w:t>0.60%</w:t>
            </w:r>
          </w:p>
        </w:tc>
        <w:tc>
          <w:tcPr>
            <w:tcW w:w="0" w:type="auto"/>
          </w:tcPr>
          <w:p w14:paraId="66597982" w14:textId="77777777" w:rsidR="00FA75C9" w:rsidRDefault="00000000" w:rsidP="00D56005">
            <w:pPr>
              <w:pStyle w:val="Compact"/>
              <w:spacing w:line="360" w:lineRule="auto"/>
              <w:jc w:val="right"/>
            </w:pPr>
            <w:r>
              <w:t>0.34%</w:t>
            </w:r>
          </w:p>
        </w:tc>
      </w:tr>
    </w:tbl>
    <w:p w14:paraId="78BE4945" w14:textId="77777777" w:rsidR="00FA75C9" w:rsidRDefault="00000000" w:rsidP="00D56005">
      <w:pPr>
        <w:pStyle w:val="BodyText"/>
        <w:spacing w:line="360" w:lineRule="auto"/>
      </w:pPr>
      <w:r>
        <w:rPr>
          <w:b/>
        </w:rPr>
        <w:t>Figure 6. Long-Only Exclusion Cumulative Returns.</w:t>
      </w:r>
    </w:p>
    <w:p w14:paraId="370DCF15" w14:textId="77777777" w:rsidR="00FA75C9" w:rsidRDefault="00000000" w:rsidP="00D56005">
      <w:pPr>
        <w:pStyle w:val="CaptionedFigure"/>
        <w:spacing w:line="360" w:lineRule="auto"/>
      </w:pPr>
      <w:r>
        <w:rPr>
          <w:noProof/>
        </w:rPr>
        <w:lastRenderedPageBreak/>
        <w:drawing>
          <wp:inline distT="0" distB="0" distL="0" distR="0" wp14:anchorId="02A461DD" wp14:editId="774B1BDF">
            <wp:extent cx="5334000" cy="2909454"/>
            <wp:effectExtent l="0" t="0" r="0" b="0"/>
            <wp:docPr id="1740771636" name="Picture" descr="Figure 6"/>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long_only_exclusion_cumulative_returns.png"/>
                    <pic:cNvPicPr>
                      <a:picLocks noChangeAspect="1" noChangeArrowheads="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14:paraId="27CE2B94" w14:textId="77777777" w:rsidR="00FA75C9" w:rsidRDefault="00000000" w:rsidP="00D56005">
      <w:pPr>
        <w:pStyle w:val="ImageCaption"/>
        <w:spacing w:line="360" w:lineRule="auto"/>
      </w:pPr>
      <w:r>
        <w:t>Figure 6</w:t>
      </w:r>
    </w:p>
    <w:p w14:paraId="2B6A832A" w14:textId="77777777" w:rsidR="00FA75C9" w:rsidRDefault="00000000" w:rsidP="00D56005">
      <w:pPr>
        <w:pStyle w:val="BodyText"/>
        <w:spacing w:line="360" w:lineRule="auto"/>
      </w:pPr>
      <w:r>
        <w:rPr>
          <w:i/>
        </w:rPr>
        <w:t>Figure 6. Cumulative growth of $1 for the equal-weighted full universe and the bottom-decile-exclusion portfolio, all-stock and $100M+ versions, 2010–2023.</w:t>
      </w:r>
    </w:p>
    <w:p w14:paraId="3036B727" w14:textId="77777777" w:rsidR="00FA75C9" w:rsidRDefault="00000000" w:rsidP="00D56005">
      <w:pPr>
        <w:pStyle w:val="BodyText"/>
        <w:spacing w:line="360" w:lineRule="auto"/>
      </w:pPr>
      <w:r>
        <w:rPr>
          <w:i/>
        </w:rPr>
        <w:t xml:space="preserve">Source: </w:t>
      </w:r>
      <w:r>
        <w:rPr>
          <w:rStyle w:val="VerbatimChar"/>
          <w:i/>
        </w:rPr>
        <w:t>outputs/sample_2010_2023/charts/long_only_exclusion_cumulative_returns.png</w:t>
      </w:r>
      <w:r>
        <w:rPr>
          <w:i/>
        </w:rPr>
        <w:t>.</w:t>
      </w:r>
    </w:p>
    <w:p w14:paraId="3E1D254A" w14:textId="77777777" w:rsidR="00FA75C9" w:rsidRDefault="00000000" w:rsidP="00D56005">
      <w:pPr>
        <w:pStyle w:val="BodyText"/>
        <w:spacing w:line="360" w:lineRule="auto"/>
      </w:pPr>
      <w:r>
        <w:rPr>
          <w:b/>
        </w:rPr>
        <w:t>Figure 7. Long-Only Cost Sensitivity.</w:t>
      </w:r>
    </w:p>
    <w:p w14:paraId="7F2C64B7" w14:textId="77777777" w:rsidR="00FA75C9" w:rsidRDefault="00000000" w:rsidP="00D56005">
      <w:pPr>
        <w:pStyle w:val="CaptionedFigure"/>
        <w:spacing w:line="360" w:lineRule="auto"/>
      </w:pPr>
      <w:r>
        <w:rPr>
          <w:noProof/>
        </w:rPr>
        <w:lastRenderedPageBreak/>
        <w:drawing>
          <wp:inline distT="0" distB="0" distL="0" distR="0" wp14:anchorId="177929E3" wp14:editId="1E4894DA">
            <wp:extent cx="5334000" cy="3200399"/>
            <wp:effectExtent l="0" t="0" r="0" b="0"/>
            <wp:docPr id="301531954" name="Picture" descr="Figure 7"/>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long_only_exclusion_cost_sensitivity.png"/>
                    <pic:cNvPicPr>
                      <a:picLocks noChangeAspect="1" noChangeArrowheads="1"/>
                    </pic:cNvPicPr>
                  </pic:nvPicPr>
                  <pic:blipFill>
                    <a:blip r:embed="rId13"/>
                    <a:stretch>
                      <a:fillRect/>
                    </a:stretch>
                  </pic:blipFill>
                  <pic:spPr bwMode="auto">
                    <a:xfrm>
                      <a:off x="0" y="0"/>
                      <a:ext cx="5334000" cy="3200399"/>
                    </a:xfrm>
                    <a:prstGeom prst="rect">
                      <a:avLst/>
                    </a:prstGeom>
                    <a:noFill/>
                    <a:ln w="9525">
                      <a:noFill/>
                      <a:headEnd/>
                      <a:tailEnd/>
                    </a:ln>
                  </pic:spPr>
                </pic:pic>
              </a:graphicData>
            </a:graphic>
          </wp:inline>
        </w:drawing>
      </w:r>
    </w:p>
    <w:p w14:paraId="6520C2B4" w14:textId="77777777" w:rsidR="00FA75C9" w:rsidRDefault="00000000" w:rsidP="00D56005">
      <w:pPr>
        <w:pStyle w:val="ImageCaption"/>
        <w:spacing w:line="360" w:lineRule="auto"/>
      </w:pPr>
      <w:r>
        <w:t>Figure 7</w:t>
      </w:r>
    </w:p>
    <w:p w14:paraId="34DA67C1" w14:textId="77777777" w:rsidR="00FA75C9" w:rsidRDefault="00000000" w:rsidP="00D56005">
      <w:pPr>
        <w:pStyle w:val="BodyText"/>
        <w:spacing w:line="360" w:lineRule="auto"/>
      </w:pPr>
      <w:r>
        <w:rPr>
          <w:i/>
        </w:rPr>
        <w:t>Figure 7. Net annualized improvement of the long-only exclusion screen versus the full universe under the per-side cost convention from Section 10 applied to the single long leg of the exclusion portfolio.</w:t>
      </w:r>
    </w:p>
    <w:p w14:paraId="39CB3453" w14:textId="77777777" w:rsidR="00FA75C9" w:rsidRDefault="00000000" w:rsidP="00D56005">
      <w:pPr>
        <w:pStyle w:val="BodyText"/>
        <w:spacing w:line="360" w:lineRule="auto"/>
      </w:pPr>
      <w:r>
        <w:rPr>
          <w:i/>
        </w:rPr>
        <w:t xml:space="preserve">Source: </w:t>
      </w:r>
      <w:r>
        <w:rPr>
          <w:rStyle w:val="VerbatimChar"/>
          <w:i/>
        </w:rPr>
        <w:t>outputs/sample_2010_2023/charts/long_only_exclusion_cost_sensitivity.png</w:t>
      </w:r>
      <w:r>
        <w:rPr>
          <w:i/>
        </w:rPr>
        <w:t>.</w:t>
      </w:r>
    </w:p>
    <w:p w14:paraId="43A32C7E" w14:textId="77777777" w:rsidR="00FA75C9" w:rsidRDefault="00000000" w:rsidP="00D56005">
      <w:pPr>
        <w:pStyle w:val="Heading2"/>
        <w:spacing w:line="360" w:lineRule="auto"/>
      </w:pPr>
      <w:bookmarkStart w:id="28" w:name="audit-and-reproducibility"/>
      <w:bookmarkStart w:id="29" w:name="_Toc228955553"/>
      <w:r>
        <w:t>12. Audit and Reproducibility</w:t>
      </w:r>
      <w:bookmarkEnd w:id="28"/>
      <w:bookmarkEnd w:id="29"/>
    </w:p>
    <w:p w14:paraId="65EEBD88" w14:textId="77777777" w:rsidR="00FA75C9" w:rsidRDefault="00000000" w:rsidP="00D56005">
      <w:pPr>
        <w:pStyle w:val="FirstParagraph"/>
        <w:spacing w:line="360" w:lineRule="auto"/>
      </w:pPr>
      <w:r>
        <w:t>The pipeline is organized as a sequence of numbered scripts that move from raw data to final tables. The major stages are (i) WRDS access tests and raw OptionMetrics and CRSP pulls, (ii) construction of the official time-aware OptionMetrics-CRSP link, (iii) daily IV-signal construction, (iv) realized variance and VRP computation, (v) the monthly signal panel, (vi) cross-sectional quintile and decile sorts, (vii) market-cap and transformation robustness, (viii) factor regressions, (ix) bottom-tail diagnostics, (x) full-sample 2010–2023 expansion with sample-specific outputs, (xi) the research audit, and (xii) the final results pack and figure inventory.</w:t>
      </w:r>
    </w:p>
    <w:p w14:paraId="12E9E97E" w14:textId="77777777" w:rsidR="00FA75C9" w:rsidRDefault="00000000" w:rsidP="00D56005">
      <w:pPr>
        <w:pStyle w:val="BodyText"/>
        <w:spacing w:line="360" w:lineRule="auto"/>
      </w:pPr>
      <w:r>
        <w:lastRenderedPageBreak/>
        <w:t xml:space="preserve">The full-sample audit ran 40 checks across raw files, the official linker, the daily IV panel, the daily VRP panel, the monthly panel, the bottom-tail returns and summary, and the factor regression summary. All 40 checks passed, with 0 warnings and 0 failures. Verified items include: required columns present at each stage; no duplicate </w:t>
      </w:r>
      <w:r>
        <w:rPr>
          <w:rStyle w:val="VerbatimChar"/>
        </w:rPr>
        <w:t>permno</w:t>
      </w:r>
      <w:r>
        <w:t xml:space="preserve">-date rows in the daily panels and no duplicate </w:t>
      </w:r>
      <w:r>
        <w:rPr>
          <w:rStyle w:val="VerbatimChar"/>
        </w:rPr>
        <w:t>permno</w:t>
      </w:r>
      <w:r>
        <w:t>-</w:t>
      </w:r>
      <w:r>
        <w:rPr>
          <w:rStyle w:val="VerbatimChar"/>
        </w:rPr>
        <w:t>signal_month</w:t>
      </w:r>
      <w:r>
        <w:t xml:space="preserve"> rows in the monthly panel; signal date strictly precedes return date; </w:t>
      </w:r>
      <w:r>
        <w:rPr>
          <w:rStyle w:val="VerbatimChar"/>
        </w:rPr>
        <w:t>return_month = signal_month + 1</w:t>
      </w:r>
      <w:r>
        <w:t xml:space="preserve"> for every row; the IV spread, IV skew, implied variance, and VRP formulas reproduce exactly from their inputs; realized variance is non-negative; the dynamic month count equals 168 for signals 2010-01 to 2023-12 and returns 2010-02 to 2024-01; the main </w:t>
      </w:r>
      <w:r>
        <w:rPr>
          <w:rStyle w:val="VerbatimChar"/>
        </w:rPr>
        <w:t>iv_spread_adj</w:t>
      </w:r>
      <w:r>
        <w:t xml:space="preserve"> U-B EW row is present in the bottom-tail summary; and all expected factor models are present in the regression output.</w:t>
      </w:r>
    </w:p>
    <w:p w14:paraId="32AF4D82" w14:textId="77777777" w:rsidR="00FA75C9" w:rsidRDefault="00000000" w:rsidP="00D56005">
      <w:pPr>
        <w:pStyle w:val="BodyText"/>
        <w:spacing w:line="360" w:lineRule="auto"/>
      </w:pPr>
      <w:r>
        <w:t xml:space="preserve">One interim issue surfaced and was fixed during the expansion. The earlier </w:t>
      </w:r>
      <w:r>
        <w:rPr>
          <w:rStyle w:val="VerbatimChar"/>
        </w:rPr>
        <w:t>scripts/30_compare_2010_2023_vs_2018_2023.py</w:t>
      </w:r>
      <w:r>
        <w:t xml:space="preserve"> selected the first matching </w:t>
      </w:r>
      <w:r>
        <w:rPr>
          <w:rStyle w:val="VerbatimChar"/>
        </w:rPr>
        <w:t>tail</w:t>
      </w:r>
      <w:r>
        <w:t>/</w:t>
      </w:r>
      <w:r>
        <w:rPr>
          <w:rStyle w:val="VerbatimChar"/>
        </w:rPr>
        <w:t>universe</w:t>
      </w:r>
      <w:r>
        <w:t>/</w:t>
      </w:r>
      <w:r>
        <w:rPr>
          <w:rStyle w:val="VerbatimChar"/>
        </w:rPr>
        <w:t>weighting</w:t>
      </w:r>
      <w:r>
        <w:t>/</w:t>
      </w:r>
      <w:r>
        <w:rPr>
          <w:rStyle w:val="VerbatimChar"/>
        </w:rPr>
        <w:t>leg</w:t>
      </w:r>
      <w:r>
        <w:t xml:space="preserve"> row in the bottom-tail summary, which in the full-sample summary corresponded to </w:t>
      </w:r>
      <w:r>
        <w:rPr>
          <w:rStyle w:val="VerbatimChar"/>
        </w:rPr>
        <w:t>composite_signal</w:t>
      </w:r>
      <w:r>
        <w:t xml:space="preserve"> rather than </w:t>
      </w:r>
      <w:r>
        <w:rPr>
          <w:rStyle w:val="VerbatimChar"/>
        </w:rPr>
        <w:t>iv_spread_adj</w:t>
      </w:r>
      <w:r>
        <w:t xml:space="preserve">. The reconciliation note in </w:t>
      </w:r>
      <w:r>
        <w:rPr>
          <w:rStyle w:val="VerbatimChar"/>
        </w:rPr>
        <w:t>reconcile_bottom_tail_final_summary.md</w:t>
      </w:r>
      <w:r>
        <w:t xml:space="preserve"> documents the fix, and the headline numbers reported here come from a strict </w:t>
      </w:r>
      <w:r>
        <w:rPr>
          <w:rStyle w:val="VerbatimChar"/>
        </w:rPr>
        <w:t>signal == iv_spread_adj</w:t>
      </w:r>
      <w:r>
        <w:t xml:space="preserve"> filter on </w:t>
      </w:r>
      <w:r>
        <w:rPr>
          <w:rStyle w:val="VerbatimChar"/>
        </w:rPr>
        <w:t>bottom_tail_summary_2010_2023.csv</w:t>
      </w:r>
      <w:r>
        <w:t xml:space="preserve"> that matches the directly recomputed monthly returns.</w:t>
      </w:r>
    </w:p>
    <w:p w14:paraId="0A3D39B0" w14:textId="77777777" w:rsidR="00FA75C9" w:rsidRDefault="00000000" w:rsidP="00D56005">
      <w:pPr>
        <w:pStyle w:val="Heading2"/>
        <w:spacing w:line="360" w:lineRule="auto"/>
      </w:pPr>
      <w:bookmarkStart w:id="30" w:name="limitations"/>
      <w:bookmarkStart w:id="31" w:name="_Toc228955554"/>
      <w:r>
        <w:t>13. Limitations</w:t>
      </w:r>
      <w:bookmarkEnd w:id="30"/>
      <w:bookmarkEnd w:id="31"/>
    </w:p>
    <w:p w14:paraId="69DAD706" w14:textId="77777777" w:rsidR="00FA75C9" w:rsidRDefault="00000000" w:rsidP="00D56005">
      <w:pPr>
        <w:pStyle w:val="FirstParagraph"/>
        <w:spacing w:line="360" w:lineRule="auto"/>
      </w:pPr>
      <w:r>
        <w:t>Several limitations should be kept in view when interpreting the results.</w:t>
      </w:r>
    </w:p>
    <w:p w14:paraId="0B77E2F7" w14:textId="77777777" w:rsidR="00FA75C9" w:rsidRDefault="00000000" w:rsidP="00D56005">
      <w:pPr>
        <w:pStyle w:val="BodyText"/>
        <w:spacing w:line="360" w:lineRule="auto"/>
      </w:pPr>
      <w:r>
        <w:t>The reported long-short returns and alphas are gross of transaction costs, securities lending costs, and market impact. Even the rough cost sensitivity in Section 10 makes clear that a naive monthly long-short implementation is sensitive to cost assumptions, which is the central reason the long-only exclusion screen in Section 11 is presented as the more practical application.</w:t>
      </w:r>
    </w:p>
    <w:p w14:paraId="114AD2C8" w14:textId="77777777" w:rsidR="00FA75C9" w:rsidRDefault="00000000" w:rsidP="00D56005">
      <w:pPr>
        <w:pStyle w:val="BodyText"/>
        <w:spacing w:line="360" w:lineRule="auto"/>
      </w:pPr>
      <w:r>
        <w:lastRenderedPageBreak/>
        <w:t>Turnover is high, around 70% one-way per month for the bottom decile. This is consistent with a tail signal whose membership churns each month, but it amplifies the implementation problem.</w:t>
      </w:r>
    </w:p>
    <w:p w14:paraId="7E850D35" w14:textId="77777777" w:rsidR="00FA75C9" w:rsidRDefault="00000000" w:rsidP="00D56005">
      <w:pPr>
        <w:pStyle w:val="BodyText"/>
        <w:spacing w:line="360" w:lineRule="auto"/>
      </w:pPr>
      <w:r>
        <w:t>The IV-spread signal is not a smooth monotonic factor across the cross-section. Most of the predictability sits in the lowest decile, and the headline U-B framing is a deliberate choice to reflect that. A reader who interprets the result as a generic high-minus-low IV-spread alpha will overstate what the data show.</w:t>
      </w:r>
    </w:p>
    <w:p w14:paraId="5158A031" w14:textId="77777777" w:rsidR="00FA75C9" w:rsidRDefault="00000000" w:rsidP="00D56005">
      <w:pPr>
        <w:pStyle w:val="BodyText"/>
        <w:spacing w:line="360" w:lineRule="auto"/>
      </w:pPr>
      <w:r>
        <w:t>The bottom decile is meaningfully smaller than the universe, and the negative SMB loading is partly a mechanical consequence of being long the universe and short the bottom tail. The $100M+ result is reported precisely to address this concern, and it is if anything stronger.</w:t>
      </w:r>
    </w:p>
    <w:p w14:paraId="50064DE5" w14:textId="77777777" w:rsidR="00FA75C9" w:rsidRDefault="00000000" w:rsidP="00D56005">
      <w:pPr>
        <w:pStyle w:val="BodyText"/>
        <w:spacing w:line="360" w:lineRule="auto"/>
      </w:pPr>
      <w:r>
        <w:t>Sector classification is incomplete. A nontrivial share of bottom-decile observations is labelled Unknown, which limits the precision of sector-neutral robustness checks. A more complete industry assignment would be a useful refinement.</w:t>
      </w:r>
    </w:p>
    <w:p w14:paraId="1CE718B8" w14:textId="77777777" w:rsidR="00FA75C9" w:rsidRDefault="00000000" w:rsidP="00D56005">
      <w:pPr>
        <w:pStyle w:val="BodyText"/>
        <w:spacing w:line="360" w:lineRule="auto"/>
      </w:pPr>
      <w:r>
        <w:t>The result is within the optionable-stock universe and is conditional on having a valid daily volatility surface for the underlying. It is not a statement about the entire CRSP universe, and it should not be extrapolated beyond stocks for which the option market is liquid enough to provide reliable IV inputs.</w:t>
      </w:r>
    </w:p>
    <w:p w14:paraId="13C14DCC" w14:textId="37AE5808" w:rsidR="00C076D5" w:rsidRDefault="00C076D5" w:rsidP="00D56005">
      <w:pPr>
        <w:pStyle w:val="BodyText"/>
        <w:spacing w:line="360" w:lineRule="auto"/>
      </w:pPr>
      <w:r w:rsidRPr="00C076D5">
        <w:t xml:space="preserve">A final limitation concerns the timing of the month-end signal. The signal is formed using the last available option-implied volatility observation in month </w:t>
      </w:r>
      <w:r>
        <w:t>t</w:t>
      </w:r>
      <w:r w:rsidRPr="00C076D5">
        <w:t>, and returns are measured in month t+1. This avoids mechanical look-ahead bias, but some bottom-decile entries may reflect public information that became visible near the end of month t, such as earnings news, guidance changes, or other firm-specific events. The results should therefore be interpreted as next-month predictability or continuation after signal formation, not necessarily as evidence of hidden private information. The last-five-trading-day signal robustness check helps reduce dependence on a single month-end quote, but it does not fully eliminate this information-timing interpretation.</w:t>
      </w:r>
    </w:p>
    <w:p w14:paraId="68AC0C1B" w14:textId="77777777" w:rsidR="00FA75C9" w:rsidRDefault="00000000" w:rsidP="00D56005">
      <w:pPr>
        <w:pStyle w:val="BodyText"/>
        <w:spacing w:line="360" w:lineRule="auto"/>
      </w:pPr>
      <w:r>
        <w:lastRenderedPageBreak/>
        <w:t>Future work could extend the sample beyond 2023, evaluate the signal under lower-frequency rebalancing, build a calibrated transaction-cost-aware portfolio construction that internalizes turnover, impose stronger liquidity screens, and explore conditioning information that interacts with the IV spread (for example, IV-spread changes, IV-spread term structure, or post-news windows).</w:t>
      </w:r>
    </w:p>
    <w:p w14:paraId="2B5949AB" w14:textId="77777777" w:rsidR="00FA75C9" w:rsidRDefault="00000000" w:rsidP="00D56005">
      <w:pPr>
        <w:pStyle w:val="Heading2"/>
        <w:spacing w:line="360" w:lineRule="auto"/>
      </w:pPr>
      <w:bookmarkStart w:id="32" w:name="conclusion"/>
      <w:bookmarkStart w:id="33" w:name="_Toc228955555"/>
      <w:r>
        <w:t>14. Conclusion</w:t>
      </w:r>
      <w:bookmarkEnd w:id="32"/>
      <w:bookmarkEnd w:id="33"/>
    </w:p>
    <w:p w14:paraId="1B6BE124" w14:textId="77777777" w:rsidR="00FA75C9" w:rsidRDefault="00000000" w:rsidP="00D56005">
      <w:pPr>
        <w:pStyle w:val="FirstParagraph"/>
        <w:spacing w:line="360" w:lineRule="auto"/>
      </w:pPr>
      <w:r>
        <w:t xml:space="preserve">Within the optionable U.S. equity universe over 2010–2023, stocks in the lowest decile of the call-minus-put implied volatility spread underperform the broader optionable universe in the following month. The equal-weighted universe-minus-bottom-decile strategy earns 7.57% annualized over 168 months with a Newey-West t of 4.00 and a Fama-French five-factor plus momentum alpha of 6.40% (t = 5.07), and the result tightens slightly inside the $100 million market-cap filter. The signal is robust statistically, but it is not a smoothly monotonic ranking factor: almost all of the predictability comes from the bottom decile, and the cleaner reading is bottom-tail negative selection rather than a high-minus-low IV-spread alpha. Performance is positive across major subperiods, although weakest in 2018–2020. The bottom decile is smaller, more volatile, and carries sharply elevated put IV, consistent with the option market pricing downside risk that is at least partially realized in subsequent returns. The direct long-short implementation has high turnover and is gross of trading costs; rough cost sensitivity shows that it is competitive at low cost levels but compresses quickly as costs rise. The more practical final application is therefore the long-only exclusion screen of Section 11, which simply removes the bottom IV-spread decile from a broad equal-weighted optionable book, raises annualized return by about 0.84% (NW t = 4.00; 0.86% with NW t = 5.87 inside the $100M+ universe), turns over roughly an order of magnitude less than the long-short version, and remains positive over the cost bands tested. Read as a whole, the evidence supports treating IV spread as a bottom-tail warning signal and as a long-only negative-selection or risk-management overlay, not as a standalone tradeable factor. Additional extension tests (Section 7.4) show that simple IV-spread levels remain more reliable than change-based or long-side call-strength variants, </w:t>
      </w:r>
      <w:r>
        <w:lastRenderedPageBreak/>
        <w:t>and that the signal is strongest over the next month, especially for newly-entering bottom-decile stocks.</w:t>
      </w:r>
    </w:p>
    <w:p w14:paraId="14A8E884" w14:textId="77777777" w:rsidR="00FA75C9" w:rsidRDefault="00000000" w:rsidP="00D56005">
      <w:pPr>
        <w:pStyle w:val="Heading1"/>
        <w:spacing w:line="360" w:lineRule="auto"/>
      </w:pPr>
      <w:bookmarkStart w:id="34" w:name="appendix"/>
      <w:bookmarkStart w:id="35" w:name="_Toc228955556"/>
      <w:r>
        <w:t>Appendix</w:t>
      </w:r>
      <w:bookmarkEnd w:id="34"/>
      <w:bookmarkEnd w:id="35"/>
    </w:p>
    <w:p w14:paraId="2EECB98A" w14:textId="77777777" w:rsidR="00FA75C9" w:rsidRDefault="00000000" w:rsidP="00D56005">
      <w:pPr>
        <w:pStyle w:val="Heading2"/>
        <w:spacing w:line="360" w:lineRule="auto"/>
      </w:pPr>
      <w:bookmarkStart w:id="36" w:name="appendix-a.-supporting-figures"/>
      <w:bookmarkStart w:id="37" w:name="_Toc228955557"/>
      <w:r>
        <w:t>Appendix A. Supporting Figures</w:t>
      </w:r>
      <w:bookmarkEnd w:id="36"/>
      <w:bookmarkEnd w:id="37"/>
    </w:p>
    <w:p w14:paraId="4A96B5B4" w14:textId="77777777" w:rsidR="00FA75C9" w:rsidRDefault="00000000" w:rsidP="00D56005">
      <w:pPr>
        <w:pStyle w:val="FirstParagraph"/>
        <w:spacing w:line="360" w:lineRule="auto"/>
      </w:pPr>
      <w:r>
        <w:t>These figures are referenced from the body but moved here to keep the main narrative compact. Each is sourced from the full-sample results pipeline.</w:t>
      </w:r>
    </w:p>
    <w:p w14:paraId="12C59AAD" w14:textId="77777777" w:rsidR="00FA75C9" w:rsidRDefault="00000000" w:rsidP="00D56005">
      <w:pPr>
        <w:pStyle w:val="BodyText"/>
        <w:spacing w:line="360" w:lineRule="auto"/>
      </w:pPr>
      <w:r>
        <w:rPr>
          <w:b/>
        </w:rPr>
        <w:t>Figure A1. Signal Leaderboard.</w:t>
      </w:r>
    </w:p>
    <w:p w14:paraId="41CBA1FC" w14:textId="77777777" w:rsidR="00FA75C9" w:rsidRDefault="00000000" w:rsidP="00D56005">
      <w:pPr>
        <w:pStyle w:val="CaptionedFigure"/>
        <w:spacing w:line="360" w:lineRule="auto"/>
      </w:pPr>
      <w:r>
        <w:rPr>
          <w:noProof/>
        </w:rPr>
        <w:drawing>
          <wp:inline distT="0" distB="0" distL="0" distR="0" wp14:anchorId="61832930" wp14:editId="7FD006E7">
            <wp:extent cx="5334000" cy="2909454"/>
            <wp:effectExtent l="0" t="0" r="0" b="0"/>
            <wp:docPr id="713769257" name="Picture" descr="Figure A1"/>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4_signal_leaderboard.png"/>
                    <pic:cNvPicPr>
                      <a:picLocks noChangeAspect="1" noChangeArrowheads="1"/>
                    </pic:cNvPicPr>
                  </pic:nvPicPr>
                  <pic:blipFill>
                    <a:blip r:embed="rId14"/>
                    <a:stretch>
                      <a:fillRect/>
                    </a:stretch>
                  </pic:blipFill>
                  <pic:spPr bwMode="auto">
                    <a:xfrm>
                      <a:off x="0" y="0"/>
                      <a:ext cx="5334000" cy="2909454"/>
                    </a:xfrm>
                    <a:prstGeom prst="rect">
                      <a:avLst/>
                    </a:prstGeom>
                    <a:noFill/>
                    <a:ln w="9525">
                      <a:noFill/>
                      <a:headEnd/>
                      <a:tailEnd/>
                    </a:ln>
                  </pic:spPr>
                </pic:pic>
              </a:graphicData>
            </a:graphic>
          </wp:inline>
        </w:drawing>
      </w:r>
    </w:p>
    <w:p w14:paraId="3C1210CC" w14:textId="77777777" w:rsidR="00FA75C9" w:rsidRDefault="00000000" w:rsidP="00D56005">
      <w:pPr>
        <w:pStyle w:val="ImageCaption"/>
        <w:spacing w:line="360" w:lineRule="auto"/>
      </w:pPr>
      <w:r>
        <w:t>Figure A1</w:t>
      </w:r>
    </w:p>
    <w:p w14:paraId="1C1B2A31" w14:textId="77777777" w:rsidR="00FA75C9" w:rsidRDefault="00000000" w:rsidP="00D56005">
      <w:pPr>
        <w:pStyle w:val="BodyText"/>
        <w:spacing w:line="360" w:lineRule="auto"/>
      </w:pPr>
      <w:r>
        <w:rPr>
          <w:i/>
        </w:rPr>
        <w:t>Figure A1. Top full-sample strategies ranked by Newey-West t-statistic. IV-spread bottom-tail strategies dominate the leaderboard; IV skew, VRP, and the composite are weaker as standalone signals.</w:t>
      </w:r>
    </w:p>
    <w:p w14:paraId="592E6999" w14:textId="77777777" w:rsidR="00FA75C9" w:rsidRDefault="00000000" w:rsidP="00D56005">
      <w:pPr>
        <w:pStyle w:val="BodyText"/>
        <w:spacing w:line="360" w:lineRule="auto"/>
      </w:pPr>
      <w:r>
        <w:rPr>
          <w:i/>
        </w:rPr>
        <w:t xml:space="preserve">Source: </w:t>
      </w:r>
      <w:r>
        <w:rPr>
          <w:rStyle w:val="VerbatimChar"/>
          <w:i/>
        </w:rPr>
        <w:t>outputs/sample_2010_2023/final_figures/04_signal_leaderboard.png</w:t>
      </w:r>
      <w:r>
        <w:rPr>
          <w:i/>
        </w:rPr>
        <w:t>.</w:t>
      </w:r>
    </w:p>
    <w:p w14:paraId="6495FD94" w14:textId="77777777" w:rsidR="00FA75C9" w:rsidRDefault="00000000" w:rsidP="00D56005">
      <w:pPr>
        <w:pStyle w:val="BodyText"/>
        <w:spacing w:line="360" w:lineRule="auto"/>
      </w:pPr>
      <w:r>
        <w:rPr>
          <w:b/>
        </w:rPr>
        <w:t>Figure A2. FF5+Momentum Factor Betas.</w:t>
      </w:r>
    </w:p>
    <w:p w14:paraId="692DFF4A" w14:textId="77777777" w:rsidR="00FA75C9" w:rsidRDefault="00000000" w:rsidP="00D56005">
      <w:pPr>
        <w:pStyle w:val="CaptionedFigure"/>
        <w:spacing w:line="360" w:lineRule="auto"/>
      </w:pPr>
      <w:r>
        <w:rPr>
          <w:noProof/>
        </w:rPr>
        <w:lastRenderedPageBreak/>
        <w:drawing>
          <wp:inline distT="0" distB="0" distL="0" distR="0" wp14:anchorId="6AA5BE68" wp14:editId="73868A99">
            <wp:extent cx="5334000" cy="2909454"/>
            <wp:effectExtent l="0" t="0" r="0" b="0"/>
            <wp:docPr id="338809718" name="Picture" descr="Figure A2"/>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6_factor_betas.png"/>
                    <pic:cNvPicPr>
                      <a:picLocks noChangeAspect="1" noChangeArrowheads="1"/>
                    </pic:cNvPicPr>
                  </pic:nvPicPr>
                  <pic:blipFill>
                    <a:blip r:embed="rId15"/>
                    <a:stretch>
                      <a:fillRect/>
                    </a:stretch>
                  </pic:blipFill>
                  <pic:spPr bwMode="auto">
                    <a:xfrm>
                      <a:off x="0" y="0"/>
                      <a:ext cx="5334000" cy="2909454"/>
                    </a:xfrm>
                    <a:prstGeom prst="rect">
                      <a:avLst/>
                    </a:prstGeom>
                    <a:noFill/>
                    <a:ln w="9525">
                      <a:noFill/>
                      <a:headEnd/>
                      <a:tailEnd/>
                    </a:ln>
                  </pic:spPr>
                </pic:pic>
              </a:graphicData>
            </a:graphic>
          </wp:inline>
        </w:drawing>
      </w:r>
    </w:p>
    <w:p w14:paraId="24A7A2A2" w14:textId="77777777" w:rsidR="00FA75C9" w:rsidRDefault="00000000" w:rsidP="00D56005">
      <w:pPr>
        <w:pStyle w:val="ImageCaption"/>
        <w:spacing w:line="360" w:lineRule="auto"/>
      </w:pPr>
      <w:r>
        <w:t>Figure A2</w:t>
      </w:r>
    </w:p>
    <w:p w14:paraId="4E16F824" w14:textId="77777777" w:rsidR="00FA75C9" w:rsidRDefault="00000000" w:rsidP="00D56005">
      <w:pPr>
        <w:pStyle w:val="BodyText"/>
        <w:spacing w:line="360" w:lineRule="auto"/>
      </w:pPr>
      <w:r>
        <w:rPr>
          <w:i/>
        </w:rPr>
        <w:t>Figure A2. FF5+Momentum factor betas for selected IV-spread strategies. The negative SMB loading and the moderate positive momentum loading are consistent with the bottom decile being smaller-cap and recently weaker than the universe.</w:t>
      </w:r>
    </w:p>
    <w:p w14:paraId="623A6E5E" w14:textId="77777777" w:rsidR="00FA75C9" w:rsidRDefault="00000000" w:rsidP="00D56005">
      <w:pPr>
        <w:pStyle w:val="BodyText"/>
        <w:spacing w:line="360" w:lineRule="auto"/>
      </w:pPr>
      <w:r>
        <w:rPr>
          <w:i/>
        </w:rPr>
        <w:t xml:space="preserve">Source: </w:t>
      </w:r>
      <w:r>
        <w:rPr>
          <w:rStyle w:val="VerbatimChar"/>
          <w:i/>
        </w:rPr>
        <w:t>outputs/sample_2010_2023/final_figures/06_factor_betas.png</w:t>
      </w:r>
      <w:r>
        <w:rPr>
          <w:i/>
        </w:rPr>
        <w:t>.</w:t>
      </w:r>
    </w:p>
    <w:p w14:paraId="76A8FE90" w14:textId="77777777" w:rsidR="00FA75C9" w:rsidRDefault="00000000" w:rsidP="00D56005">
      <w:pPr>
        <w:pStyle w:val="BodyText"/>
        <w:spacing w:line="360" w:lineRule="auto"/>
      </w:pPr>
      <w:r>
        <w:rPr>
          <w:b/>
        </w:rPr>
        <w:t>Figure A3. Bottom-Tail Characteristics.</w:t>
      </w:r>
    </w:p>
    <w:p w14:paraId="4C3AC22A" w14:textId="77777777" w:rsidR="00FA75C9" w:rsidRDefault="00000000" w:rsidP="00D56005">
      <w:pPr>
        <w:pStyle w:val="CaptionedFigure"/>
        <w:spacing w:line="360" w:lineRule="auto"/>
      </w:pPr>
      <w:r>
        <w:rPr>
          <w:noProof/>
        </w:rPr>
        <w:lastRenderedPageBreak/>
        <w:drawing>
          <wp:inline distT="0" distB="0" distL="0" distR="0" wp14:anchorId="0B80023A" wp14:editId="48E21B19">
            <wp:extent cx="5334000" cy="2667000"/>
            <wp:effectExtent l="0" t="0" r="0" b="0"/>
            <wp:docPr id="1744412268" name="Picture" descr="Figure A3"/>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7_bottom_tail_characteristics.png"/>
                    <pic:cNvPicPr>
                      <a:picLocks noChangeAspect="1" noChangeArrowheads="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p>
    <w:p w14:paraId="053795A9" w14:textId="77777777" w:rsidR="00FA75C9" w:rsidRDefault="00000000" w:rsidP="00D56005">
      <w:pPr>
        <w:pStyle w:val="ImageCaption"/>
        <w:spacing w:line="360" w:lineRule="auto"/>
      </w:pPr>
      <w:r>
        <w:t>Figure A3</w:t>
      </w:r>
    </w:p>
    <w:p w14:paraId="4075240D" w14:textId="77777777" w:rsidR="00FA75C9" w:rsidRDefault="00000000" w:rsidP="00D56005">
      <w:pPr>
        <w:pStyle w:val="BodyText"/>
        <w:spacing w:line="360" w:lineRule="auto"/>
      </w:pPr>
      <w:r>
        <w:rPr>
          <w:i/>
        </w:rPr>
        <w:t>Figure A3. Bottom-decile characteristics relative to the optionable-stock universe. The bottom IV-spread decile is smaller, more volatile, and carries unusually elevated put IV.</w:t>
      </w:r>
    </w:p>
    <w:p w14:paraId="68F4CE47" w14:textId="77777777" w:rsidR="00FA75C9" w:rsidRDefault="00000000" w:rsidP="00D56005">
      <w:pPr>
        <w:pStyle w:val="BodyText"/>
        <w:spacing w:line="360" w:lineRule="auto"/>
      </w:pPr>
      <w:r>
        <w:rPr>
          <w:i/>
        </w:rPr>
        <w:t xml:space="preserve">Source: </w:t>
      </w:r>
      <w:r>
        <w:rPr>
          <w:rStyle w:val="VerbatimChar"/>
          <w:i/>
        </w:rPr>
        <w:t>outputs/sample_2010_2023/final_figures/07_bottom_tail_characteristics.png</w:t>
      </w:r>
      <w:r>
        <w:rPr>
          <w:i/>
        </w:rPr>
        <w:t>.</w:t>
      </w:r>
    </w:p>
    <w:p w14:paraId="129A658B" w14:textId="77777777" w:rsidR="00FA75C9" w:rsidRDefault="00000000" w:rsidP="00D56005">
      <w:pPr>
        <w:pStyle w:val="BodyText"/>
        <w:spacing w:line="360" w:lineRule="auto"/>
      </w:pPr>
      <w:r>
        <w:rPr>
          <w:b/>
        </w:rPr>
        <w:t>Figure A4. Sector Exposure.</w:t>
      </w:r>
    </w:p>
    <w:p w14:paraId="4836409D" w14:textId="77777777" w:rsidR="00FA75C9" w:rsidRDefault="00000000" w:rsidP="00D56005">
      <w:pPr>
        <w:pStyle w:val="CaptionedFigure"/>
        <w:spacing w:line="360" w:lineRule="auto"/>
      </w:pPr>
      <w:r>
        <w:rPr>
          <w:noProof/>
        </w:rPr>
        <w:drawing>
          <wp:inline distT="0" distB="0" distL="0" distR="0" wp14:anchorId="2536787B" wp14:editId="35B8DDD3">
            <wp:extent cx="5334000" cy="2667000"/>
            <wp:effectExtent l="0" t="0" r="0" b="0"/>
            <wp:docPr id="1400900648" name="Picture" descr="Figure A4"/>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9_sector_exposure.png"/>
                    <pic:cNvPicPr>
                      <a:picLocks noChangeAspect="1" noChangeArrowheads="1"/>
                    </pic:cNvPicPr>
                  </pic:nvPicPr>
                  <pic:blipFill>
                    <a:blip r:embed="rId17"/>
                    <a:stretch>
                      <a:fillRect/>
                    </a:stretch>
                  </pic:blipFill>
                  <pic:spPr bwMode="auto">
                    <a:xfrm>
                      <a:off x="0" y="0"/>
                      <a:ext cx="5334000" cy="2667000"/>
                    </a:xfrm>
                    <a:prstGeom prst="rect">
                      <a:avLst/>
                    </a:prstGeom>
                    <a:noFill/>
                    <a:ln w="9525">
                      <a:noFill/>
                      <a:headEnd/>
                      <a:tailEnd/>
                    </a:ln>
                  </pic:spPr>
                </pic:pic>
              </a:graphicData>
            </a:graphic>
          </wp:inline>
        </w:drawing>
      </w:r>
    </w:p>
    <w:p w14:paraId="6459ACF0" w14:textId="77777777" w:rsidR="00FA75C9" w:rsidRDefault="00000000" w:rsidP="00D56005">
      <w:pPr>
        <w:pStyle w:val="ImageCaption"/>
        <w:spacing w:line="360" w:lineRule="auto"/>
      </w:pPr>
      <w:r>
        <w:t>Figure A4</w:t>
      </w:r>
    </w:p>
    <w:p w14:paraId="5F4C4E39" w14:textId="77777777" w:rsidR="00FA75C9" w:rsidRDefault="00000000" w:rsidP="00D56005">
      <w:pPr>
        <w:pStyle w:val="BodyText"/>
        <w:spacing w:line="360" w:lineRule="auto"/>
      </w:pPr>
      <w:r>
        <w:rPr>
          <w:i/>
        </w:rPr>
        <w:lastRenderedPageBreak/>
        <w:t>Figure A4. Average sector overrepresentation in the bottom IV-spread decile. Finance / Real Estate and Unknown are the two overrepresented categories.</w:t>
      </w:r>
    </w:p>
    <w:p w14:paraId="0D61D526" w14:textId="77777777" w:rsidR="00FA75C9" w:rsidRDefault="00000000" w:rsidP="00D56005">
      <w:pPr>
        <w:pStyle w:val="BodyText"/>
        <w:spacing w:line="360" w:lineRule="auto"/>
      </w:pPr>
      <w:r>
        <w:rPr>
          <w:i/>
        </w:rPr>
        <w:t xml:space="preserve">Source: </w:t>
      </w:r>
      <w:r>
        <w:rPr>
          <w:rStyle w:val="VerbatimChar"/>
          <w:i/>
        </w:rPr>
        <w:t>outputs/sample_2010_2023/final_figures/09_sector_exposure.png</w:t>
      </w:r>
      <w:r>
        <w:rPr>
          <w:i/>
        </w:rPr>
        <w:t>.</w:t>
      </w:r>
    </w:p>
    <w:p w14:paraId="7D3AD09E" w14:textId="77777777" w:rsidR="00FA75C9" w:rsidRDefault="00000000" w:rsidP="00D56005">
      <w:pPr>
        <w:pStyle w:val="BodyText"/>
        <w:spacing w:line="360" w:lineRule="auto"/>
      </w:pPr>
      <w:r>
        <w:rPr>
          <w:b/>
        </w:rPr>
        <w:t>Figure A5. Long-Short Transaction-Cost Sensitivity.</w:t>
      </w:r>
    </w:p>
    <w:p w14:paraId="546237FB" w14:textId="77777777" w:rsidR="00FA75C9" w:rsidRDefault="00000000" w:rsidP="00D56005">
      <w:pPr>
        <w:pStyle w:val="CaptionedFigure"/>
        <w:spacing w:line="360" w:lineRule="auto"/>
      </w:pPr>
      <w:r>
        <w:rPr>
          <w:noProof/>
        </w:rPr>
        <w:drawing>
          <wp:inline distT="0" distB="0" distL="0" distR="0" wp14:anchorId="1022CB03" wp14:editId="21D2E006">
            <wp:extent cx="5334000" cy="2667000"/>
            <wp:effectExtent l="0" t="0" r="0" b="0"/>
            <wp:docPr id="449034459" name="Picture" descr="Figure A5"/>
            <wp:cNvGraphicFramePr/>
            <a:graphic xmlns:a="http://schemas.openxmlformats.org/drawingml/2006/main">
              <a:graphicData uri="http://schemas.openxmlformats.org/drawingml/2006/picture">
                <pic:pic xmlns:pic="http://schemas.openxmlformats.org/drawingml/2006/picture">
                  <pic:nvPicPr>
                    <pic:cNvPr id="0" name="Picture" descr="../outputs/sample_2010_2023/final_figures/08_transaction_cost_sensitivity.png"/>
                    <pic:cNvPicPr>
                      <a:picLocks noChangeAspect="1" noChangeArrowheads="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p w14:paraId="570A7851" w14:textId="77777777" w:rsidR="00FA75C9" w:rsidRDefault="00000000" w:rsidP="00D56005">
      <w:pPr>
        <w:pStyle w:val="ImageCaption"/>
        <w:spacing w:line="360" w:lineRule="auto"/>
      </w:pPr>
      <w:r>
        <w:t>Figure A5</w:t>
      </w:r>
    </w:p>
    <w:p w14:paraId="47B696FD" w14:textId="77777777" w:rsidR="00FA75C9" w:rsidRDefault="00000000" w:rsidP="00D56005">
      <w:pPr>
        <w:pStyle w:val="BodyText"/>
        <w:spacing w:line="360" w:lineRule="auto"/>
      </w:pPr>
      <w:r>
        <w:rPr>
          <w:i/>
        </w:rPr>
        <w:t>Figure A5. Net annualized returns for the long-short construction under the per-side cost convention applied to both legs. Both strategies remain positive at 10 bps per side, are markedly compressed at 25 bps, and turn slightly negative at 50 bps.</w:t>
      </w:r>
    </w:p>
    <w:p w14:paraId="42CB4067" w14:textId="77777777" w:rsidR="00FA75C9" w:rsidRDefault="00000000" w:rsidP="00D56005">
      <w:pPr>
        <w:pStyle w:val="BodyText"/>
        <w:spacing w:line="360" w:lineRule="auto"/>
      </w:pPr>
      <w:r>
        <w:rPr>
          <w:i/>
        </w:rPr>
        <w:t xml:space="preserve">Source: </w:t>
      </w:r>
      <w:r>
        <w:rPr>
          <w:rStyle w:val="VerbatimChar"/>
          <w:i/>
        </w:rPr>
        <w:t>outputs/sample_2010_2023/final_figures/08_transaction_cost_sensitivity.png</w:t>
      </w:r>
      <w:r>
        <w:rPr>
          <w:i/>
        </w:rPr>
        <w:t>.</w:t>
      </w:r>
    </w:p>
    <w:p w14:paraId="0A7276C1" w14:textId="77777777" w:rsidR="00FA75C9" w:rsidRDefault="00000000" w:rsidP="00D56005">
      <w:pPr>
        <w:pStyle w:val="BodyText"/>
        <w:spacing w:line="360" w:lineRule="auto"/>
      </w:pPr>
      <w:r>
        <w:rPr>
          <w:b/>
        </w:rPr>
        <w:t>Figure A6. Long-Only Exclusion Cumulative Improvement.</w:t>
      </w:r>
    </w:p>
    <w:p w14:paraId="64427A97" w14:textId="77777777" w:rsidR="00FA75C9" w:rsidRDefault="00000000" w:rsidP="00D56005">
      <w:pPr>
        <w:pStyle w:val="CaptionedFigure"/>
        <w:spacing w:line="360" w:lineRule="auto"/>
      </w:pPr>
      <w:r>
        <w:rPr>
          <w:noProof/>
        </w:rPr>
        <w:lastRenderedPageBreak/>
        <w:drawing>
          <wp:inline distT="0" distB="0" distL="0" distR="0" wp14:anchorId="31E906EB" wp14:editId="53BB3CD0">
            <wp:extent cx="5334000" cy="2909454"/>
            <wp:effectExtent l="0" t="0" r="0" b="0"/>
            <wp:docPr id="767660816" name="Picture" descr="Figure A6"/>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long_only_exclusion_improvement_cumulative.png"/>
                    <pic:cNvPicPr>
                      <a:picLocks noChangeAspect="1" noChangeArrowheads="1"/>
                    </pic:cNvPicPr>
                  </pic:nvPicPr>
                  <pic:blipFill>
                    <a:blip r:embed="rId19"/>
                    <a:stretch>
                      <a:fillRect/>
                    </a:stretch>
                  </pic:blipFill>
                  <pic:spPr bwMode="auto">
                    <a:xfrm>
                      <a:off x="0" y="0"/>
                      <a:ext cx="5334000" cy="2909454"/>
                    </a:xfrm>
                    <a:prstGeom prst="rect">
                      <a:avLst/>
                    </a:prstGeom>
                    <a:noFill/>
                    <a:ln w="9525">
                      <a:noFill/>
                      <a:headEnd/>
                      <a:tailEnd/>
                    </a:ln>
                  </pic:spPr>
                </pic:pic>
              </a:graphicData>
            </a:graphic>
          </wp:inline>
        </w:drawing>
      </w:r>
    </w:p>
    <w:p w14:paraId="6565E0B3" w14:textId="77777777" w:rsidR="00FA75C9" w:rsidRDefault="00000000" w:rsidP="00D56005">
      <w:pPr>
        <w:pStyle w:val="ImageCaption"/>
        <w:spacing w:line="360" w:lineRule="auto"/>
      </w:pPr>
      <w:r>
        <w:t>Figure A6</w:t>
      </w:r>
    </w:p>
    <w:p w14:paraId="106A17CF" w14:textId="77777777" w:rsidR="00FA75C9" w:rsidRDefault="00000000" w:rsidP="00D56005">
      <w:pPr>
        <w:pStyle w:val="BodyText"/>
        <w:spacing w:line="360" w:lineRule="auto"/>
      </w:pPr>
      <w:r>
        <w:rPr>
          <w:i/>
        </w:rPr>
        <w:t>Figure A6. Cumulative annualized improvement of the bottom-decile-exclusion portfolio over the full-universe portfolio.</w:t>
      </w:r>
    </w:p>
    <w:p w14:paraId="51201F70" w14:textId="77777777" w:rsidR="00FA75C9" w:rsidRDefault="00000000" w:rsidP="00D56005">
      <w:pPr>
        <w:pStyle w:val="BodyText"/>
        <w:spacing w:line="360" w:lineRule="auto"/>
      </w:pPr>
      <w:r>
        <w:rPr>
          <w:i/>
        </w:rPr>
        <w:t xml:space="preserve">Source: </w:t>
      </w:r>
      <w:r>
        <w:rPr>
          <w:rStyle w:val="VerbatimChar"/>
          <w:i/>
        </w:rPr>
        <w:t>outputs/sample_2010_2023/charts/long_only_exclusion_improvement_cumulative.png</w:t>
      </w:r>
      <w:r>
        <w:rPr>
          <w:i/>
        </w:rPr>
        <w:t>.</w:t>
      </w:r>
    </w:p>
    <w:p w14:paraId="5862F137" w14:textId="77777777" w:rsidR="00FA75C9" w:rsidRDefault="00000000" w:rsidP="00D56005">
      <w:pPr>
        <w:pStyle w:val="BodyText"/>
        <w:spacing w:line="360" w:lineRule="auto"/>
      </w:pPr>
      <w:r>
        <w:rPr>
          <w:b/>
        </w:rPr>
        <w:t>Figure A7. Signal-Extensions Leaderboard.</w:t>
      </w:r>
    </w:p>
    <w:p w14:paraId="66CCA98A" w14:textId="77777777" w:rsidR="00FA75C9" w:rsidRDefault="00000000" w:rsidP="00D56005">
      <w:pPr>
        <w:pStyle w:val="CaptionedFigure"/>
        <w:spacing w:line="360" w:lineRule="auto"/>
      </w:pPr>
      <w:r>
        <w:rPr>
          <w:noProof/>
        </w:rPr>
        <w:lastRenderedPageBreak/>
        <w:drawing>
          <wp:inline distT="0" distB="0" distL="0" distR="0" wp14:anchorId="5118D06D" wp14:editId="4000CFC5">
            <wp:extent cx="5334000" cy="3111500"/>
            <wp:effectExtent l="0" t="0" r="0" b="0"/>
            <wp:docPr id="400677359" name="Picture" descr="Figure A7"/>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signal_extensions_leaderboard.png"/>
                    <pic:cNvPicPr>
                      <a:picLocks noChangeAspect="1" noChangeArrowheads="1"/>
                    </pic:cNvPicPr>
                  </pic:nvPicPr>
                  <pic:blipFill>
                    <a:blip r:embed="rId20"/>
                    <a:stretch>
                      <a:fillRect/>
                    </a:stretch>
                  </pic:blipFill>
                  <pic:spPr bwMode="auto">
                    <a:xfrm>
                      <a:off x="0" y="0"/>
                      <a:ext cx="5334000" cy="3111500"/>
                    </a:xfrm>
                    <a:prstGeom prst="rect">
                      <a:avLst/>
                    </a:prstGeom>
                    <a:noFill/>
                    <a:ln w="9525">
                      <a:noFill/>
                      <a:headEnd/>
                      <a:tailEnd/>
                    </a:ln>
                  </pic:spPr>
                </pic:pic>
              </a:graphicData>
            </a:graphic>
          </wp:inline>
        </w:drawing>
      </w:r>
    </w:p>
    <w:p w14:paraId="5490F5D0" w14:textId="77777777" w:rsidR="00FA75C9" w:rsidRDefault="00000000" w:rsidP="00D56005">
      <w:pPr>
        <w:pStyle w:val="ImageCaption"/>
        <w:spacing w:line="360" w:lineRule="auto"/>
      </w:pPr>
      <w:r>
        <w:t>Figure A7</w:t>
      </w:r>
    </w:p>
    <w:p w14:paraId="58330EDE" w14:textId="77777777" w:rsidR="00FA75C9" w:rsidRDefault="00000000" w:rsidP="00D56005">
      <w:pPr>
        <w:pStyle w:val="BodyText"/>
        <w:spacing w:line="360" w:lineRule="auto"/>
      </w:pPr>
      <w:r>
        <w:rPr>
          <w:i/>
        </w:rPr>
        <w:t xml:space="preserve">Figure A7. Universe-minus-bottom-decile signal extensions ranked by Newey-West t-statistic. Baseline </w:t>
      </w:r>
      <w:r>
        <w:rPr>
          <w:rStyle w:val="VerbatimChar"/>
          <w:i/>
        </w:rPr>
        <w:t>iv_spread_level</w:t>
      </w:r>
      <w:r>
        <w:rPr>
          <w:i/>
        </w:rPr>
        <w:t xml:space="preserve"> strategies remain at the top of the leaderboard.</w:t>
      </w:r>
    </w:p>
    <w:p w14:paraId="39CE407A" w14:textId="77777777" w:rsidR="00FA75C9" w:rsidRDefault="00000000" w:rsidP="00D56005">
      <w:pPr>
        <w:pStyle w:val="BodyText"/>
        <w:spacing w:line="360" w:lineRule="auto"/>
      </w:pPr>
      <w:r>
        <w:rPr>
          <w:i/>
        </w:rPr>
        <w:t xml:space="preserve">Source: </w:t>
      </w:r>
      <w:r>
        <w:rPr>
          <w:rStyle w:val="VerbatimChar"/>
          <w:i/>
        </w:rPr>
        <w:t>outputs/sample_2010_2023/charts/signal_extensions_leaderboard.png</w:t>
      </w:r>
      <w:r>
        <w:rPr>
          <w:i/>
        </w:rPr>
        <w:t>.</w:t>
      </w:r>
    </w:p>
    <w:p w14:paraId="388C5C64" w14:textId="77777777" w:rsidR="00FA75C9" w:rsidRDefault="00000000" w:rsidP="00D56005">
      <w:pPr>
        <w:pStyle w:val="BodyText"/>
        <w:spacing w:line="360" w:lineRule="auto"/>
      </w:pPr>
      <w:r>
        <w:rPr>
          <w:b/>
        </w:rPr>
        <w:t>Figure A8. Signal-Extensions Decile Returns.</w:t>
      </w:r>
    </w:p>
    <w:p w14:paraId="7BC13A85" w14:textId="77777777" w:rsidR="00FA75C9" w:rsidRDefault="00000000" w:rsidP="00D56005">
      <w:pPr>
        <w:pStyle w:val="CaptionedFigure"/>
        <w:spacing w:line="360" w:lineRule="auto"/>
      </w:pPr>
      <w:r>
        <w:rPr>
          <w:noProof/>
        </w:rPr>
        <w:lastRenderedPageBreak/>
        <w:drawing>
          <wp:inline distT="0" distB="0" distL="0" distR="0" wp14:anchorId="7A2FA12A" wp14:editId="1046B7FB">
            <wp:extent cx="5334000" cy="2909454"/>
            <wp:effectExtent l="0" t="0" r="0" b="0"/>
            <wp:docPr id="849418937" name="Picture" descr="Figure A8"/>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signal_extensions_decile_returns.png"/>
                    <pic:cNvPicPr>
                      <a:picLocks noChangeAspect="1" noChangeArrowheads="1"/>
                    </pic:cNvPicPr>
                  </pic:nvPicPr>
                  <pic:blipFill>
                    <a:blip r:embed="rId21"/>
                    <a:stretch>
                      <a:fillRect/>
                    </a:stretch>
                  </pic:blipFill>
                  <pic:spPr bwMode="auto">
                    <a:xfrm>
                      <a:off x="0" y="0"/>
                      <a:ext cx="5334000" cy="2909454"/>
                    </a:xfrm>
                    <a:prstGeom prst="rect">
                      <a:avLst/>
                    </a:prstGeom>
                    <a:noFill/>
                    <a:ln w="9525">
                      <a:noFill/>
                      <a:headEnd/>
                      <a:tailEnd/>
                    </a:ln>
                  </pic:spPr>
                </pic:pic>
              </a:graphicData>
            </a:graphic>
          </wp:inline>
        </w:drawing>
      </w:r>
    </w:p>
    <w:p w14:paraId="3EEF0A7C" w14:textId="77777777" w:rsidR="00FA75C9" w:rsidRDefault="00000000" w:rsidP="00D56005">
      <w:pPr>
        <w:pStyle w:val="ImageCaption"/>
        <w:spacing w:line="360" w:lineRule="auto"/>
      </w:pPr>
      <w:r>
        <w:t>Figure A8</w:t>
      </w:r>
    </w:p>
    <w:p w14:paraId="73720EC9" w14:textId="77777777" w:rsidR="00FA75C9" w:rsidRDefault="00000000" w:rsidP="00D56005">
      <w:pPr>
        <w:pStyle w:val="BodyText"/>
        <w:spacing w:line="360" w:lineRule="auto"/>
      </w:pPr>
      <w:r>
        <w:rPr>
          <w:i/>
        </w:rPr>
        <w:t>Figure A8. Annualized decile returns for the tested IV-spread extension signals (level, one-month change, three-month change, relative put pressure, level-plus-change combination).</w:t>
      </w:r>
    </w:p>
    <w:p w14:paraId="79AE29C1" w14:textId="77777777" w:rsidR="00FA75C9" w:rsidRDefault="00000000" w:rsidP="00D56005">
      <w:pPr>
        <w:pStyle w:val="BodyText"/>
        <w:spacing w:line="360" w:lineRule="auto"/>
      </w:pPr>
      <w:r>
        <w:rPr>
          <w:i/>
        </w:rPr>
        <w:t xml:space="preserve">Source: </w:t>
      </w:r>
      <w:r>
        <w:rPr>
          <w:rStyle w:val="VerbatimChar"/>
          <w:i/>
        </w:rPr>
        <w:t>outputs/sample_2010_2023/charts/signal_extensions_decile_returns.png</w:t>
      </w:r>
      <w:r>
        <w:rPr>
          <w:i/>
        </w:rPr>
        <w:t>.</w:t>
      </w:r>
    </w:p>
    <w:p w14:paraId="2984D12B" w14:textId="77777777" w:rsidR="00FA75C9" w:rsidRDefault="00000000" w:rsidP="00D56005">
      <w:pPr>
        <w:pStyle w:val="BodyText"/>
        <w:spacing w:line="360" w:lineRule="auto"/>
      </w:pPr>
      <w:r>
        <w:rPr>
          <w:b/>
        </w:rPr>
        <w:t>Figure A9. Lower-Frequency Long-Only Exclusion.</w:t>
      </w:r>
    </w:p>
    <w:p w14:paraId="6759226E" w14:textId="77777777" w:rsidR="00FA75C9" w:rsidRDefault="00000000" w:rsidP="00D56005">
      <w:pPr>
        <w:pStyle w:val="CaptionedFigure"/>
        <w:spacing w:line="360" w:lineRule="auto"/>
      </w:pPr>
      <w:r>
        <w:rPr>
          <w:noProof/>
        </w:rPr>
        <w:drawing>
          <wp:inline distT="0" distB="0" distL="0" distR="0" wp14:anchorId="040CC512" wp14:editId="78F0EF72">
            <wp:extent cx="5334000" cy="2222500"/>
            <wp:effectExtent l="0" t="0" r="0" b="0"/>
            <wp:docPr id="2049910625" name="Picture" descr="Figure A9"/>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iv_spread_lower_frequency_exclusion.png"/>
                    <pic:cNvPicPr>
                      <a:picLocks noChangeAspect="1" noChangeArrowheads="1"/>
                    </pic:cNvPicPr>
                  </pic:nvPicPr>
                  <pic:blipFill>
                    <a:blip r:embed="rId22"/>
                    <a:stretch>
                      <a:fillRect/>
                    </a:stretch>
                  </pic:blipFill>
                  <pic:spPr bwMode="auto">
                    <a:xfrm>
                      <a:off x="0" y="0"/>
                      <a:ext cx="5334000" cy="2222500"/>
                    </a:xfrm>
                    <a:prstGeom prst="rect">
                      <a:avLst/>
                    </a:prstGeom>
                    <a:noFill/>
                    <a:ln w="9525">
                      <a:noFill/>
                      <a:headEnd/>
                      <a:tailEnd/>
                    </a:ln>
                  </pic:spPr>
                </pic:pic>
              </a:graphicData>
            </a:graphic>
          </wp:inline>
        </w:drawing>
      </w:r>
    </w:p>
    <w:p w14:paraId="618ABE8F" w14:textId="77777777" w:rsidR="00FA75C9" w:rsidRDefault="00000000" w:rsidP="00D56005">
      <w:pPr>
        <w:pStyle w:val="ImageCaption"/>
        <w:spacing w:line="360" w:lineRule="auto"/>
      </w:pPr>
      <w:r>
        <w:t>Figure A9</w:t>
      </w:r>
    </w:p>
    <w:p w14:paraId="22BD63AB" w14:textId="77777777" w:rsidR="00FA75C9" w:rsidRDefault="00000000" w:rsidP="00D56005">
      <w:pPr>
        <w:pStyle w:val="BodyText"/>
        <w:spacing w:line="360" w:lineRule="auto"/>
      </w:pPr>
      <w:r>
        <w:rPr>
          <w:i/>
        </w:rPr>
        <w:t>Figure A9. Annualized improvement of the long-only bottom-decile exclusion at monthly, quarterly, and semiannual rebalancing frequencies, all-stock and $100M+ equal-weighted.</w:t>
      </w:r>
    </w:p>
    <w:p w14:paraId="56A56A4A" w14:textId="77777777" w:rsidR="00FA75C9" w:rsidRDefault="00000000" w:rsidP="00D56005">
      <w:pPr>
        <w:pStyle w:val="BodyText"/>
        <w:spacing w:line="360" w:lineRule="auto"/>
      </w:pPr>
      <w:r>
        <w:rPr>
          <w:i/>
        </w:rPr>
        <w:lastRenderedPageBreak/>
        <w:t xml:space="preserve">Source: </w:t>
      </w:r>
      <w:r>
        <w:rPr>
          <w:rStyle w:val="VerbatimChar"/>
          <w:i/>
        </w:rPr>
        <w:t>outputs/sample_2010_2023/charts/iv_spread_lower_frequency_exclusion.png</w:t>
      </w:r>
      <w:r>
        <w:rPr>
          <w:i/>
        </w:rPr>
        <w:t>.</w:t>
      </w:r>
    </w:p>
    <w:p w14:paraId="22EB8A8D" w14:textId="77777777" w:rsidR="00FA75C9" w:rsidRDefault="00000000" w:rsidP="00D56005">
      <w:pPr>
        <w:pStyle w:val="BodyText"/>
        <w:spacing w:line="360" w:lineRule="auto"/>
      </w:pPr>
      <w:r>
        <w:rPr>
          <w:b/>
        </w:rPr>
        <w:t>Figure A10. Newly-Bottom vs Persistent-Bottom.</w:t>
      </w:r>
    </w:p>
    <w:p w14:paraId="412F0BC1" w14:textId="77777777" w:rsidR="00FA75C9" w:rsidRDefault="00000000" w:rsidP="00D56005">
      <w:pPr>
        <w:pStyle w:val="CaptionedFigure"/>
        <w:spacing w:line="360" w:lineRule="auto"/>
      </w:pPr>
      <w:r>
        <w:rPr>
          <w:noProof/>
        </w:rPr>
        <w:drawing>
          <wp:inline distT="0" distB="0" distL="0" distR="0" wp14:anchorId="4E1ED330" wp14:editId="0F98AC23">
            <wp:extent cx="5334000" cy="2424545"/>
            <wp:effectExtent l="0" t="0" r="0" b="0"/>
            <wp:docPr id="807449946" name="Picture" descr="Figure A10"/>
            <wp:cNvGraphicFramePr/>
            <a:graphic xmlns:a="http://schemas.openxmlformats.org/drawingml/2006/main">
              <a:graphicData uri="http://schemas.openxmlformats.org/drawingml/2006/picture">
                <pic:pic xmlns:pic="http://schemas.openxmlformats.org/drawingml/2006/picture">
                  <pic:nvPicPr>
                    <pic:cNvPr id="0" name="Picture" descr="../outputs/sample_2010_2023/charts/iv_spread_new_vs_persistent_bottom.png"/>
                    <pic:cNvPicPr>
                      <a:picLocks noChangeAspect="1" noChangeArrowheads="1"/>
                    </pic:cNvPicPr>
                  </pic:nvPicPr>
                  <pic:blipFill>
                    <a:blip r:embed="rId23"/>
                    <a:stretch>
                      <a:fillRect/>
                    </a:stretch>
                  </pic:blipFill>
                  <pic:spPr bwMode="auto">
                    <a:xfrm>
                      <a:off x="0" y="0"/>
                      <a:ext cx="5334000" cy="2424545"/>
                    </a:xfrm>
                    <a:prstGeom prst="rect">
                      <a:avLst/>
                    </a:prstGeom>
                    <a:noFill/>
                    <a:ln w="9525">
                      <a:noFill/>
                      <a:headEnd/>
                      <a:tailEnd/>
                    </a:ln>
                  </pic:spPr>
                </pic:pic>
              </a:graphicData>
            </a:graphic>
          </wp:inline>
        </w:drawing>
      </w:r>
    </w:p>
    <w:p w14:paraId="44E2BE5C" w14:textId="77777777" w:rsidR="00FA75C9" w:rsidRDefault="00000000" w:rsidP="00D56005">
      <w:pPr>
        <w:pStyle w:val="ImageCaption"/>
        <w:spacing w:line="360" w:lineRule="auto"/>
      </w:pPr>
      <w:r>
        <w:t>Figure A10</w:t>
      </w:r>
    </w:p>
    <w:p w14:paraId="49ADA1B1" w14:textId="77777777" w:rsidR="00FA75C9" w:rsidRDefault="00000000" w:rsidP="00D56005">
      <w:pPr>
        <w:pStyle w:val="BodyText"/>
        <w:spacing w:line="360" w:lineRule="auto"/>
      </w:pPr>
      <w:r>
        <w:rPr>
          <w:i/>
        </w:rPr>
        <w:t>Figure A10. Universe-minus-newly-bottom and universe-minus-persistent-bottom annualized returns and Newey-West t-statistics, all-stock and $100M+ equal-weighted.</w:t>
      </w:r>
    </w:p>
    <w:p w14:paraId="2520EE13" w14:textId="77777777" w:rsidR="00FA75C9" w:rsidRDefault="00000000" w:rsidP="00D56005">
      <w:pPr>
        <w:pStyle w:val="BodyText"/>
        <w:spacing w:line="360" w:lineRule="auto"/>
      </w:pPr>
      <w:r>
        <w:rPr>
          <w:i/>
        </w:rPr>
        <w:t xml:space="preserve">Source: </w:t>
      </w:r>
      <w:r>
        <w:rPr>
          <w:rStyle w:val="VerbatimChar"/>
          <w:i/>
        </w:rPr>
        <w:t>outputs/sample_2010_2023/charts/iv_spread_new_vs_persistent_bottom.png</w:t>
      </w:r>
      <w:r>
        <w:rPr>
          <w:i/>
        </w:rPr>
        <w:t>.</w:t>
      </w:r>
    </w:p>
    <w:p w14:paraId="7B5A2285" w14:textId="77777777" w:rsidR="00FA75C9" w:rsidRDefault="00000000" w:rsidP="00D56005">
      <w:pPr>
        <w:pStyle w:val="Heading2"/>
        <w:spacing w:line="360" w:lineRule="auto"/>
      </w:pPr>
      <w:bookmarkStart w:id="38" w:name="appendix-b.-additional-robustness-tables"/>
      <w:bookmarkStart w:id="39" w:name="_Toc228955558"/>
      <w:r>
        <w:t>Appendix B. Additional Robustness Tables</w:t>
      </w:r>
      <w:bookmarkEnd w:id="38"/>
      <w:bookmarkEnd w:id="39"/>
    </w:p>
    <w:p w14:paraId="4BEB3D6E" w14:textId="77777777" w:rsidR="00FA75C9" w:rsidRDefault="00000000" w:rsidP="00D56005">
      <w:pPr>
        <w:pStyle w:val="FirstParagraph"/>
        <w:spacing w:line="360" w:lineRule="auto"/>
      </w:pPr>
      <w:r>
        <w:t>The body tables (Tables 1–8) report the headline equal-weighted decile and quintile results, the U-B and Q5–Q1 specifications in the all-stock and $100M+ universes, and the long-only exclusion screen. Additional robustness is available in the source CSVs but not reproduced here in full. In particular:</w:t>
      </w:r>
    </w:p>
    <w:p w14:paraId="1AA07B35" w14:textId="77777777" w:rsidR="00FA75C9" w:rsidRDefault="00000000" w:rsidP="00D56005">
      <w:pPr>
        <w:pStyle w:val="Compact"/>
        <w:numPr>
          <w:ilvl w:val="0"/>
          <w:numId w:val="3"/>
        </w:numPr>
        <w:spacing w:line="360" w:lineRule="auto"/>
      </w:pPr>
      <w:r>
        <w:t xml:space="preserve">Value-weighted versions of the U-B decile, U-B quintile, and Q5–Q1 strategies are produced for every universe filter. Source: </w:t>
      </w:r>
      <w:r>
        <w:rPr>
          <w:rStyle w:val="VerbatimChar"/>
        </w:rPr>
        <w:t>bottom_tail_summary_2010_2023.csv</w:t>
      </w:r>
      <w:r>
        <w:t xml:space="preserve">, weighting field set to </w:t>
      </w:r>
      <w:r>
        <w:rPr>
          <w:rStyle w:val="VerbatimChar"/>
        </w:rPr>
        <w:t>vw</w:t>
      </w:r>
      <w:r>
        <w:t>.</w:t>
      </w:r>
    </w:p>
    <w:p w14:paraId="19A3565B" w14:textId="77777777" w:rsidR="00FA75C9" w:rsidRDefault="00000000" w:rsidP="00D56005">
      <w:pPr>
        <w:pStyle w:val="Compact"/>
        <w:numPr>
          <w:ilvl w:val="0"/>
          <w:numId w:val="3"/>
        </w:numPr>
        <w:spacing w:line="360" w:lineRule="auto"/>
      </w:pPr>
      <w:r>
        <w:lastRenderedPageBreak/>
        <w:t xml:space="preserve">Larger market-cap universe filters at $500M and $1B are produced for every U-B and Q5–Q1 specification. Source: </w:t>
      </w:r>
      <w:r>
        <w:rPr>
          <w:rStyle w:val="VerbatimChar"/>
        </w:rPr>
        <w:t>bottom_tail_summary_2010_2023.csv</w:t>
      </w:r>
      <w:r>
        <w:t xml:space="preserve">, universe field set to </w:t>
      </w:r>
      <w:r>
        <w:rPr>
          <w:rStyle w:val="VerbatimChar"/>
        </w:rPr>
        <w:t>mktcap_500m</w:t>
      </w:r>
      <w:r>
        <w:t xml:space="preserve"> or </w:t>
      </w:r>
      <w:r>
        <w:rPr>
          <w:rStyle w:val="VerbatimChar"/>
        </w:rPr>
        <w:t>mktcap_1b</w:t>
      </w:r>
      <w:r>
        <w:t>.</w:t>
      </w:r>
    </w:p>
    <w:p w14:paraId="2A349A15" w14:textId="77777777" w:rsidR="00FA75C9" w:rsidRDefault="00000000" w:rsidP="00D56005">
      <w:pPr>
        <w:pStyle w:val="Compact"/>
        <w:numPr>
          <w:ilvl w:val="0"/>
          <w:numId w:val="3"/>
        </w:numPr>
        <w:spacing w:line="360" w:lineRule="auto"/>
      </w:pPr>
      <w:r>
        <w:t xml:space="preserve">Signal-transformation robustness (raw, percentile rank, winsorized z-score) is produced for the Q5–Q1 quintile sorts. Source: </w:t>
      </w:r>
      <w:r>
        <w:rPr>
          <w:rStyle w:val="VerbatimChar"/>
        </w:rPr>
        <w:t>robustness_quintile_summary.csv</w:t>
      </w:r>
      <w:r>
        <w:t xml:space="preserve"> and the per-strategy CSV files referenced from </w:t>
      </w:r>
      <w:r>
        <w:rPr>
          <w:rStyle w:val="VerbatimChar"/>
        </w:rPr>
        <w:t>alpha_anatomy_signal_leaderboard.csv</w:t>
      </w:r>
      <w:r>
        <w:t>.</w:t>
      </w:r>
    </w:p>
    <w:p w14:paraId="3F07D3DF" w14:textId="77777777" w:rsidR="00FA75C9" w:rsidRDefault="00000000" w:rsidP="00D56005">
      <w:pPr>
        <w:pStyle w:val="Compact"/>
        <w:numPr>
          <w:ilvl w:val="0"/>
          <w:numId w:val="3"/>
        </w:numPr>
        <w:spacing w:line="360" w:lineRule="auto"/>
      </w:pPr>
      <w:r>
        <w:t xml:space="preserve">Decile-rank decomposition (D10−D1 and intermediate adjacent-decile contrasts) is in </w:t>
      </w:r>
      <w:r>
        <w:rPr>
          <w:rStyle w:val="VerbatimChar"/>
        </w:rPr>
        <w:t>alpha_anatomy_subperiods.csv</w:t>
      </w:r>
      <w:r>
        <w:t xml:space="preserve"> and </w:t>
      </w:r>
      <w:r>
        <w:rPr>
          <w:rStyle w:val="VerbatimChar"/>
        </w:rPr>
        <w:t>alpha_anatomy_leg_decomposition.csv</w:t>
      </w:r>
      <w:r>
        <w:t>.</w:t>
      </w:r>
    </w:p>
    <w:p w14:paraId="2A57ED5A" w14:textId="77777777" w:rsidR="00FA75C9" w:rsidRDefault="00000000" w:rsidP="00D56005">
      <w:pPr>
        <w:pStyle w:val="Compact"/>
        <w:numPr>
          <w:ilvl w:val="0"/>
          <w:numId w:val="3"/>
        </w:numPr>
        <w:spacing w:line="360" w:lineRule="auto"/>
      </w:pPr>
      <w:r>
        <w:t xml:space="preserve">Factor-regression specifications across CAPM, FF3, FF5, and FF5+MOM are stored in </w:t>
      </w:r>
      <w:r>
        <w:rPr>
          <w:rStyle w:val="VerbatimChar"/>
        </w:rPr>
        <w:t>factor_regression_summary_2010_2023.csv</w:t>
      </w:r>
      <w:r>
        <w:t xml:space="preserve"> for every selected portfolio.</w:t>
      </w:r>
    </w:p>
    <w:p w14:paraId="0A395949" w14:textId="77777777" w:rsidR="00FA75C9" w:rsidRDefault="00000000" w:rsidP="00D56005">
      <w:pPr>
        <w:pStyle w:val="Compact"/>
        <w:numPr>
          <w:ilvl w:val="0"/>
          <w:numId w:val="3"/>
        </w:numPr>
        <w:spacing w:line="360" w:lineRule="auto"/>
      </w:pPr>
      <w:r>
        <w:t xml:space="preserve">Long-only exclusion variants beyond bottom-decile and bottom-quintile (including symmetric bottom-and-top exclusions, larger universe filters, value-weighted versions) are stored in </w:t>
      </w:r>
      <w:r>
        <w:rPr>
          <w:rStyle w:val="VerbatimChar"/>
        </w:rPr>
        <w:t>long_only_exclusion_summary_2010_2023.csv</w:t>
      </w:r>
      <w:r>
        <w:t xml:space="preserve"> and </w:t>
      </w:r>
      <w:r>
        <w:rPr>
          <w:rStyle w:val="VerbatimChar"/>
        </w:rPr>
        <w:t>long_only_exclusion_improvement_2010_2023.csv</w:t>
      </w:r>
      <w:r>
        <w:t>.</w:t>
      </w:r>
    </w:p>
    <w:p w14:paraId="5522F2DA" w14:textId="77777777" w:rsidR="00FA75C9" w:rsidRDefault="00000000" w:rsidP="00D56005">
      <w:pPr>
        <w:pStyle w:val="Compact"/>
        <w:numPr>
          <w:ilvl w:val="0"/>
          <w:numId w:val="3"/>
        </w:numPr>
        <w:spacing w:line="360" w:lineRule="auto"/>
      </w:pPr>
      <w:r>
        <w:t xml:space="preserve">Signal-extensions diagnostics — one-month and three-month changes in IV spread, relative put-IV pressure, level-plus-change combinations, persistent-bottom membership, and long-side call-strength variants — are stored in </w:t>
      </w:r>
      <w:r>
        <w:rPr>
          <w:rStyle w:val="VerbatimChar"/>
        </w:rPr>
        <w:t>signal_extensions_sort_summary_2010_2023.csv</w:t>
      </w:r>
      <w:r>
        <w:t xml:space="preserve">, </w:t>
      </w:r>
      <w:r>
        <w:rPr>
          <w:rStyle w:val="VerbatimChar"/>
        </w:rPr>
        <w:t>signal_extensions_long_only_summary_2010_2023.csv</w:t>
      </w:r>
      <w:r>
        <w:t xml:space="preserve">, </w:t>
      </w:r>
      <w:r>
        <w:rPr>
          <w:rStyle w:val="VerbatimChar"/>
        </w:rPr>
        <w:t>signal_extensions_factor_summary_2010_2023.csv</w:t>
      </w:r>
      <w:r>
        <w:t xml:space="preserve">, </w:t>
      </w:r>
      <w:r>
        <w:rPr>
          <w:rStyle w:val="VerbatimChar"/>
        </w:rPr>
        <w:t>signal_extensions_turnover_2010_2023.csv</w:t>
      </w:r>
      <w:r>
        <w:t xml:space="preserve">, and </w:t>
      </w:r>
      <w:r>
        <w:rPr>
          <w:rStyle w:val="VerbatimChar"/>
        </w:rPr>
        <w:t>signal_extensions_cost_sensitivity_2010_2023.csv</w:t>
      </w:r>
      <w:r>
        <w:t xml:space="preserve">. The summary recommendation is in </w:t>
      </w:r>
      <w:r>
        <w:rPr>
          <w:rStyle w:val="VerbatimChar"/>
        </w:rPr>
        <w:t>signal_extensions_summary_report.md</w:t>
      </w:r>
      <w:r>
        <w:t>.</w:t>
      </w:r>
    </w:p>
    <w:p w14:paraId="38CB6AEA" w14:textId="77777777" w:rsidR="00FA75C9" w:rsidRDefault="00000000" w:rsidP="00D56005">
      <w:pPr>
        <w:pStyle w:val="Compact"/>
        <w:numPr>
          <w:ilvl w:val="0"/>
          <w:numId w:val="3"/>
        </w:numPr>
        <w:spacing w:line="360" w:lineRule="auto"/>
      </w:pPr>
      <w:r>
        <w:t xml:space="preserve">Holding-period decay (t+1, t+2-only, t+3-only, cumulative-3m, cumulative-6m) is in </w:t>
      </w:r>
      <w:r>
        <w:rPr>
          <w:rStyle w:val="VerbatimChar"/>
        </w:rPr>
        <w:t>iv_spread_holding_period_decay_summary_2010_2023.csv</w:t>
      </w:r>
      <w:r>
        <w:t>.</w:t>
      </w:r>
    </w:p>
    <w:p w14:paraId="6ED1650D" w14:textId="77777777" w:rsidR="00FA75C9" w:rsidRDefault="00000000" w:rsidP="00D56005">
      <w:pPr>
        <w:pStyle w:val="Compact"/>
        <w:numPr>
          <w:ilvl w:val="0"/>
          <w:numId w:val="3"/>
        </w:numPr>
        <w:spacing w:line="360" w:lineRule="auto"/>
      </w:pPr>
      <w:r>
        <w:t xml:space="preserve">Newly-bottom versus persistent-bottom decomposition is in </w:t>
      </w:r>
      <w:r>
        <w:rPr>
          <w:rStyle w:val="VerbatimChar"/>
        </w:rPr>
        <w:t>iv_spread_new_vs_persistent_bottom_summary_2010_2023.csv</w:t>
      </w:r>
      <w:r>
        <w:t>.</w:t>
      </w:r>
    </w:p>
    <w:p w14:paraId="721E9FF3" w14:textId="77777777" w:rsidR="00FA75C9" w:rsidRDefault="00000000" w:rsidP="00D56005">
      <w:pPr>
        <w:pStyle w:val="Compact"/>
        <w:numPr>
          <w:ilvl w:val="0"/>
          <w:numId w:val="3"/>
        </w:numPr>
        <w:spacing w:line="360" w:lineRule="auto"/>
      </w:pPr>
      <w:r>
        <w:t xml:space="preserve">Lower-frequency (monthly, quarterly, semiannual) exclusion screens are in </w:t>
      </w:r>
      <w:r>
        <w:rPr>
          <w:rStyle w:val="VerbatimChar"/>
        </w:rPr>
        <w:t>iv_spread_lower_frequency_exclusion_summary_2010_2023.csv</w:t>
      </w:r>
      <w:r>
        <w:t xml:space="preserve"> and </w:t>
      </w:r>
      <w:r>
        <w:rPr>
          <w:rStyle w:val="VerbatimChar"/>
        </w:rPr>
        <w:lastRenderedPageBreak/>
        <w:t>iv_spread_lower_frequency_exclusion_costs_2010_2023.csv</w:t>
      </w:r>
      <w:r>
        <w:t xml:space="preserve">. The summary is in </w:t>
      </w:r>
      <w:r>
        <w:rPr>
          <w:rStyle w:val="VerbatimChar"/>
        </w:rPr>
        <w:t>iv_spread_holding_persistence_summary_report.md</w:t>
      </w:r>
      <w:r>
        <w:t>.</w:t>
      </w:r>
    </w:p>
    <w:p w14:paraId="1BEB33A0" w14:textId="77777777" w:rsidR="00FA75C9" w:rsidRDefault="00000000" w:rsidP="00D56005">
      <w:pPr>
        <w:pStyle w:val="Heading2"/>
        <w:spacing w:line="360" w:lineRule="auto"/>
      </w:pPr>
      <w:bookmarkStart w:id="40" w:name="appendix-c.-figure-inventory"/>
      <w:bookmarkStart w:id="41" w:name="_Toc228955559"/>
      <w:r>
        <w:t>Appendix C. Figure Inventory</w:t>
      </w:r>
      <w:bookmarkEnd w:id="40"/>
      <w:bookmarkEnd w:id="41"/>
    </w:p>
    <w:p w14:paraId="29284ED4" w14:textId="77777777" w:rsidR="00FA75C9" w:rsidRDefault="00000000" w:rsidP="00D56005">
      <w:pPr>
        <w:pStyle w:val="FirstParagraph"/>
        <w:spacing w:line="360" w:lineRule="auto"/>
      </w:pPr>
      <w:r>
        <w:rPr>
          <w:b/>
        </w:rPr>
        <w:t>Table C1. Figure inventory.</w:t>
      </w:r>
      <w:r>
        <w:t xml:space="preserve"> Body and appendix figures with file paths.</w:t>
      </w:r>
    </w:p>
    <w:tbl>
      <w:tblPr>
        <w:tblStyle w:val="Table"/>
        <w:tblW w:w="5000" w:type="pct"/>
        <w:tblLook w:val="07E0" w:firstRow="1" w:lastRow="1" w:firstColumn="1" w:lastColumn="1" w:noHBand="1" w:noVBand="1"/>
      </w:tblPr>
      <w:tblGrid>
        <w:gridCol w:w="505"/>
        <w:gridCol w:w="1404"/>
        <w:gridCol w:w="6768"/>
        <w:gridCol w:w="899"/>
      </w:tblGrid>
      <w:tr w:rsidR="00FA75C9" w14:paraId="54B138D4" w14:textId="77777777">
        <w:tc>
          <w:tcPr>
            <w:tcW w:w="0" w:type="auto"/>
            <w:tcBorders>
              <w:bottom w:val="single" w:sz="0" w:space="0" w:color="auto"/>
            </w:tcBorders>
            <w:vAlign w:val="bottom"/>
          </w:tcPr>
          <w:p w14:paraId="0A64DC5B" w14:textId="77777777" w:rsidR="00FA75C9" w:rsidRDefault="00000000" w:rsidP="00D56005">
            <w:pPr>
              <w:pStyle w:val="Compact"/>
              <w:spacing w:line="360" w:lineRule="auto"/>
            </w:pPr>
            <w:r>
              <w:t>#</w:t>
            </w:r>
          </w:p>
        </w:tc>
        <w:tc>
          <w:tcPr>
            <w:tcW w:w="0" w:type="auto"/>
            <w:tcBorders>
              <w:bottom w:val="single" w:sz="0" w:space="0" w:color="auto"/>
            </w:tcBorders>
            <w:vAlign w:val="bottom"/>
          </w:tcPr>
          <w:p w14:paraId="5A665185" w14:textId="77777777" w:rsidR="00FA75C9" w:rsidRDefault="00000000" w:rsidP="00D56005">
            <w:pPr>
              <w:pStyle w:val="Compact"/>
              <w:spacing w:line="360" w:lineRule="auto"/>
            </w:pPr>
            <w:r>
              <w:t>Title</w:t>
            </w:r>
          </w:p>
        </w:tc>
        <w:tc>
          <w:tcPr>
            <w:tcW w:w="0" w:type="auto"/>
            <w:tcBorders>
              <w:bottom w:val="single" w:sz="0" w:space="0" w:color="auto"/>
            </w:tcBorders>
            <w:vAlign w:val="bottom"/>
          </w:tcPr>
          <w:p w14:paraId="22523994" w14:textId="77777777" w:rsidR="00FA75C9" w:rsidRDefault="00000000" w:rsidP="00D56005">
            <w:pPr>
              <w:pStyle w:val="Compact"/>
              <w:spacing w:line="360" w:lineRule="auto"/>
            </w:pPr>
            <w:r>
              <w:t>File path</w:t>
            </w:r>
          </w:p>
        </w:tc>
        <w:tc>
          <w:tcPr>
            <w:tcW w:w="0" w:type="auto"/>
            <w:tcBorders>
              <w:bottom w:val="single" w:sz="0" w:space="0" w:color="auto"/>
            </w:tcBorders>
            <w:vAlign w:val="bottom"/>
          </w:tcPr>
          <w:p w14:paraId="4777A993" w14:textId="77777777" w:rsidR="00FA75C9" w:rsidRDefault="00000000" w:rsidP="00D56005">
            <w:pPr>
              <w:pStyle w:val="Compact"/>
              <w:spacing w:line="360" w:lineRule="auto"/>
            </w:pPr>
            <w:r>
              <w:t>Location</w:t>
            </w:r>
          </w:p>
        </w:tc>
      </w:tr>
      <w:tr w:rsidR="00FA75C9" w14:paraId="51B2BC26" w14:textId="77777777">
        <w:tc>
          <w:tcPr>
            <w:tcW w:w="0" w:type="auto"/>
          </w:tcPr>
          <w:p w14:paraId="2DDE0159" w14:textId="77777777" w:rsidR="00FA75C9" w:rsidRDefault="00000000" w:rsidP="00D56005">
            <w:pPr>
              <w:pStyle w:val="Compact"/>
              <w:spacing w:line="360" w:lineRule="auto"/>
            </w:pPr>
            <w:r>
              <w:t>1</w:t>
            </w:r>
          </w:p>
        </w:tc>
        <w:tc>
          <w:tcPr>
            <w:tcW w:w="0" w:type="auto"/>
          </w:tcPr>
          <w:p w14:paraId="38E66F20" w14:textId="77777777" w:rsidR="00FA75C9" w:rsidRDefault="00000000" w:rsidP="00D56005">
            <w:pPr>
              <w:pStyle w:val="Compact"/>
              <w:spacing w:line="360" w:lineRule="auto"/>
            </w:pPr>
            <w:r>
              <w:t>Main Cumulative Performance</w:t>
            </w:r>
          </w:p>
        </w:tc>
        <w:tc>
          <w:tcPr>
            <w:tcW w:w="0" w:type="auto"/>
          </w:tcPr>
          <w:p w14:paraId="7B41F683" w14:textId="77777777" w:rsidR="00FA75C9" w:rsidRDefault="00000000" w:rsidP="00D56005">
            <w:pPr>
              <w:pStyle w:val="Compact"/>
              <w:spacing w:line="360" w:lineRule="auto"/>
            </w:pPr>
            <w:r>
              <w:rPr>
                <w:rStyle w:val="VerbatimChar"/>
              </w:rPr>
              <w:t>outputs/sample_2010_2023/final_figures/01_main_cumulative_performance.png</w:t>
            </w:r>
          </w:p>
        </w:tc>
        <w:tc>
          <w:tcPr>
            <w:tcW w:w="0" w:type="auto"/>
          </w:tcPr>
          <w:p w14:paraId="2C9B0244" w14:textId="77777777" w:rsidR="00FA75C9" w:rsidRDefault="00000000" w:rsidP="00D56005">
            <w:pPr>
              <w:pStyle w:val="Compact"/>
              <w:spacing w:line="360" w:lineRule="auto"/>
            </w:pPr>
            <w:r>
              <w:t>Body §5</w:t>
            </w:r>
          </w:p>
        </w:tc>
      </w:tr>
      <w:tr w:rsidR="00FA75C9" w14:paraId="7CEEB82A" w14:textId="77777777">
        <w:tc>
          <w:tcPr>
            <w:tcW w:w="0" w:type="auto"/>
          </w:tcPr>
          <w:p w14:paraId="50E8E8A7" w14:textId="77777777" w:rsidR="00FA75C9" w:rsidRDefault="00000000" w:rsidP="00D56005">
            <w:pPr>
              <w:pStyle w:val="Compact"/>
              <w:spacing w:line="360" w:lineRule="auto"/>
            </w:pPr>
            <w:r>
              <w:t>2</w:t>
            </w:r>
          </w:p>
        </w:tc>
        <w:tc>
          <w:tcPr>
            <w:tcW w:w="0" w:type="auto"/>
          </w:tcPr>
          <w:p w14:paraId="12322942" w14:textId="77777777" w:rsidR="00FA75C9" w:rsidRDefault="00000000" w:rsidP="00D56005">
            <w:pPr>
              <w:pStyle w:val="Compact"/>
              <w:spacing w:line="360" w:lineRule="auto"/>
            </w:pPr>
            <w:r>
              <w:t>IV-Spread Decile Returns</w:t>
            </w:r>
          </w:p>
        </w:tc>
        <w:tc>
          <w:tcPr>
            <w:tcW w:w="0" w:type="auto"/>
          </w:tcPr>
          <w:p w14:paraId="2965939B" w14:textId="77777777" w:rsidR="00FA75C9" w:rsidRDefault="00000000" w:rsidP="00D56005">
            <w:pPr>
              <w:pStyle w:val="Compact"/>
              <w:spacing w:line="360" w:lineRule="auto"/>
            </w:pPr>
            <w:r>
              <w:rPr>
                <w:rStyle w:val="VerbatimChar"/>
              </w:rPr>
              <w:t>outputs/sample_2010_2023/final_figures/02_decile_returns.png</w:t>
            </w:r>
          </w:p>
        </w:tc>
        <w:tc>
          <w:tcPr>
            <w:tcW w:w="0" w:type="auto"/>
          </w:tcPr>
          <w:p w14:paraId="38DC77DA" w14:textId="77777777" w:rsidR="00FA75C9" w:rsidRDefault="00000000" w:rsidP="00D56005">
            <w:pPr>
              <w:pStyle w:val="Compact"/>
              <w:spacing w:line="360" w:lineRule="auto"/>
            </w:pPr>
            <w:r>
              <w:t>Body §6</w:t>
            </w:r>
          </w:p>
        </w:tc>
      </w:tr>
      <w:tr w:rsidR="00FA75C9" w14:paraId="6A29A240" w14:textId="77777777">
        <w:tc>
          <w:tcPr>
            <w:tcW w:w="0" w:type="auto"/>
          </w:tcPr>
          <w:p w14:paraId="6D1C1885" w14:textId="77777777" w:rsidR="00FA75C9" w:rsidRDefault="00000000" w:rsidP="00D56005">
            <w:pPr>
              <w:pStyle w:val="Compact"/>
              <w:spacing w:line="360" w:lineRule="auto"/>
            </w:pPr>
            <w:r>
              <w:t>3</w:t>
            </w:r>
          </w:p>
        </w:tc>
        <w:tc>
          <w:tcPr>
            <w:tcW w:w="0" w:type="auto"/>
          </w:tcPr>
          <w:p w14:paraId="69E58A7E" w14:textId="77777777" w:rsidR="00FA75C9" w:rsidRDefault="00000000" w:rsidP="00D56005">
            <w:pPr>
              <w:pStyle w:val="Compact"/>
              <w:spacing w:line="360" w:lineRule="auto"/>
            </w:pPr>
            <w:r>
              <w:t>Leg Decomposition</w:t>
            </w:r>
          </w:p>
        </w:tc>
        <w:tc>
          <w:tcPr>
            <w:tcW w:w="0" w:type="auto"/>
          </w:tcPr>
          <w:p w14:paraId="25FEFE6F" w14:textId="77777777" w:rsidR="00FA75C9" w:rsidRDefault="00000000" w:rsidP="00D56005">
            <w:pPr>
              <w:pStyle w:val="Compact"/>
              <w:spacing w:line="360" w:lineRule="auto"/>
            </w:pPr>
            <w:r>
              <w:rPr>
                <w:rStyle w:val="VerbatimChar"/>
              </w:rPr>
              <w:t>outputs/sample_2010_2023/final_figures/03_leg_decomposition.png</w:t>
            </w:r>
          </w:p>
        </w:tc>
        <w:tc>
          <w:tcPr>
            <w:tcW w:w="0" w:type="auto"/>
          </w:tcPr>
          <w:p w14:paraId="4273A910" w14:textId="77777777" w:rsidR="00FA75C9" w:rsidRDefault="00000000" w:rsidP="00D56005">
            <w:pPr>
              <w:pStyle w:val="Compact"/>
              <w:spacing w:line="360" w:lineRule="auto"/>
            </w:pPr>
            <w:r>
              <w:t>Body §6</w:t>
            </w:r>
          </w:p>
        </w:tc>
      </w:tr>
      <w:tr w:rsidR="00FA75C9" w14:paraId="7E8DAA9A" w14:textId="77777777">
        <w:tc>
          <w:tcPr>
            <w:tcW w:w="0" w:type="auto"/>
          </w:tcPr>
          <w:p w14:paraId="5A42707A" w14:textId="77777777" w:rsidR="00FA75C9" w:rsidRDefault="00000000" w:rsidP="00D56005">
            <w:pPr>
              <w:pStyle w:val="Compact"/>
              <w:spacing w:line="360" w:lineRule="auto"/>
            </w:pPr>
            <w:r>
              <w:t>4</w:t>
            </w:r>
          </w:p>
        </w:tc>
        <w:tc>
          <w:tcPr>
            <w:tcW w:w="0" w:type="auto"/>
          </w:tcPr>
          <w:p w14:paraId="41E1E27E" w14:textId="77777777" w:rsidR="00FA75C9" w:rsidRDefault="00000000" w:rsidP="00D56005">
            <w:pPr>
              <w:pStyle w:val="Compact"/>
              <w:spacing w:line="360" w:lineRule="auto"/>
            </w:pPr>
            <w:r>
              <w:t>Subperiod Performance</w:t>
            </w:r>
          </w:p>
        </w:tc>
        <w:tc>
          <w:tcPr>
            <w:tcW w:w="0" w:type="auto"/>
          </w:tcPr>
          <w:p w14:paraId="11BAE460" w14:textId="77777777" w:rsidR="00FA75C9" w:rsidRDefault="00000000" w:rsidP="00D56005">
            <w:pPr>
              <w:pStyle w:val="Compact"/>
              <w:spacing w:line="360" w:lineRule="auto"/>
            </w:pPr>
            <w:r>
              <w:rPr>
                <w:rStyle w:val="VerbatimChar"/>
              </w:rPr>
              <w:t>outputs/sample_2010_2023/final_figures/05_subperiod_performance.png</w:t>
            </w:r>
          </w:p>
        </w:tc>
        <w:tc>
          <w:tcPr>
            <w:tcW w:w="0" w:type="auto"/>
          </w:tcPr>
          <w:p w14:paraId="49D8003B" w14:textId="77777777" w:rsidR="00FA75C9" w:rsidRDefault="00000000" w:rsidP="00D56005">
            <w:pPr>
              <w:pStyle w:val="Compact"/>
              <w:spacing w:line="360" w:lineRule="auto"/>
            </w:pPr>
            <w:r>
              <w:t>Body §7.2</w:t>
            </w:r>
          </w:p>
        </w:tc>
      </w:tr>
      <w:tr w:rsidR="00FA75C9" w14:paraId="300B8857" w14:textId="77777777">
        <w:tc>
          <w:tcPr>
            <w:tcW w:w="0" w:type="auto"/>
          </w:tcPr>
          <w:p w14:paraId="1BD6C79D" w14:textId="77777777" w:rsidR="00FA75C9" w:rsidRDefault="00000000" w:rsidP="00D56005">
            <w:pPr>
              <w:pStyle w:val="Compact"/>
              <w:spacing w:line="360" w:lineRule="auto"/>
            </w:pPr>
            <w:r>
              <w:t>5</w:t>
            </w:r>
          </w:p>
        </w:tc>
        <w:tc>
          <w:tcPr>
            <w:tcW w:w="0" w:type="auto"/>
          </w:tcPr>
          <w:p w14:paraId="19B49AA5" w14:textId="77777777" w:rsidR="00FA75C9" w:rsidRDefault="00000000" w:rsidP="00D56005">
            <w:pPr>
              <w:pStyle w:val="Compact"/>
              <w:spacing w:line="360" w:lineRule="auto"/>
            </w:pPr>
            <w:r>
              <w:t>IV-Spread Holding-Period Decay</w:t>
            </w:r>
          </w:p>
        </w:tc>
        <w:tc>
          <w:tcPr>
            <w:tcW w:w="0" w:type="auto"/>
          </w:tcPr>
          <w:p w14:paraId="409D5FCB" w14:textId="77777777" w:rsidR="00FA75C9" w:rsidRDefault="00000000" w:rsidP="00D56005">
            <w:pPr>
              <w:pStyle w:val="Compact"/>
              <w:spacing w:line="360" w:lineRule="auto"/>
            </w:pPr>
            <w:r>
              <w:rPr>
                <w:rStyle w:val="VerbatimChar"/>
              </w:rPr>
              <w:t>outputs/sample_2010_2023/charts/iv_spread_holding_period_decay.png</w:t>
            </w:r>
          </w:p>
        </w:tc>
        <w:tc>
          <w:tcPr>
            <w:tcW w:w="0" w:type="auto"/>
          </w:tcPr>
          <w:p w14:paraId="7070BCE5" w14:textId="77777777" w:rsidR="00FA75C9" w:rsidRDefault="00000000" w:rsidP="00D56005">
            <w:pPr>
              <w:pStyle w:val="Compact"/>
              <w:spacing w:line="360" w:lineRule="auto"/>
            </w:pPr>
            <w:r>
              <w:t>Body §7.4</w:t>
            </w:r>
          </w:p>
        </w:tc>
      </w:tr>
      <w:tr w:rsidR="00FA75C9" w14:paraId="071C46AC" w14:textId="77777777">
        <w:tc>
          <w:tcPr>
            <w:tcW w:w="0" w:type="auto"/>
          </w:tcPr>
          <w:p w14:paraId="457A41B4" w14:textId="77777777" w:rsidR="00FA75C9" w:rsidRDefault="00000000" w:rsidP="00D56005">
            <w:pPr>
              <w:pStyle w:val="Compact"/>
              <w:spacing w:line="360" w:lineRule="auto"/>
            </w:pPr>
            <w:r>
              <w:t>6</w:t>
            </w:r>
          </w:p>
        </w:tc>
        <w:tc>
          <w:tcPr>
            <w:tcW w:w="0" w:type="auto"/>
          </w:tcPr>
          <w:p w14:paraId="7E3776E5" w14:textId="77777777" w:rsidR="00FA75C9" w:rsidRDefault="00000000" w:rsidP="00D56005">
            <w:pPr>
              <w:pStyle w:val="Compact"/>
              <w:spacing w:line="360" w:lineRule="auto"/>
            </w:pPr>
            <w:r>
              <w:t>Long-Only Exclusion Cumulative Returns</w:t>
            </w:r>
          </w:p>
        </w:tc>
        <w:tc>
          <w:tcPr>
            <w:tcW w:w="0" w:type="auto"/>
          </w:tcPr>
          <w:p w14:paraId="30D92D99" w14:textId="77777777" w:rsidR="00FA75C9" w:rsidRDefault="00000000" w:rsidP="00D56005">
            <w:pPr>
              <w:pStyle w:val="Compact"/>
              <w:spacing w:line="360" w:lineRule="auto"/>
            </w:pPr>
            <w:r>
              <w:rPr>
                <w:rStyle w:val="VerbatimChar"/>
              </w:rPr>
              <w:t>outputs/sample_2010_2023/charts/long_only_exclusion_cumulative_returns.png</w:t>
            </w:r>
          </w:p>
        </w:tc>
        <w:tc>
          <w:tcPr>
            <w:tcW w:w="0" w:type="auto"/>
          </w:tcPr>
          <w:p w14:paraId="16B70A8B" w14:textId="77777777" w:rsidR="00FA75C9" w:rsidRDefault="00000000" w:rsidP="00D56005">
            <w:pPr>
              <w:pStyle w:val="Compact"/>
              <w:spacing w:line="360" w:lineRule="auto"/>
            </w:pPr>
            <w:r>
              <w:t>Body §11</w:t>
            </w:r>
          </w:p>
        </w:tc>
      </w:tr>
      <w:tr w:rsidR="00FA75C9" w14:paraId="327DC5B1" w14:textId="77777777">
        <w:tc>
          <w:tcPr>
            <w:tcW w:w="0" w:type="auto"/>
          </w:tcPr>
          <w:p w14:paraId="62CFF598" w14:textId="77777777" w:rsidR="00FA75C9" w:rsidRDefault="00000000" w:rsidP="00D56005">
            <w:pPr>
              <w:pStyle w:val="Compact"/>
              <w:spacing w:line="360" w:lineRule="auto"/>
            </w:pPr>
            <w:r>
              <w:lastRenderedPageBreak/>
              <w:t>7</w:t>
            </w:r>
          </w:p>
        </w:tc>
        <w:tc>
          <w:tcPr>
            <w:tcW w:w="0" w:type="auto"/>
          </w:tcPr>
          <w:p w14:paraId="5F0DC280" w14:textId="77777777" w:rsidR="00FA75C9" w:rsidRDefault="00000000" w:rsidP="00D56005">
            <w:pPr>
              <w:pStyle w:val="Compact"/>
              <w:spacing w:line="360" w:lineRule="auto"/>
            </w:pPr>
            <w:r>
              <w:t>Long-Only Cost Sensitivity</w:t>
            </w:r>
          </w:p>
        </w:tc>
        <w:tc>
          <w:tcPr>
            <w:tcW w:w="0" w:type="auto"/>
          </w:tcPr>
          <w:p w14:paraId="2DEB9320" w14:textId="77777777" w:rsidR="00FA75C9" w:rsidRDefault="00000000" w:rsidP="00D56005">
            <w:pPr>
              <w:pStyle w:val="Compact"/>
              <w:spacing w:line="360" w:lineRule="auto"/>
            </w:pPr>
            <w:r>
              <w:rPr>
                <w:rStyle w:val="VerbatimChar"/>
              </w:rPr>
              <w:t>outputs/sample_2010_2023/charts/long_only_exclusion_cost_sensitivity.png</w:t>
            </w:r>
          </w:p>
        </w:tc>
        <w:tc>
          <w:tcPr>
            <w:tcW w:w="0" w:type="auto"/>
          </w:tcPr>
          <w:p w14:paraId="4177F84F" w14:textId="77777777" w:rsidR="00FA75C9" w:rsidRDefault="00000000" w:rsidP="00D56005">
            <w:pPr>
              <w:pStyle w:val="Compact"/>
              <w:spacing w:line="360" w:lineRule="auto"/>
            </w:pPr>
            <w:r>
              <w:t>Body §11</w:t>
            </w:r>
          </w:p>
        </w:tc>
      </w:tr>
      <w:tr w:rsidR="00FA75C9" w14:paraId="13B20652" w14:textId="77777777">
        <w:tc>
          <w:tcPr>
            <w:tcW w:w="0" w:type="auto"/>
          </w:tcPr>
          <w:p w14:paraId="1E15ECB9" w14:textId="77777777" w:rsidR="00FA75C9" w:rsidRDefault="00000000" w:rsidP="00D56005">
            <w:pPr>
              <w:pStyle w:val="Compact"/>
              <w:spacing w:line="360" w:lineRule="auto"/>
            </w:pPr>
            <w:r>
              <w:t>A1</w:t>
            </w:r>
          </w:p>
        </w:tc>
        <w:tc>
          <w:tcPr>
            <w:tcW w:w="0" w:type="auto"/>
          </w:tcPr>
          <w:p w14:paraId="4A272B61" w14:textId="77777777" w:rsidR="00FA75C9" w:rsidRDefault="00000000" w:rsidP="00D56005">
            <w:pPr>
              <w:pStyle w:val="Compact"/>
              <w:spacing w:line="360" w:lineRule="auto"/>
            </w:pPr>
            <w:r>
              <w:t>Signal Leaderboard</w:t>
            </w:r>
          </w:p>
        </w:tc>
        <w:tc>
          <w:tcPr>
            <w:tcW w:w="0" w:type="auto"/>
          </w:tcPr>
          <w:p w14:paraId="5BB80E97" w14:textId="77777777" w:rsidR="00FA75C9" w:rsidRDefault="00000000" w:rsidP="00D56005">
            <w:pPr>
              <w:pStyle w:val="Compact"/>
              <w:spacing w:line="360" w:lineRule="auto"/>
            </w:pPr>
            <w:r>
              <w:rPr>
                <w:rStyle w:val="VerbatimChar"/>
              </w:rPr>
              <w:t>outputs/sample_2010_2023/final_figures/04_signal_leaderboard.png</w:t>
            </w:r>
          </w:p>
        </w:tc>
        <w:tc>
          <w:tcPr>
            <w:tcW w:w="0" w:type="auto"/>
          </w:tcPr>
          <w:p w14:paraId="3F149557" w14:textId="77777777" w:rsidR="00FA75C9" w:rsidRDefault="00000000" w:rsidP="00D56005">
            <w:pPr>
              <w:pStyle w:val="Compact"/>
              <w:spacing w:line="360" w:lineRule="auto"/>
            </w:pPr>
            <w:r>
              <w:t>Appendix A</w:t>
            </w:r>
          </w:p>
        </w:tc>
      </w:tr>
      <w:tr w:rsidR="00FA75C9" w14:paraId="5DE65334" w14:textId="77777777">
        <w:tc>
          <w:tcPr>
            <w:tcW w:w="0" w:type="auto"/>
          </w:tcPr>
          <w:p w14:paraId="2FA937DB" w14:textId="77777777" w:rsidR="00FA75C9" w:rsidRDefault="00000000" w:rsidP="00D56005">
            <w:pPr>
              <w:pStyle w:val="Compact"/>
              <w:spacing w:line="360" w:lineRule="auto"/>
            </w:pPr>
            <w:r>
              <w:t>A2</w:t>
            </w:r>
          </w:p>
        </w:tc>
        <w:tc>
          <w:tcPr>
            <w:tcW w:w="0" w:type="auto"/>
          </w:tcPr>
          <w:p w14:paraId="09D08BA7" w14:textId="77777777" w:rsidR="00FA75C9" w:rsidRDefault="00000000" w:rsidP="00D56005">
            <w:pPr>
              <w:pStyle w:val="Compact"/>
              <w:spacing w:line="360" w:lineRule="auto"/>
            </w:pPr>
            <w:r>
              <w:t>FF5+Momentum Factor Betas</w:t>
            </w:r>
          </w:p>
        </w:tc>
        <w:tc>
          <w:tcPr>
            <w:tcW w:w="0" w:type="auto"/>
          </w:tcPr>
          <w:p w14:paraId="208A36E6" w14:textId="77777777" w:rsidR="00FA75C9" w:rsidRDefault="00000000" w:rsidP="00D56005">
            <w:pPr>
              <w:pStyle w:val="Compact"/>
              <w:spacing w:line="360" w:lineRule="auto"/>
            </w:pPr>
            <w:r>
              <w:rPr>
                <w:rStyle w:val="VerbatimChar"/>
              </w:rPr>
              <w:t>outputs/sample_2010_2023/final_figures/06_factor_betas.png</w:t>
            </w:r>
          </w:p>
        </w:tc>
        <w:tc>
          <w:tcPr>
            <w:tcW w:w="0" w:type="auto"/>
          </w:tcPr>
          <w:p w14:paraId="7168D5FE" w14:textId="77777777" w:rsidR="00FA75C9" w:rsidRDefault="00000000" w:rsidP="00D56005">
            <w:pPr>
              <w:pStyle w:val="Compact"/>
              <w:spacing w:line="360" w:lineRule="auto"/>
            </w:pPr>
            <w:r>
              <w:t>Appendix A</w:t>
            </w:r>
          </w:p>
        </w:tc>
      </w:tr>
      <w:tr w:rsidR="00FA75C9" w14:paraId="6733DC1D" w14:textId="77777777">
        <w:tc>
          <w:tcPr>
            <w:tcW w:w="0" w:type="auto"/>
          </w:tcPr>
          <w:p w14:paraId="6812DB50" w14:textId="77777777" w:rsidR="00FA75C9" w:rsidRDefault="00000000" w:rsidP="00D56005">
            <w:pPr>
              <w:pStyle w:val="Compact"/>
              <w:spacing w:line="360" w:lineRule="auto"/>
            </w:pPr>
            <w:r>
              <w:t>A3</w:t>
            </w:r>
          </w:p>
        </w:tc>
        <w:tc>
          <w:tcPr>
            <w:tcW w:w="0" w:type="auto"/>
          </w:tcPr>
          <w:p w14:paraId="36747BB5" w14:textId="77777777" w:rsidR="00FA75C9" w:rsidRDefault="00000000" w:rsidP="00D56005">
            <w:pPr>
              <w:pStyle w:val="Compact"/>
              <w:spacing w:line="360" w:lineRule="auto"/>
            </w:pPr>
            <w:r>
              <w:t>Bottom-Tail Characteristics</w:t>
            </w:r>
          </w:p>
        </w:tc>
        <w:tc>
          <w:tcPr>
            <w:tcW w:w="0" w:type="auto"/>
          </w:tcPr>
          <w:p w14:paraId="2DBA9AF5" w14:textId="77777777" w:rsidR="00FA75C9" w:rsidRDefault="00000000" w:rsidP="00D56005">
            <w:pPr>
              <w:pStyle w:val="Compact"/>
              <w:spacing w:line="360" w:lineRule="auto"/>
            </w:pPr>
            <w:r>
              <w:rPr>
                <w:rStyle w:val="VerbatimChar"/>
              </w:rPr>
              <w:t>outputs/sample_2010_2023/final_figures/07_bottom_tail_characteristics.png</w:t>
            </w:r>
          </w:p>
        </w:tc>
        <w:tc>
          <w:tcPr>
            <w:tcW w:w="0" w:type="auto"/>
          </w:tcPr>
          <w:p w14:paraId="6AD7786D" w14:textId="77777777" w:rsidR="00FA75C9" w:rsidRDefault="00000000" w:rsidP="00D56005">
            <w:pPr>
              <w:pStyle w:val="Compact"/>
              <w:spacing w:line="360" w:lineRule="auto"/>
            </w:pPr>
            <w:r>
              <w:t>Appendix A</w:t>
            </w:r>
          </w:p>
        </w:tc>
      </w:tr>
      <w:tr w:rsidR="00FA75C9" w14:paraId="01C5B130" w14:textId="77777777">
        <w:tc>
          <w:tcPr>
            <w:tcW w:w="0" w:type="auto"/>
          </w:tcPr>
          <w:p w14:paraId="4B9041BD" w14:textId="77777777" w:rsidR="00FA75C9" w:rsidRDefault="00000000" w:rsidP="00D56005">
            <w:pPr>
              <w:pStyle w:val="Compact"/>
              <w:spacing w:line="360" w:lineRule="auto"/>
            </w:pPr>
            <w:r>
              <w:t>A4</w:t>
            </w:r>
          </w:p>
        </w:tc>
        <w:tc>
          <w:tcPr>
            <w:tcW w:w="0" w:type="auto"/>
          </w:tcPr>
          <w:p w14:paraId="7836DD80" w14:textId="77777777" w:rsidR="00FA75C9" w:rsidRDefault="00000000" w:rsidP="00D56005">
            <w:pPr>
              <w:pStyle w:val="Compact"/>
              <w:spacing w:line="360" w:lineRule="auto"/>
            </w:pPr>
            <w:r>
              <w:t>Sector Exposure</w:t>
            </w:r>
          </w:p>
        </w:tc>
        <w:tc>
          <w:tcPr>
            <w:tcW w:w="0" w:type="auto"/>
          </w:tcPr>
          <w:p w14:paraId="6BDC82A4" w14:textId="77777777" w:rsidR="00FA75C9" w:rsidRDefault="00000000" w:rsidP="00D56005">
            <w:pPr>
              <w:pStyle w:val="Compact"/>
              <w:spacing w:line="360" w:lineRule="auto"/>
            </w:pPr>
            <w:r>
              <w:rPr>
                <w:rStyle w:val="VerbatimChar"/>
              </w:rPr>
              <w:t>outputs/sample_2010_2023/final_figures/09_sector_exposure.png</w:t>
            </w:r>
          </w:p>
        </w:tc>
        <w:tc>
          <w:tcPr>
            <w:tcW w:w="0" w:type="auto"/>
          </w:tcPr>
          <w:p w14:paraId="058CB342" w14:textId="77777777" w:rsidR="00FA75C9" w:rsidRDefault="00000000" w:rsidP="00D56005">
            <w:pPr>
              <w:pStyle w:val="Compact"/>
              <w:spacing w:line="360" w:lineRule="auto"/>
            </w:pPr>
            <w:r>
              <w:t>Appendix A</w:t>
            </w:r>
          </w:p>
        </w:tc>
      </w:tr>
      <w:tr w:rsidR="00FA75C9" w14:paraId="3AD32971" w14:textId="77777777">
        <w:tc>
          <w:tcPr>
            <w:tcW w:w="0" w:type="auto"/>
          </w:tcPr>
          <w:p w14:paraId="182B397C" w14:textId="77777777" w:rsidR="00FA75C9" w:rsidRDefault="00000000" w:rsidP="00D56005">
            <w:pPr>
              <w:pStyle w:val="Compact"/>
              <w:spacing w:line="360" w:lineRule="auto"/>
            </w:pPr>
            <w:r>
              <w:t>A5</w:t>
            </w:r>
          </w:p>
        </w:tc>
        <w:tc>
          <w:tcPr>
            <w:tcW w:w="0" w:type="auto"/>
          </w:tcPr>
          <w:p w14:paraId="4D49029F" w14:textId="77777777" w:rsidR="00FA75C9" w:rsidRDefault="00000000" w:rsidP="00D56005">
            <w:pPr>
              <w:pStyle w:val="Compact"/>
              <w:spacing w:line="360" w:lineRule="auto"/>
            </w:pPr>
            <w:r>
              <w:t>Long-Short Transaction-Cost Sensitivity</w:t>
            </w:r>
          </w:p>
        </w:tc>
        <w:tc>
          <w:tcPr>
            <w:tcW w:w="0" w:type="auto"/>
          </w:tcPr>
          <w:p w14:paraId="04F65D90" w14:textId="77777777" w:rsidR="00FA75C9" w:rsidRDefault="00000000" w:rsidP="00D56005">
            <w:pPr>
              <w:pStyle w:val="Compact"/>
              <w:spacing w:line="360" w:lineRule="auto"/>
            </w:pPr>
            <w:r>
              <w:rPr>
                <w:rStyle w:val="VerbatimChar"/>
              </w:rPr>
              <w:t>outputs/sample_2010_2023/final_figures/08_transaction_cost_sensitivity.png</w:t>
            </w:r>
          </w:p>
        </w:tc>
        <w:tc>
          <w:tcPr>
            <w:tcW w:w="0" w:type="auto"/>
          </w:tcPr>
          <w:p w14:paraId="7A7021F2" w14:textId="77777777" w:rsidR="00FA75C9" w:rsidRDefault="00000000" w:rsidP="00D56005">
            <w:pPr>
              <w:pStyle w:val="Compact"/>
              <w:spacing w:line="360" w:lineRule="auto"/>
            </w:pPr>
            <w:r>
              <w:t>Appendix A</w:t>
            </w:r>
          </w:p>
        </w:tc>
      </w:tr>
      <w:tr w:rsidR="00FA75C9" w14:paraId="7F8B86B5" w14:textId="77777777">
        <w:tc>
          <w:tcPr>
            <w:tcW w:w="0" w:type="auto"/>
          </w:tcPr>
          <w:p w14:paraId="51E99683" w14:textId="77777777" w:rsidR="00FA75C9" w:rsidRDefault="00000000" w:rsidP="00D56005">
            <w:pPr>
              <w:pStyle w:val="Compact"/>
              <w:spacing w:line="360" w:lineRule="auto"/>
            </w:pPr>
            <w:r>
              <w:t>A6</w:t>
            </w:r>
          </w:p>
        </w:tc>
        <w:tc>
          <w:tcPr>
            <w:tcW w:w="0" w:type="auto"/>
          </w:tcPr>
          <w:p w14:paraId="093FFDDA" w14:textId="77777777" w:rsidR="00FA75C9" w:rsidRDefault="00000000" w:rsidP="00D56005">
            <w:pPr>
              <w:pStyle w:val="Compact"/>
              <w:spacing w:line="360" w:lineRule="auto"/>
            </w:pPr>
            <w:r>
              <w:t>Long-Only Exclusion Cumulative Improvement</w:t>
            </w:r>
          </w:p>
        </w:tc>
        <w:tc>
          <w:tcPr>
            <w:tcW w:w="0" w:type="auto"/>
          </w:tcPr>
          <w:p w14:paraId="76FA5B00" w14:textId="77777777" w:rsidR="00FA75C9" w:rsidRDefault="00000000" w:rsidP="00D56005">
            <w:pPr>
              <w:pStyle w:val="Compact"/>
              <w:spacing w:line="360" w:lineRule="auto"/>
            </w:pPr>
            <w:r>
              <w:rPr>
                <w:rStyle w:val="VerbatimChar"/>
              </w:rPr>
              <w:t>outputs/sample_2010_2023/charts/long_only_exclusion_improvement_cumulative.png</w:t>
            </w:r>
          </w:p>
        </w:tc>
        <w:tc>
          <w:tcPr>
            <w:tcW w:w="0" w:type="auto"/>
          </w:tcPr>
          <w:p w14:paraId="7D8201C9" w14:textId="77777777" w:rsidR="00FA75C9" w:rsidRDefault="00000000" w:rsidP="00D56005">
            <w:pPr>
              <w:pStyle w:val="Compact"/>
              <w:spacing w:line="360" w:lineRule="auto"/>
            </w:pPr>
            <w:r>
              <w:t>Appendix A</w:t>
            </w:r>
          </w:p>
        </w:tc>
      </w:tr>
      <w:tr w:rsidR="00FA75C9" w14:paraId="6A4F903F" w14:textId="77777777">
        <w:tc>
          <w:tcPr>
            <w:tcW w:w="0" w:type="auto"/>
          </w:tcPr>
          <w:p w14:paraId="26BBD65A" w14:textId="77777777" w:rsidR="00FA75C9" w:rsidRDefault="00000000" w:rsidP="00D56005">
            <w:pPr>
              <w:pStyle w:val="Compact"/>
              <w:spacing w:line="360" w:lineRule="auto"/>
            </w:pPr>
            <w:r>
              <w:t>A7</w:t>
            </w:r>
          </w:p>
        </w:tc>
        <w:tc>
          <w:tcPr>
            <w:tcW w:w="0" w:type="auto"/>
          </w:tcPr>
          <w:p w14:paraId="0F1AF345" w14:textId="77777777" w:rsidR="00FA75C9" w:rsidRDefault="00000000" w:rsidP="00D56005">
            <w:pPr>
              <w:pStyle w:val="Compact"/>
              <w:spacing w:line="360" w:lineRule="auto"/>
            </w:pPr>
            <w:r>
              <w:t>Signal-Extensions Leaderboard</w:t>
            </w:r>
          </w:p>
        </w:tc>
        <w:tc>
          <w:tcPr>
            <w:tcW w:w="0" w:type="auto"/>
          </w:tcPr>
          <w:p w14:paraId="17F356DD" w14:textId="77777777" w:rsidR="00FA75C9" w:rsidRDefault="00000000" w:rsidP="00D56005">
            <w:pPr>
              <w:pStyle w:val="Compact"/>
              <w:spacing w:line="360" w:lineRule="auto"/>
            </w:pPr>
            <w:r>
              <w:rPr>
                <w:rStyle w:val="VerbatimChar"/>
              </w:rPr>
              <w:t>outputs/sample_2010_2023/charts/signal_extensions_leaderboard.png</w:t>
            </w:r>
          </w:p>
        </w:tc>
        <w:tc>
          <w:tcPr>
            <w:tcW w:w="0" w:type="auto"/>
          </w:tcPr>
          <w:p w14:paraId="6D5829FC" w14:textId="77777777" w:rsidR="00FA75C9" w:rsidRDefault="00000000" w:rsidP="00D56005">
            <w:pPr>
              <w:pStyle w:val="Compact"/>
              <w:spacing w:line="360" w:lineRule="auto"/>
            </w:pPr>
            <w:r>
              <w:t>Appendix A</w:t>
            </w:r>
          </w:p>
        </w:tc>
      </w:tr>
      <w:tr w:rsidR="00FA75C9" w14:paraId="40E8B859" w14:textId="77777777">
        <w:tc>
          <w:tcPr>
            <w:tcW w:w="0" w:type="auto"/>
          </w:tcPr>
          <w:p w14:paraId="095DA9B7" w14:textId="77777777" w:rsidR="00FA75C9" w:rsidRDefault="00000000" w:rsidP="00D56005">
            <w:pPr>
              <w:pStyle w:val="Compact"/>
              <w:spacing w:line="360" w:lineRule="auto"/>
            </w:pPr>
            <w:r>
              <w:lastRenderedPageBreak/>
              <w:t>A8</w:t>
            </w:r>
          </w:p>
        </w:tc>
        <w:tc>
          <w:tcPr>
            <w:tcW w:w="0" w:type="auto"/>
          </w:tcPr>
          <w:p w14:paraId="69448960" w14:textId="77777777" w:rsidR="00FA75C9" w:rsidRDefault="00000000" w:rsidP="00D56005">
            <w:pPr>
              <w:pStyle w:val="Compact"/>
              <w:spacing w:line="360" w:lineRule="auto"/>
            </w:pPr>
            <w:r>
              <w:t>Signal-Extensions Decile Returns</w:t>
            </w:r>
          </w:p>
        </w:tc>
        <w:tc>
          <w:tcPr>
            <w:tcW w:w="0" w:type="auto"/>
          </w:tcPr>
          <w:p w14:paraId="0557150D" w14:textId="77777777" w:rsidR="00FA75C9" w:rsidRDefault="00000000" w:rsidP="00D56005">
            <w:pPr>
              <w:pStyle w:val="Compact"/>
              <w:spacing w:line="360" w:lineRule="auto"/>
            </w:pPr>
            <w:r>
              <w:rPr>
                <w:rStyle w:val="VerbatimChar"/>
              </w:rPr>
              <w:t>outputs/sample_2010_2023/charts/signal_extensions_decile_returns.png</w:t>
            </w:r>
          </w:p>
        </w:tc>
        <w:tc>
          <w:tcPr>
            <w:tcW w:w="0" w:type="auto"/>
          </w:tcPr>
          <w:p w14:paraId="78CF39C8" w14:textId="77777777" w:rsidR="00FA75C9" w:rsidRDefault="00000000" w:rsidP="00D56005">
            <w:pPr>
              <w:pStyle w:val="Compact"/>
              <w:spacing w:line="360" w:lineRule="auto"/>
            </w:pPr>
            <w:r>
              <w:t>Appendix A</w:t>
            </w:r>
          </w:p>
        </w:tc>
      </w:tr>
      <w:tr w:rsidR="00FA75C9" w14:paraId="7A87E7F2" w14:textId="77777777">
        <w:tc>
          <w:tcPr>
            <w:tcW w:w="0" w:type="auto"/>
          </w:tcPr>
          <w:p w14:paraId="3AF51090" w14:textId="77777777" w:rsidR="00FA75C9" w:rsidRDefault="00000000" w:rsidP="00D56005">
            <w:pPr>
              <w:pStyle w:val="Compact"/>
              <w:spacing w:line="360" w:lineRule="auto"/>
            </w:pPr>
            <w:r>
              <w:t>A9</w:t>
            </w:r>
          </w:p>
        </w:tc>
        <w:tc>
          <w:tcPr>
            <w:tcW w:w="0" w:type="auto"/>
          </w:tcPr>
          <w:p w14:paraId="6689432B" w14:textId="77777777" w:rsidR="00FA75C9" w:rsidRDefault="00000000" w:rsidP="00D56005">
            <w:pPr>
              <w:pStyle w:val="Compact"/>
              <w:spacing w:line="360" w:lineRule="auto"/>
            </w:pPr>
            <w:r>
              <w:t>Lower-Frequency Long-Only Exclusion</w:t>
            </w:r>
          </w:p>
        </w:tc>
        <w:tc>
          <w:tcPr>
            <w:tcW w:w="0" w:type="auto"/>
          </w:tcPr>
          <w:p w14:paraId="3AE2C72D" w14:textId="77777777" w:rsidR="00FA75C9" w:rsidRDefault="00000000" w:rsidP="00D56005">
            <w:pPr>
              <w:pStyle w:val="Compact"/>
              <w:spacing w:line="360" w:lineRule="auto"/>
            </w:pPr>
            <w:r>
              <w:rPr>
                <w:rStyle w:val="VerbatimChar"/>
              </w:rPr>
              <w:t>outputs/sample_2010_2023/charts/iv_spread_lower_frequency_exclusion.png</w:t>
            </w:r>
          </w:p>
        </w:tc>
        <w:tc>
          <w:tcPr>
            <w:tcW w:w="0" w:type="auto"/>
          </w:tcPr>
          <w:p w14:paraId="28FFDB2C" w14:textId="77777777" w:rsidR="00FA75C9" w:rsidRDefault="00000000" w:rsidP="00D56005">
            <w:pPr>
              <w:pStyle w:val="Compact"/>
              <w:spacing w:line="360" w:lineRule="auto"/>
            </w:pPr>
            <w:r>
              <w:t>Appendix A</w:t>
            </w:r>
          </w:p>
        </w:tc>
      </w:tr>
      <w:tr w:rsidR="00FA75C9" w14:paraId="6BAAE767" w14:textId="77777777">
        <w:tc>
          <w:tcPr>
            <w:tcW w:w="0" w:type="auto"/>
          </w:tcPr>
          <w:p w14:paraId="4ADA1B43" w14:textId="77777777" w:rsidR="00FA75C9" w:rsidRDefault="00000000" w:rsidP="00D56005">
            <w:pPr>
              <w:pStyle w:val="Compact"/>
              <w:spacing w:line="360" w:lineRule="auto"/>
            </w:pPr>
            <w:r>
              <w:t>A10</w:t>
            </w:r>
          </w:p>
        </w:tc>
        <w:tc>
          <w:tcPr>
            <w:tcW w:w="0" w:type="auto"/>
          </w:tcPr>
          <w:p w14:paraId="2C54A5D8" w14:textId="77777777" w:rsidR="00FA75C9" w:rsidRDefault="00000000" w:rsidP="00D56005">
            <w:pPr>
              <w:pStyle w:val="Compact"/>
              <w:spacing w:line="360" w:lineRule="auto"/>
            </w:pPr>
            <w:r>
              <w:t>Newly-Bottom vs Persistent-Bottom</w:t>
            </w:r>
          </w:p>
        </w:tc>
        <w:tc>
          <w:tcPr>
            <w:tcW w:w="0" w:type="auto"/>
          </w:tcPr>
          <w:p w14:paraId="466B1467" w14:textId="77777777" w:rsidR="00FA75C9" w:rsidRDefault="00000000" w:rsidP="00D56005">
            <w:pPr>
              <w:pStyle w:val="Compact"/>
              <w:spacing w:line="360" w:lineRule="auto"/>
            </w:pPr>
            <w:r>
              <w:rPr>
                <w:rStyle w:val="VerbatimChar"/>
              </w:rPr>
              <w:t>outputs/sample_2010_2023/charts/iv_spread_new_vs_persistent_bottom.png</w:t>
            </w:r>
          </w:p>
        </w:tc>
        <w:tc>
          <w:tcPr>
            <w:tcW w:w="0" w:type="auto"/>
          </w:tcPr>
          <w:p w14:paraId="14FA9175" w14:textId="77777777" w:rsidR="00FA75C9" w:rsidRDefault="00000000" w:rsidP="00D56005">
            <w:pPr>
              <w:pStyle w:val="Compact"/>
              <w:spacing w:line="360" w:lineRule="auto"/>
            </w:pPr>
            <w:r>
              <w:t>Appendix A</w:t>
            </w:r>
          </w:p>
        </w:tc>
      </w:tr>
    </w:tbl>
    <w:p w14:paraId="167C5993" w14:textId="77777777" w:rsidR="00FA75C9" w:rsidRDefault="00000000" w:rsidP="00D56005">
      <w:pPr>
        <w:pStyle w:val="Heading2"/>
        <w:spacing w:line="360" w:lineRule="auto"/>
      </w:pPr>
      <w:bookmarkStart w:id="42" w:name="X14acbc7670eac717555bff9f67ed6d6c2436f96"/>
      <w:bookmarkStart w:id="43" w:name="_Toc228955560"/>
      <w:r>
        <w:t>Appendix D. Audit and Reproducibility Summary</w:t>
      </w:r>
      <w:bookmarkEnd w:id="42"/>
      <w:bookmarkEnd w:id="43"/>
    </w:p>
    <w:p w14:paraId="3B851952" w14:textId="77777777" w:rsidR="00FA75C9" w:rsidRDefault="00000000" w:rsidP="00D56005">
      <w:pPr>
        <w:pStyle w:val="FirstParagraph"/>
        <w:spacing w:line="360" w:lineRule="auto"/>
      </w:pPr>
      <w:r>
        <w:rPr>
          <w:b/>
        </w:rPr>
        <w:t>Table D1. Full-sample audit status.</w:t>
      </w:r>
    </w:p>
    <w:tbl>
      <w:tblPr>
        <w:tblStyle w:val="Table"/>
        <w:tblW w:w="0" w:type="pct"/>
        <w:tblLook w:val="07E0" w:firstRow="1" w:lastRow="1" w:firstColumn="1" w:lastColumn="1" w:noHBand="1" w:noVBand="1"/>
      </w:tblPr>
      <w:tblGrid>
        <w:gridCol w:w="900"/>
        <w:gridCol w:w="827"/>
      </w:tblGrid>
      <w:tr w:rsidR="00FA75C9" w14:paraId="3630CC9E" w14:textId="77777777">
        <w:tc>
          <w:tcPr>
            <w:tcW w:w="0" w:type="auto"/>
            <w:tcBorders>
              <w:bottom w:val="single" w:sz="0" w:space="0" w:color="auto"/>
            </w:tcBorders>
            <w:vAlign w:val="bottom"/>
          </w:tcPr>
          <w:p w14:paraId="7C292C1D" w14:textId="77777777" w:rsidR="00FA75C9" w:rsidRDefault="00000000" w:rsidP="00D56005">
            <w:pPr>
              <w:pStyle w:val="Compact"/>
              <w:spacing w:line="360" w:lineRule="auto"/>
            </w:pPr>
            <w:r>
              <w:t>Status</w:t>
            </w:r>
          </w:p>
        </w:tc>
        <w:tc>
          <w:tcPr>
            <w:tcW w:w="0" w:type="auto"/>
            <w:tcBorders>
              <w:bottom w:val="single" w:sz="0" w:space="0" w:color="auto"/>
            </w:tcBorders>
            <w:vAlign w:val="bottom"/>
          </w:tcPr>
          <w:p w14:paraId="528E3FC2" w14:textId="77777777" w:rsidR="00FA75C9" w:rsidRDefault="00000000" w:rsidP="00D56005">
            <w:pPr>
              <w:pStyle w:val="Compact"/>
              <w:spacing w:line="360" w:lineRule="auto"/>
              <w:jc w:val="right"/>
            </w:pPr>
            <w:r>
              <w:t>Count</w:t>
            </w:r>
          </w:p>
        </w:tc>
      </w:tr>
      <w:tr w:rsidR="00FA75C9" w14:paraId="3C2048E2" w14:textId="77777777">
        <w:tc>
          <w:tcPr>
            <w:tcW w:w="0" w:type="auto"/>
          </w:tcPr>
          <w:p w14:paraId="0926ACC2" w14:textId="77777777" w:rsidR="00FA75C9" w:rsidRDefault="00000000" w:rsidP="00D56005">
            <w:pPr>
              <w:pStyle w:val="Compact"/>
              <w:spacing w:line="360" w:lineRule="auto"/>
            </w:pPr>
            <w:r>
              <w:t>PASS</w:t>
            </w:r>
          </w:p>
        </w:tc>
        <w:tc>
          <w:tcPr>
            <w:tcW w:w="0" w:type="auto"/>
          </w:tcPr>
          <w:p w14:paraId="2BBE3C69" w14:textId="77777777" w:rsidR="00FA75C9" w:rsidRDefault="00000000" w:rsidP="00D56005">
            <w:pPr>
              <w:pStyle w:val="Compact"/>
              <w:spacing w:line="360" w:lineRule="auto"/>
              <w:jc w:val="right"/>
            </w:pPr>
            <w:r>
              <w:t>40</w:t>
            </w:r>
          </w:p>
        </w:tc>
      </w:tr>
      <w:tr w:rsidR="00FA75C9" w14:paraId="11331199" w14:textId="77777777">
        <w:tc>
          <w:tcPr>
            <w:tcW w:w="0" w:type="auto"/>
          </w:tcPr>
          <w:p w14:paraId="3D98DD8B" w14:textId="77777777" w:rsidR="00FA75C9" w:rsidRDefault="00000000" w:rsidP="00D56005">
            <w:pPr>
              <w:pStyle w:val="Compact"/>
              <w:spacing w:line="360" w:lineRule="auto"/>
            </w:pPr>
            <w:r>
              <w:t>WARN</w:t>
            </w:r>
          </w:p>
        </w:tc>
        <w:tc>
          <w:tcPr>
            <w:tcW w:w="0" w:type="auto"/>
          </w:tcPr>
          <w:p w14:paraId="2C77F65D" w14:textId="77777777" w:rsidR="00FA75C9" w:rsidRDefault="00000000" w:rsidP="00D56005">
            <w:pPr>
              <w:pStyle w:val="Compact"/>
              <w:spacing w:line="360" w:lineRule="auto"/>
              <w:jc w:val="right"/>
            </w:pPr>
            <w:r>
              <w:t>0</w:t>
            </w:r>
          </w:p>
        </w:tc>
      </w:tr>
      <w:tr w:rsidR="00FA75C9" w14:paraId="025DE631" w14:textId="77777777">
        <w:tc>
          <w:tcPr>
            <w:tcW w:w="0" w:type="auto"/>
          </w:tcPr>
          <w:p w14:paraId="6F36DCD1" w14:textId="77777777" w:rsidR="00FA75C9" w:rsidRDefault="00000000" w:rsidP="00D56005">
            <w:pPr>
              <w:pStyle w:val="Compact"/>
              <w:spacing w:line="360" w:lineRule="auto"/>
            </w:pPr>
            <w:r>
              <w:t>FAIL</w:t>
            </w:r>
          </w:p>
        </w:tc>
        <w:tc>
          <w:tcPr>
            <w:tcW w:w="0" w:type="auto"/>
          </w:tcPr>
          <w:p w14:paraId="26C22DA5" w14:textId="77777777" w:rsidR="00FA75C9" w:rsidRDefault="00000000" w:rsidP="00D56005">
            <w:pPr>
              <w:pStyle w:val="Compact"/>
              <w:spacing w:line="360" w:lineRule="auto"/>
              <w:jc w:val="right"/>
            </w:pPr>
            <w:r>
              <w:t>0</w:t>
            </w:r>
          </w:p>
        </w:tc>
      </w:tr>
    </w:tbl>
    <w:p w14:paraId="675491B5" w14:textId="77777777" w:rsidR="00FA75C9" w:rsidRDefault="00000000" w:rsidP="00D56005">
      <w:pPr>
        <w:pStyle w:val="BodyText"/>
        <w:spacing w:line="360" w:lineRule="auto"/>
      </w:pPr>
      <w:r>
        <w:t>Sample coverage: signals 2010-01 to 2023-12; forward returns 2010-02 to 2024-01; 168 contiguous return months; 447,629 monthly stock observations.</w:t>
      </w:r>
    </w:p>
    <w:p w14:paraId="3266B788" w14:textId="77777777" w:rsidR="00FA75C9" w:rsidRDefault="00000000" w:rsidP="00D56005">
      <w:pPr>
        <w:pStyle w:val="BodyText"/>
        <w:spacing w:line="360" w:lineRule="auto"/>
      </w:pPr>
      <w:r>
        <w:t xml:space="preserve">Verified items include required columns at every stage, absence of duplicate keys, signal-precedes-return alignment, formula identities for IV spread, IV skew, implied variance, and VRP, non-negative realized variance, dynamic month count of 168, presence of the main </w:t>
      </w:r>
      <w:r>
        <w:rPr>
          <w:rStyle w:val="VerbatimChar"/>
        </w:rPr>
        <w:t>iv_spread_adj</w:t>
      </w:r>
      <w:r>
        <w:t xml:space="preserve"> row in the bottom-tail summary, and presence of all expected factor-regression models. Source: </w:t>
      </w:r>
      <w:r>
        <w:rPr>
          <w:rStyle w:val="VerbatimChar"/>
        </w:rPr>
        <w:t>outputs/sample_2010_2023/tables/research_audit_summary_2010_2023.csv</w:t>
      </w:r>
      <w:r>
        <w:t>.</w:t>
      </w:r>
    </w:p>
    <w:p w14:paraId="299BA0AB" w14:textId="77777777" w:rsidR="00FA75C9" w:rsidRDefault="00000000" w:rsidP="00D56005">
      <w:pPr>
        <w:pStyle w:val="BodyText"/>
        <w:spacing w:line="360" w:lineRule="auto"/>
      </w:pPr>
      <w:r>
        <w:lastRenderedPageBreak/>
        <w:t xml:space="preserve">The reconciliation of the previous comparison-script issue (script 30 selected </w:t>
      </w:r>
      <w:r>
        <w:rPr>
          <w:rStyle w:val="VerbatimChar"/>
        </w:rPr>
        <w:t>composite_signal</w:t>
      </w:r>
      <w:r>
        <w:t xml:space="preserve"> instead of </w:t>
      </w:r>
      <w:r>
        <w:rPr>
          <w:rStyle w:val="VerbatimChar"/>
        </w:rPr>
        <w:t>iv_spread_adj</w:t>
      </w:r>
      <w:r>
        <w:t xml:space="preserve">) is documented in </w:t>
      </w:r>
      <w:r>
        <w:rPr>
          <w:rStyle w:val="VerbatimChar"/>
        </w:rPr>
        <w:t>outputs/sample_2010_2023/tables/reconcile_bottom_tail_final_summary.md</w:t>
      </w:r>
      <w:r>
        <w:t>.</w:t>
      </w:r>
    </w:p>
    <w:p w14:paraId="526F85CE" w14:textId="77777777" w:rsidR="00FA75C9" w:rsidRDefault="00000000" w:rsidP="00D56005">
      <w:pPr>
        <w:pStyle w:val="Heading2"/>
        <w:spacing w:line="360" w:lineRule="auto"/>
      </w:pPr>
      <w:bookmarkStart w:id="44" w:name="appendix-e.-tables-directory"/>
      <w:bookmarkStart w:id="45" w:name="_Toc228955561"/>
      <w:r>
        <w:t>Appendix E. Tables Directory</w:t>
      </w:r>
      <w:bookmarkEnd w:id="44"/>
      <w:bookmarkEnd w:id="45"/>
    </w:p>
    <w:p w14:paraId="1B6D06D5" w14:textId="77777777" w:rsidR="00FA75C9" w:rsidRDefault="00000000" w:rsidP="00D56005">
      <w:pPr>
        <w:pStyle w:val="FirstParagraph"/>
        <w:spacing w:line="360" w:lineRule="auto"/>
      </w:pPr>
      <w:r>
        <w:rPr>
          <w:b/>
        </w:rPr>
        <w:t>Table E1. Body and appendix tables.</w:t>
      </w:r>
    </w:p>
    <w:tbl>
      <w:tblPr>
        <w:tblStyle w:val="Table"/>
        <w:tblW w:w="5000" w:type="pct"/>
        <w:tblLook w:val="07E0" w:firstRow="1" w:lastRow="1" w:firstColumn="1" w:lastColumn="1" w:noHBand="1" w:noVBand="1"/>
      </w:tblPr>
      <w:tblGrid>
        <w:gridCol w:w="508"/>
        <w:gridCol w:w="1764"/>
        <w:gridCol w:w="7304"/>
      </w:tblGrid>
      <w:tr w:rsidR="00FA75C9" w14:paraId="2B7DD7EA" w14:textId="77777777">
        <w:tc>
          <w:tcPr>
            <w:tcW w:w="0" w:type="auto"/>
            <w:tcBorders>
              <w:bottom w:val="single" w:sz="0" w:space="0" w:color="auto"/>
            </w:tcBorders>
            <w:vAlign w:val="bottom"/>
          </w:tcPr>
          <w:p w14:paraId="40ABC86F" w14:textId="77777777" w:rsidR="00FA75C9" w:rsidRDefault="00000000" w:rsidP="00D56005">
            <w:pPr>
              <w:pStyle w:val="Compact"/>
              <w:spacing w:line="360" w:lineRule="auto"/>
            </w:pPr>
            <w:r>
              <w:t>#</w:t>
            </w:r>
          </w:p>
        </w:tc>
        <w:tc>
          <w:tcPr>
            <w:tcW w:w="0" w:type="auto"/>
            <w:tcBorders>
              <w:bottom w:val="single" w:sz="0" w:space="0" w:color="auto"/>
            </w:tcBorders>
            <w:vAlign w:val="bottom"/>
          </w:tcPr>
          <w:p w14:paraId="193526DD" w14:textId="77777777" w:rsidR="00FA75C9" w:rsidRDefault="00000000" w:rsidP="00D56005">
            <w:pPr>
              <w:pStyle w:val="Compact"/>
              <w:spacing w:line="360" w:lineRule="auto"/>
            </w:pPr>
            <w:r>
              <w:t>Title</w:t>
            </w:r>
          </w:p>
        </w:tc>
        <w:tc>
          <w:tcPr>
            <w:tcW w:w="0" w:type="auto"/>
            <w:tcBorders>
              <w:bottom w:val="single" w:sz="0" w:space="0" w:color="auto"/>
            </w:tcBorders>
            <w:vAlign w:val="bottom"/>
          </w:tcPr>
          <w:p w14:paraId="2720AC47" w14:textId="77777777" w:rsidR="00FA75C9" w:rsidRDefault="00000000" w:rsidP="00D56005">
            <w:pPr>
              <w:pStyle w:val="Compact"/>
              <w:spacing w:line="360" w:lineRule="auto"/>
            </w:pPr>
            <w:r>
              <w:t>Source CSV / MD</w:t>
            </w:r>
          </w:p>
        </w:tc>
      </w:tr>
      <w:tr w:rsidR="00FA75C9" w14:paraId="6022B5E8" w14:textId="77777777">
        <w:tc>
          <w:tcPr>
            <w:tcW w:w="0" w:type="auto"/>
          </w:tcPr>
          <w:p w14:paraId="15D107B9" w14:textId="77777777" w:rsidR="00FA75C9" w:rsidRDefault="00000000" w:rsidP="00D56005">
            <w:pPr>
              <w:pStyle w:val="Compact"/>
              <w:spacing w:line="360" w:lineRule="auto"/>
            </w:pPr>
            <w:r>
              <w:t>1</w:t>
            </w:r>
          </w:p>
        </w:tc>
        <w:tc>
          <w:tcPr>
            <w:tcW w:w="0" w:type="auto"/>
          </w:tcPr>
          <w:p w14:paraId="0F220446" w14:textId="77777777" w:rsidR="00FA75C9" w:rsidRDefault="00000000" w:rsidP="00D56005">
            <w:pPr>
              <w:pStyle w:val="Compact"/>
              <w:spacing w:line="360" w:lineRule="auto"/>
            </w:pPr>
            <w:r>
              <w:t>Headline 2010–2023 results</w:t>
            </w:r>
          </w:p>
        </w:tc>
        <w:tc>
          <w:tcPr>
            <w:tcW w:w="0" w:type="auto"/>
          </w:tcPr>
          <w:p w14:paraId="270AB085" w14:textId="77777777" w:rsidR="00FA75C9" w:rsidRDefault="00000000" w:rsidP="00D56005">
            <w:pPr>
              <w:pStyle w:val="Compact"/>
              <w:spacing w:line="360" w:lineRule="auto"/>
            </w:pPr>
            <w:r>
              <w:rPr>
                <w:rStyle w:val="VerbatimChar"/>
              </w:rPr>
              <w:t>final_results_pack.md</w:t>
            </w:r>
            <w:r>
              <w:t xml:space="preserve"> §1; </w:t>
            </w:r>
            <w:r>
              <w:rPr>
                <w:rStyle w:val="VerbatimChar"/>
              </w:rPr>
              <w:t>bottom_tail_summary_2010_2023.csv</w:t>
            </w:r>
          </w:p>
        </w:tc>
      </w:tr>
      <w:tr w:rsidR="00FA75C9" w14:paraId="26EB8249" w14:textId="77777777">
        <w:tc>
          <w:tcPr>
            <w:tcW w:w="0" w:type="auto"/>
          </w:tcPr>
          <w:p w14:paraId="2EA96C16" w14:textId="77777777" w:rsidR="00FA75C9" w:rsidRDefault="00000000" w:rsidP="00D56005">
            <w:pPr>
              <w:pStyle w:val="Compact"/>
              <w:spacing w:line="360" w:lineRule="auto"/>
            </w:pPr>
            <w:r>
              <w:t>2</w:t>
            </w:r>
          </w:p>
        </w:tc>
        <w:tc>
          <w:tcPr>
            <w:tcW w:w="0" w:type="auto"/>
          </w:tcPr>
          <w:p w14:paraId="34A44390" w14:textId="77777777" w:rsidR="00FA75C9" w:rsidRDefault="00000000" w:rsidP="00D56005">
            <w:pPr>
              <w:pStyle w:val="Compact"/>
              <w:spacing w:line="360" w:lineRule="auto"/>
            </w:pPr>
            <w:r>
              <w:t>Decile and leg decomposition</w:t>
            </w:r>
          </w:p>
        </w:tc>
        <w:tc>
          <w:tcPr>
            <w:tcW w:w="0" w:type="auto"/>
          </w:tcPr>
          <w:p w14:paraId="1CC0AE4D" w14:textId="77777777" w:rsidR="00FA75C9" w:rsidRDefault="00000000" w:rsidP="00D56005">
            <w:pPr>
              <w:pStyle w:val="Compact"/>
              <w:spacing w:line="360" w:lineRule="auto"/>
            </w:pPr>
            <w:r>
              <w:rPr>
                <w:rStyle w:val="VerbatimChar"/>
              </w:rPr>
              <w:t>alpha_anatomy_leg_decomposition.csv</w:t>
            </w:r>
            <w:r>
              <w:t xml:space="preserve">; </w:t>
            </w:r>
            <w:r>
              <w:rPr>
                <w:rStyle w:val="VerbatimChar"/>
              </w:rPr>
              <w:t>final_results_pack.md</w:t>
            </w:r>
            <w:r>
              <w:t xml:space="preserve"> §2</w:t>
            </w:r>
          </w:p>
        </w:tc>
      </w:tr>
      <w:tr w:rsidR="00FA75C9" w14:paraId="324767A6" w14:textId="77777777">
        <w:tc>
          <w:tcPr>
            <w:tcW w:w="0" w:type="auto"/>
          </w:tcPr>
          <w:p w14:paraId="33F1FAD8" w14:textId="77777777" w:rsidR="00FA75C9" w:rsidRDefault="00000000" w:rsidP="00D56005">
            <w:pPr>
              <w:pStyle w:val="Compact"/>
              <w:spacing w:line="360" w:lineRule="auto"/>
            </w:pPr>
            <w:r>
              <w:t>3</w:t>
            </w:r>
          </w:p>
        </w:tc>
        <w:tc>
          <w:tcPr>
            <w:tcW w:w="0" w:type="auto"/>
          </w:tcPr>
          <w:p w14:paraId="6530FF84" w14:textId="77777777" w:rsidR="00FA75C9" w:rsidRDefault="00000000" w:rsidP="00D56005">
            <w:pPr>
              <w:pStyle w:val="Compact"/>
              <w:spacing w:line="360" w:lineRule="auto"/>
            </w:pPr>
            <w:r>
              <w:t>FF5+MOM factor anatomy</w:t>
            </w:r>
          </w:p>
        </w:tc>
        <w:tc>
          <w:tcPr>
            <w:tcW w:w="0" w:type="auto"/>
          </w:tcPr>
          <w:p w14:paraId="23C75CFF" w14:textId="77777777" w:rsidR="00FA75C9" w:rsidRDefault="00000000" w:rsidP="00D56005">
            <w:pPr>
              <w:pStyle w:val="Compact"/>
              <w:spacing w:line="360" w:lineRule="auto"/>
            </w:pPr>
            <w:r>
              <w:rPr>
                <w:rStyle w:val="VerbatimChar"/>
              </w:rPr>
              <w:t>factor_regression_summary_2010_2023.csv</w:t>
            </w:r>
          </w:p>
        </w:tc>
      </w:tr>
      <w:tr w:rsidR="00FA75C9" w14:paraId="795F0396" w14:textId="77777777">
        <w:tc>
          <w:tcPr>
            <w:tcW w:w="0" w:type="auto"/>
          </w:tcPr>
          <w:p w14:paraId="786009F1" w14:textId="77777777" w:rsidR="00FA75C9" w:rsidRDefault="00000000" w:rsidP="00D56005">
            <w:pPr>
              <w:pStyle w:val="Compact"/>
              <w:spacing w:line="360" w:lineRule="auto"/>
            </w:pPr>
            <w:r>
              <w:t>4</w:t>
            </w:r>
          </w:p>
        </w:tc>
        <w:tc>
          <w:tcPr>
            <w:tcW w:w="0" w:type="auto"/>
          </w:tcPr>
          <w:p w14:paraId="176A5D10" w14:textId="77777777" w:rsidR="00FA75C9" w:rsidRDefault="00000000" w:rsidP="00D56005">
            <w:pPr>
              <w:pStyle w:val="Compact"/>
              <w:spacing w:line="360" w:lineRule="auto"/>
            </w:pPr>
            <w:r>
              <w:t>Subperiod performance</w:t>
            </w:r>
          </w:p>
        </w:tc>
        <w:tc>
          <w:tcPr>
            <w:tcW w:w="0" w:type="auto"/>
          </w:tcPr>
          <w:p w14:paraId="6680E1B0" w14:textId="77777777" w:rsidR="00FA75C9" w:rsidRDefault="00000000" w:rsidP="00D56005">
            <w:pPr>
              <w:pStyle w:val="Compact"/>
              <w:spacing w:line="360" w:lineRule="auto"/>
            </w:pPr>
            <w:r>
              <w:rPr>
                <w:rStyle w:val="VerbatimChar"/>
              </w:rPr>
              <w:t>alpha_anatomy_subperiods.csv</w:t>
            </w:r>
          </w:p>
        </w:tc>
      </w:tr>
      <w:tr w:rsidR="00FA75C9" w14:paraId="2C3C1E27" w14:textId="77777777">
        <w:tc>
          <w:tcPr>
            <w:tcW w:w="0" w:type="auto"/>
          </w:tcPr>
          <w:p w14:paraId="4D198BDA" w14:textId="77777777" w:rsidR="00FA75C9" w:rsidRDefault="00000000" w:rsidP="00D56005">
            <w:pPr>
              <w:pStyle w:val="Compact"/>
              <w:spacing w:line="360" w:lineRule="auto"/>
            </w:pPr>
            <w:r>
              <w:t>5</w:t>
            </w:r>
          </w:p>
        </w:tc>
        <w:tc>
          <w:tcPr>
            <w:tcW w:w="0" w:type="auto"/>
          </w:tcPr>
          <w:p w14:paraId="6816F57F" w14:textId="77777777" w:rsidR="00FA75C9" w:rsidRDefault="00000000" w:rsidP="00D56005">
            <w:pPr>
              <w:pStyle w:val="Compact"/>
              <w:spacing w:line="360" w:lineRule="auto"/>
            </w:pPr>
            <w:r>
              <w:t>Bottom-decile characteristics</w:t>
            </w:r>
          </w:p>
        </w:tc>
        <w:tc>
          <w:tcPr>
            <w:tcW w:w="0" w:type="auto"/>
          </w:tcPr>
          <w:p w14:paraId="53D4F808" w14:textId="77777777" w:rsidR="00FA75C9" w:rsidRDefault="00000000" w:rsidP="00D56005">
            <w:pPr>
              <w:pStyle w:val="Compact"/>
              <w:spacing w:line="360" w:lineRule="auto"/>
            </w:pPr>
            <w:r>
              <w:rPr>
                <w:rStyle w:val="VerbatimChar"/>
              </w:rPr>
              <w:t>alpha_anatomy_bottom_tail_characteristics.csv</w:t>
            </w:r>
          </w:p>
        </w:tc>
      </w:tr>
      <w:tr w:rsidR="00FA75C9" w14:paraId="084D1F2A" w14:textId="77777777">
        <w:tc>
          <w:tcPr>
            <w:tcW w:w="0" w:type="auto"/>
          </w:tcPr>
          <w:p w14:paraId="195D9071" w14:textId="77777777" w:rsidR="00FA75C9" w:rsidRDefault="00000000" w:rsidP="00D56005">
            <w:pPr>
              <w:pStyle w:val="Compact"/>
              <w:spacing w:line="360" w:lineRule="auto"/>
            </w:pPr>
            <w:r>
              <w:t>6</w:t>
            </w:r>
          </w:p>
        </w:tc>
        <w:tc>
          <w:tcPr>
            <w:tcW w:w="0" w:type="auto"/>
          </w:tcPr>
          <w:p w14:paraId="357B0376" w14:textId="77777777" w:rsidR="00FA75C9" w:rsidRDefault="00000000" w:rsidP="00D56005">
            <w:pPr>
              <w:pStyle w:val="Compact"/>
              <w:spacing w:line="360" w:lineRule="auto"/>
            </w:pPr>
            <w:r>
              <w:t>Long-short cost sensitivity</w:t>
            </w:r>
          </w:p>
        </w:tc>
        <w:tc>
          <w:tcPr>
            <w:tcW w:w="0" w:type="auto"/>
          </w:tcPr>
          <w:p w14:paraId="4B40997D" w14:textId="77777777" w:rsidR="00FA75C9" w:rsidRDefault="00000000" w:rsidP="00D56005">
            <w:pPr>
              <w:pStyle w:val="Compact"/>
              <w:spacing w:line="360" w:lineRule="auto"/>
            </w:pPr>
            <w:r>
              <w:rPr>
                <w:rStyle w:val="VerbatimChar"/>
              </w:rPr>
              <w:t>alpha_anatomy_transaction_cost_sensitivity.csv</w:t>
            </w:r>
          </w:p>
        </w:tc>
      </w:tr>
      <w:tr w:rsidR="00FA75C9" w14:paraId="06570A57" w14:textId="77777777">
        <w:tc>
          <w:tcPr>
            <w:tcW w:w="0" w:type="auto"/>
          </w:tcPr>
          <w:p w14:paraId="11B13E11" w14:textId="77777777" w:rsidR="00FA75C9" w:rsidRDefault="00000000" w:rsidP="00D56005">
            <w:pPr>
              <w:pStyle w:val="Compact"/>
              <w:spacing w:line="360" w:lineRule="auto"/>
            </w:pPr>
            <w:r>
              <w:t>7</w:t>
            </w:r>
          </w:p>
        </w:tc>
        <w:tc>
          <w:tcPr>
            <w:tcW w:w="0" w:type="auto"/>
          </w:tcPr>
          <w:p w14:paraId="57A6C14E" w14:textId="77777777" w:rsidR="00FA75C9" w:rsidRDefault="00000000" w:rsidP="00D56005">
            <w:pPr>
              <w:pStyle w:val="Compact"/>
              <w:spacing w:line="360" w:lineRule="auto"/>
            </w:pPr>
            <w:r>
              <w:t>Long-only exclusion screen</w:t>
            </w:r>
          </w:p>
        </w:tc>
        <w:tc>
          <w:tcPr>
            <w:tcW w:w="0" w:type="auto"/>
          </w:tcPr>
          <w:p w14:paraId="3352B0D8" w14:textId="77777777" w:rsidR="00FA75C9" w:rsidRDefault="00000000" w:rsidP="00D56005">
            <w:pPr>
              <w:pStyle w:val="Compact"/>
              <w:spacing w:line="360" w:lineRule="auto"/>
            </w:pPr>
            <w:r>
              <w:rPr>
                <w:rStyle w:val="VerbatimChar"/>
              </w:rPr>
              <w:t>long_only_exclusion_summary_2010_2023.csv</w:t>
            </w:r>
            <w:r>
              <w:t xml:space="preserve">; </w:t>
            </w:r>
            <w:r>
              <w:rPr>
                <w:rStyle w:val="VerbatimChar"/>
              </w:rPr>
              <w:t>long_only_exclusion_improvement_2010_2023.csv</w:t>
            </w:r>
            <w:r>
              <w:t xml:space="preserve">; </w:t>
            </w:r>
            <w:r>
              <w:rPr>
                <w:rStyle w:val="VerbatimChar"/>
              </w:rPr>
              <w:t>long_only_exclusion_alpha_summary_2010_2023.csv</w:t>
            </w:r>
          </w:p>
        </w:tc>
      </w:tr>
      <w:tr w:rsidR="00FA75C9" w14:paraId="1CC37C99" w14:textId="77777777">
        <w:tc>
          <w:tcPr>
            <w:tcW w:w="0" w:type="auto"/>
          </w:tcPr>
          <w:p w14:paraId="5434641A" w14:textId="77777777" w:rsidR="00FA75C9" w:rsidRDefault="00000000" w:rsidP="00D56005">
            <w:pPr>
              <w:pStyle w:val="Compact"/>
              <w:spacing w:line="360" w:lineRule="auto"/>
            </w:pPr>
            <w:r>
              <w:t>8</w:t>
            </w:r>
          </w:p>
        </w:tc>
        <w:tc>
          <w:tcPr>
            <w:tcW w:w="0" w:type="auto"/>
          </w:tcPr>
          <w:p w14:paraId="78F111A2" w14:textId="77777777" w:rsidR="00FA75C9" w:rsidRDefault="00000000" w:rsidP="00D56005">
            <w:pPr>
              <w:pStyle w:val="Compact"/>
              <w:spacing w:line="360" w:lineRule="auto"/>
            </w:pPr>
            <w:r>
              <w:t>Long-only turnover and cost-net improvement</w:t>
            </w:r>
          </w:p>
        </w:tc>
        <w:tc>
          <w:tcPr>
            <w:tcW w:w="0" w:type="auto"/>
          </w:tcPr>
          <w:p w14:paraId="533E6C09" w14:textId="77777777" w:rsidR="00FA75C9" w:rsidRDefault="00000000" w:rsidP="00D56005">
            <w:pPr>
              <w:pStyle w:val="Compact"/>
              <w:spacing w:line="360" w:lineRule="auto"/>
            </w:pPr>
            <w:r>
              <w:rPr>
                <w:rStyle w:val="VerbatimChar"/>
              </w:rPr>
              <w:t>long_only_exclusion_turnover_2010_2023.csv</w:t>
            </w:r>
            <w:r>
              <w:t xml:space="preserve">; </w:t>
            </w:r>
            <w:r>
              <w:rPr>
                <w:rStyle w:val="VerbatimChar"/>
              </w:rPr>
              <w:t>long_only_exclusion_cost_sensitivity_2010_2023.csv</w:t>
            </w:r>
          </w:p>
        </w:tc>
      </w:tr>
      <w:tr w:rsidR="00FA75C9" w14:paraId="782DB6F9" w14:textId="77777777">
        <w:tc>
          <w:tcPr>
            <w:tcW w:w="0" w:type="auto"/>
          </w:tcPr>
          <w:p w14:paraId="128FBF91" w14:textId="77777777" w:rsidR="00FA75C9" w:rsidRDefault="00000000" w:rsidP="00D56005">
            <w:pPr>
              <w:pStyle w:val="Compact"/>
              <w:spacing w:line="360" w:lineRule="auto"/>
            </w:pPr>
            <w:r>
              <w:lastRenderedPageBreak/>
              <w:t>C1</w:t>
            </w:r>
          </w:p>
        </w:tc>
        <w:tc>
          <w:tcPr>
            <w:tcW w:w="0" w:type="auto"/>
          </w:tcPr>
          <w:p w14:paraId="2FB4EA2E" w14:textId="77777777" w:rsidR="00FA75C9" w:rsidRDefault="00000000" w:rsidP="00D56005">
            <w:pPr>
              <w:pStyle w:val="Compact"/>
              <w:spacing w:line="360" w:lineRule="auto"/>
            </w:pPr>
            <w:r>
              <w:t>Figure inventory</w:t>
            </w:r>
          </w:p>
        </w:tc>
        <w:tc>
          <w:tcPr>
            <w:tcW w:w="0" w:type="auto"/>
          </w:tcPr>
          <w:p w14:paraId="4A88ABA5" w14:textId="77777777" w:rsidR="00FA75C9" w:rsidRDefault="00000000" w:rsidP="00D56005">
            <w:pPr>
              <w:pStyle w:val="Compact"/>
              <w:spacing w:line="360" w:lineRule="auto"/>
            </w:pPr>
            <w:r>
              <w:rPr>
                <w:rStyle w:val="VerbatimChar"/>
              </w:rPr>
              <w:t>outputs/sample_2010_2023/tables/final_figure_inventory.csv</w:t>
            </w:r>
          </w:p>
        </w:tc>
      </w:tr>
      <w:tr w:rsidR="00FA75C9" w14:paraId="10C0D8A5" w14:textId="77777777">
        <w:tc>
          <w:tcPr>
            <w:tcW w:w="0" w:type="auto"/>
          </w:tcPr>
          <w:p w14:paraId="0CD16D17" w14:textId="77777777" w:rsidR="00FA75C9" w:rsidRDefault="00000000" w:rsidP="00D56005">
            <w:pPr>
              <w:pStyle w:val="Compact"/>
              <w:spacing w:line="360" w:lineRule="auto"/>
            </w:pPr>
            <w:r>
              <w:t>D1</w:t>
            </w:r>
          </w:p>
        </w:tc>
        <w:tc>
          <w:tcPr>
            <w:tcW w:w="0" w:type="auto"/>
          </w:tcPr>
          <w:p w14:paraId="5952BDC8" w14:textId="77777777" w:rsidR="00FA75C9" w:rsidRDefault="00000000" w:rsidP="00D56005">
            <w:pPr>
              <w:pStyle w:val="Compact"/>
              <w:spacing w:line="360" w:lineRule="auto"/>
            </w:pPr>
            <w:r>
              <w:t>Audit status</w:t>
            </w:r>
          </w:p>
        </w:tc>
        <w:tc>
          <w:tcPr>
            <w:tcW w:w="0" w:type="auto"/>
          </w:tcPr>
          <w:p w14:paraId="564784DC" w14:textId="77777777" w:rsidR="00FA75C9" w:rsidRDefault="00000000" w:rsidP="00D56005">
            <w:pPr>
              <w:pStyle w:val="Compact"/>
              <w:spacing w:line="360" w:lineRule="auto"/>
            </w:pPr>
            <w:r>
              <w:rPr>
                <w:rStyle w:val="VerbatimChar"/>
              </w:rPr>
              <w:t>research_audit_summary_2010_2023.csv</w:t>
            </w:r>
          </w:p>
        </w:tc>
      </w:tr>
    </w:tbl>
    <w:p w14:paraId="5143FAEC" w14:textId="77777777" w:rsidR="00FA75C9" w:rsidRDefault="00000000" w:rsidP="00D56005">
      <w:pPr>
        <w:pStyle w:val="Heading2"/>
        <w:spacing w:line="360" w:lineRule="auto"/>
      </w:pPr>
      <w:bookmarkStart w:id="46" w:name="references-needs-verification"/>
      <w:bookmarkStart w:id="47" w:name="_Toc228955562"/>
      <w:r>
        <w:t>References (needs verification)</w:t>
      </w:r>
      <w:bookmarkEnd w:id="46"/>
      <w:bookmarkEnd w:id="47"/>
    </w:p>
    <w:p w14:paraId="37FE066D" w14:textId="77777777" w:rsidR="00FA75C9" w:rsidRDefault="00000000" w:rsidP="00D56005">
      <w:pPr>
        <w:pStyle w:val="FirstParagraph"/>
        <w:spacing w:line="360" w:lineRule="auto"/>
      </w:pPr>
      <w:r>
        <w:t>The references below correspond to the in-text citations in Section 1. Author lists, journals, volumes, issue numbers, and page ranges should be confirmed against the original sources before final publication. No citation has been added that is not used in the body.</w:t>
      </w:r>
    </w:p>
    <w:p w14:paraId="27496382" w14:textId="77777777" w:rsidR="00FA75C9" w:rsidRDefault="00000000" w:rsidP="00D56005">
      <w:pPr>
        <w:pStyle w:val="Compact"/>
        <w:numPr>
          <w:ilvl w:val="0"/>
          <w:numId w:val="4"/>
        </w:numPr>
        <w:spacing w:line="360" w:lineRule="auto"/>
      </w:pPr>
      <w:r>
        <w:t xml:space="preserve">Atilgan, Y., Bali, T. G., Demirtas, K. O., and Gunaydin, A. D. (2020). Left-Tail Momentum: Underreaction to Bad News, Costly Arbitrage, and Equity Returns. </w:t>
      </w:r>
      <w:r>
        <w:rPr>
          <w:i/>
        </w:rPr>
        <w:t>Journal of Financial Economics</w:t>
      </w:r>
      <w:r>
        <w:t>, 135(3), 725–753.</w:t>
      </w:r>
    </w:p>
    <w:p w14:paraId="457B38E2" w14:textId="77777777" w:rsidR="00FA75C9" w:rsidRDefault="00000000" w:rsidP="00D56005">
      <w:pPr>
        <w:pStyle w:val="Compact"/>
        <w:numPr>
          <w:ilvl w:val="0"/>
          <w:numId w:val="4"/>
        </w:numPr>
        <w:spacing w:line="360" w:lineRule="auto"/>
      </w:pPr>
      <w:r>
        <w:t xml:space="preserve">An, B.-J., Ang, A., Bali, T. G., and Cakici, N. (2014). The Joint Cross Section of Stocks and Options. </w:t>
      </w:r>
      <w:r>
        <w:rPr>
          <w:i/>
        </w:rPr>
        <w:t>Journal of Finance</w:t>
      </w:r>
      <w:r>
        <w:t>, 69(5), 2279–2337.</w:t>
      </w:r>
    </w:p>
    <w:p w14:paraId="23421AF5" w14:textId="77777777" w:rsidR="00FA75C9" w:rsidRDefault="00000000" w:rsidP="00D56005">
      <w:pPr>
        <w:pStyle w:val="Compact"/>
        <w:numPr>
          <w:ilvl w:val="0"/>
          <w:numId w:val="4"/>
        </w:numPr>
        <w:spacing w:line="360" w:lineRule="auto"/>
      </w:pPr>
      <w:r>
        <w:t xml:space="preserve">Bali, T. G., and Hovakimian, A. (2009). Volatility Spreads and Expected Stock Returns. </w:t>
      </w:r>
      <w:r>
        <w:rPr>
          <w:i/>
        </w:rPr>
        <w:t>Management Science</w:t>
      </w:r>
      <w:r>
        <w:t>, 55(11), 1797–1812.</w:t>
      </w:r>
    </w:p>
    <w:p w14:paraId="3A10EF36" w14:textId="77777777" w:rsidR="00FA75C9" w:rsidRDefault="00000000" w:rsidP="00D56005">
      <w:pPr>
        <w:pStyle w:val="Compact"/>
        <w:numPr>
          <w:ilvl w:val="0"/>
          <w:numId w:val="4"/>
        </w:numPr>
        <w:spacing w:line="360" w:lineRule="auto"/>
      </w:pPr>
      <w:r>
        <w:t xml:space="preserve">Bollerslev, T., Tauchen, G., and Zhou, H. (2009). Expected Stock Returns and Variance Risk Premia. </w:t>
      </w:r>
      <w:r>
        <w:rPr>
          <w:i/>
        </w:rPr>
        <w:t>Review of Financial Studies</w:t>
      </w:r>
      <w:r>
        <w:t>, 22(11), 4463–4492.</w:t>
      </w:r>
    </w:p>
    <w:p w14:paraId="36B5CC06" w14:textId="77777777" w:rsidR="00FA75C9" w:rsidRDefault="00000000" w:rsidP="00D56005">
      <w:pPr>
        <w:pStyle w:val="Compact"/>
        <w:numPr>
          <w:ilvl w:val="0"/>
          <w:numId w:val="4"/>
        </w:numPr>
        <w:spacing w:line="360" w:lineRule="auto"/>
      </w:pPr>
      <w:r>
        <w:t xml:space="preserve">Carr, P., and Wu, L. (2009). Variance Risk Premiums. </w:t>
      </w:r>
      <w:r>
        <w:rPr>
          <w:i/>
        </w:rPr>
        <w:t>Review of Financial Studies</w:t>
      </w:r>
      <w:r>
        <w:t>, 22(3), 1311–1341.</w:t>
      </w:r>
    </w:p>
    <w:p w14:paraId="7760E11C" w14:textId="77777777" w:rsidR="00FA75C9" w:rsidRDefault="00000000" w:rsidP="00D56005">
      <w:pPr>
        <w:pStyle w:val="Compact"/>
        <w:numPr>
          <w:ilvl w:val="0"/>
          <w:numId w:val="4"/>
        </w:numPr>
        <w:spacing w:line="360" w:lineRule="auto"/>
      </w:pPr>
      <w:r>
        <w:t xml:space="preserve">Cremers, M., and Weinbaum, D. (2010). Deviations from Put-Call Parity and Stock Return Predictability. </w:t>
      </w:r>
      <w:r>
        <w:rPr>
          <w:i/>
        </w:rPr>
        <w:t>Journal of Financial and Quantitative Analysis</w:t>
      </w:r>
      <w:r>
        <w:t>, 45(2), 335–367.</w:t>
      </w:r>
    </w:p>
    <w:p w14:paraId="5AA8F4B1" w14:textId="77777777" w:rsidR="00FA75C9" w:rsidRDefault="00000000" w:rsidP="00D56005">
      <w:pPr>
        <w:pStyle w:val="Compact"/>
        <w:numPr>
          <w:ilvl w:val="0"/>
          <w:numId w:val="4"/>
        </w:numPr>
        <w:spacing w:line="360" w:lineRule="auto"/>
      </w:pPr>
      <w:r>
        <w:t xml:space="preserve">Garleanu, N., Pedersen, L. H., and Poteshman, A. M. (2009). Demand-Based Option Pricing. </w:t>
      </w:r>
      <w:r>
        <w:rPr>
          <w:i/>
        </w:rPr>
        <w:t>Review of Financial Studies</w:t>
      </w:r>
      <w:r>
        <w:t>, 22(10), 4259–4299.</w:t>
      </w:r>
    </w:p>
    <w:p w14:paraId="1EC01E5E" w14:textId="77777777" w:rsidR="00FA75C9" w:rsidRDefault="00000000" w:rsidP="00D56005">
      <w:pPr>
        <w:pStyle w:val="Compact"/>
        <w:numPr>
          <w:ilvl w:val="0"/>
          <w:numId w:val="4"/>
        </w:numPr>
        <w:spacing w:line="360" w:lineRule="auto"/>
      </w:pPr>
      <w:r>
        <w:t xml:space="preserve">Pan, J., and Poteshman, A. M. (2006). The Information in Option Volume for Future Stock Prices. </w:t>
      </w:r>
      <w:r>
        <w:rPr>
          <w:i/>
        </w:rPr>
        <w:t>Review of Financial Studies</w:t>
      </w:r>
      <w:r>
        <w:t>, 19(3), 871–908.</w:t>
      </w:r>
    </w:p>
    <w:p w14:paraId="4B59BD7C" w14:textId="77777777" w:rsidR="00FA75C9" w:rsidRDefault="00000000" w:rsidP="00D56005">
      <w:pPr>
        <w:pStyle w:val="Compact"/>
        <w:numPr>
          <w:ilvl w:val="0"/>
          <w:numId w:val="4"/>
        </w:numPr>
        <w:spacing w:line="360" w:lineRule="auto"/>
      </w:pPr>
      <w:r>
        <w:t xml:space="preserve">Xing, Y., Zhang, X., and Zhao, R. (2010). What Does the Individual Option Volatility Smirk Tell Us about Future Equity Returns? </w:t>
      </w:r>
      <w:r>
        <w:rPr>
          <w:i/>
        </w:rPr>
        <w:t>Journal of Financial and Quantitative Analysis</w:t>
      </w:r>
      <w:r>
        <w:t>, 45(3), 641–662.</w:t>
      </w:r>
    </w:p>
    <w:sectPr w:rsidR="00FA75C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EF027" w14:textId="77777777" w:rsidR="00C63BD2" w:rsidRDefault="00C63BD2">
      <w:pPr>
        <w:spacing w:after="0"/>
      </w:pPr>
      <w:r>
        <w:separator/>
      </w:r>
    </w:p>
  </w:endnote>
  <w:endnote w:type="continuationSeparator" w:id="0">
    <w:p w14:paraId="4E6B28C4" w14:textId="77777777" w:rsidR="00C63BD2" w:rsidRDefault="00C63B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AE1BC" w14:textId="77777777" w:rsidR="00C63BD2" w:rsidRDefault="00C63BD2">
      <w:r>
        <w:separator/>
      </w:r>
    </w:p>
  </w:footnote>
  <w:footnote w:type="continuationSeparator" w:id="0">
    <w:p w14:paraId="2F9A5C69" w14:textId="77777777" w:rsidR="00C63BD2" w:rsidRDefault="00C63B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9C248F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782FC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33139312">
    <w:abstractNumId w:val="1"/>
  </w:num>
  <w:num w:numId="2" w16cid:durableId="621570400">
    <w:abstractNumId w:val="0"/>
  </w:num>
  <w:num w:numId="3" w16cid:durableId="1559512515">
    <w:abstractNumId w:val="0"/>
  </w:num>
  <w:num w:numId="4" w16cid:durableId="189932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7A06"/>
    <w:rsid w:val="00126594"/>
    <w:rsid w:val="00187AE8"/>
    <w:rsid w:val="001B553B"/>
    <w:rsid w:val="00307C98"/>
    <w:rsid w:val="00325556"/>
    <w:rsid w:val="00343227"/>
    <w:rsid w:val="004E29B3"/>
    <w:rsid w:val="005157B3"/>
    <w:rsid w:val="00565350"/>
    <w:rsid w:val="00590D07"/>
    <w:rsid w:val="00676453"/>
    <w:rsid w:val="007156F1"/>
    <w:rsid w:val="00784D58"/>
    <w:rsid w:val="008213A0"/>
    <w:rsid w:val="008D6863"/>
    <w:rsid w:val="00A86B11"/>
    <w:rsid w:val="00A912D7"/>
    <w:rsid w:val="00AB4F12"/>
    <w:rsid w:val="00B86B75"/>
    <w:rsid w:val="00BC48D5"/>
    <w:rsid w:val="00C076D5"/>
    <w:rsid w:val="00C36279"/>
    <w:rsid w:val="00C63BD2"/>
    <w:rsid w:val="00CD0AF4"/>
    <w:rsid w:val="00D56005"/>
    <w:rsid w:val="00E315A3"/>
    <w:rsid w:val="00E56A69"/>
    <w:rsid w:val="00E84B2D"/>
    <w:rsid w:val="00ED1949"/>
    <w:rsid w:val="00F5641F"/>
    <w:rsid w:val="00FA75C9"/>
    <w:rsid w:val="00FC49F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8E776"/>
  <w15:docId w15:val="{AA7A0D13-57BC-5147-B681-38D6D264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D56005"/>
    <w:pPr>
      <w:spacing w:after="100"/>
    </w:pPr>
  </w:style>
  <w:style w:type="paragraph" w:styleId="TOC2">
    <w:name w:val="toc 2"/>
    <w:basedOn w:val="Normal"/>
    <w:next w:val="Normal"/>
    <w:autoRedefine/>
    <w:uiPriority w:val="39"/>
    <w:rsid w:val="00D56005"/>
    <w:pPr>
      <w:spacing w:after="100"/>
      <w:ind w:left="240"/>
    </w:pPr>
  </w:style>
  <w:style w:type="paragraph" w:customStyle="1" w:styleId="p1">
    <w:name w:val="p1"/>
    <w:basedOn w:val="Normal"/>
    <w:rsid w:val="00676453"/>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44</Pages>
  <Words>8179</Words>
  <Characters>53496</Characters>
  <Application>Microsoft Office Word</Application>
  <DocSecurity>0</DocSecurity>
  <Lines>1048</Lines>
  <Paragraphs>833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Thibault Eelen</cp:lastModifiedBy>
  <cp:revision>21</cp:revision>
  <dcterms:created xsi:type="dcterms:W3CDTF">2026-05-06T15:20:00Z</dcterms:created>
  <dcterms:modified xsi:type="dcterms:W3CDTF">2026-05-08T18:59:00Z</dcterms:modified>
</cp:coreProperties>
</file>