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Points à trancher avec BDH — exercices 2025 et 2026</w:t>
      </w:r>
    </w:p>
    <w:p>
      <w:pPr>
        <w:spacing w:after="120"/>
        <w:jc w:val="both"/>
      </w:pPr>
      <w:r>
        <w:t xml:space="preserve">Liste tenue à jour au fil du travail de reconstitution. Chaque point renvoie soit à une ligne du bilan (surlignée en jaune dans le fichier Excel), soit à une opération absente du bilan mais qui concerne la société.</w:t>
      </w:r>
    </w:p>
    <w:p>
      <w:pPr>
        <w:pStyle w:val="Heading1"/>
        <w:pBdr>
          <w:bottom w:val="single" w:color="B8C4D0" w:sz="6" w:space="6"/>
        </w:pBdr>
        <w:spacing w:after="140" w:before="360"/>
      </w:pPr>
      <w:r>
        <w:t xml:space="preserve">1. Compte courant du gérant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DF2" w:val="clear"/>
            <w:tcMar>
              <w:top w:type="dxa" w:w="60"/>
              <w:left w:type="dxa" w:w="110"/>
              <w:bottom w:type="dxa" w:w="60"/>
              <w:right w:type="dxa" w:w="110"/>
            </w:tcMar>
          </w:tcPr>
          <w:p>
            <w:pPr>
              <w:spacing w:after="0" w:before="0"/>
            </w:pPr>
            <w:r>
              <w:rPr>
                <w:b/>
                <w:bCs/>
              </w:rPr>
              <w:t xml:space="preserve">Sens</w:t>
            </w:r>
          </w:p>
        </w:tc>
        <w:tc>
          <w:tcPr>
            <w:tcW w:type="dxa" w:w="2340"/>
            <w:shd w:fill="E8EDF2" w:val="clear"/>
            <w:tcMar>
              <w:top w:type="dxa" w:w="60"/>
              <w:left w:type="dxa" w:w="110"/>
              <w:bottom w:type="dxa" w:w="60"/>
              <w:right w:type="dxa" w:w="110"/>
            </w:tcMar>
          </w:tcPr>
          <w:p>
            <w:pPr>
              <w:spacing w:after="0" w:before="0"/>
            </w:pPr>
            <w:r>
              <w:rPr>
                <w:b/>
                <w:bCs/>
              </w:rPr>
              <w:t xml:space="preserve">Objet</w:t>
            </w:r>
          </w:p>
        </w:tc>
        <w:tc>
          <w:tcPr>
            <w:tcW w:type="dxa" w:w="2340"/>
            <w:shd w:fill="E8EDF2" w:val="clear"/>
            <w:tcMar>
              <w:top w:type="dxa" w:w="60"/>
              <w:left w:type="dxa" w:w="110"/>
              <w:bottom w:type="dxa" w:w="60"/>
              <w:right w:type="dxa" w:w="110"/>
            </w:tcMar>
          </w:tcPr>
          <w:p>
            <w:pPr>
              <w:spacing w:after="0" w:before="0"/>
            </w:pPr>
            <w:r>
              <w:rPr>
                <w:b/>
                <w:bCs/>
              </w:rPr>
              <w:t xml:space="preserve">Montant</w:t>
            </w:r>
          </w:p>
        </w:tc>
        <w:tc>
          <w:tcPr>
            <w:tcW w:type="dxa" w:w="2340"/>
            <w:shd w:fill="E8EDF2" w:val="clear"/>
            <w:tcMar>
              <w:top w:type="dxa" w:w="60"/>
              <w:left w:type="dxa" w:w="110"/>
              <w:bottom w:type="dxa" w:w="60"/>
              <w:right w:type="dxa" w:w="110"/>
            </w:tcMar>
          </w:tcPr>
          <w:p>
            <w:pPr>
              <w:spacing w:after="0" w:before="0"/>
            </w:pPr>
            <w:r>
              <w:rPr>
                <w:b/>
                <w:bCs/>
              </w:rPr>
              <w:t xml:space="preserve">Statut</w:t>
            </w:r>
          </w:p>
        </w:tc>
      </w:tr>
      <w:tr>
        <w:trPr>
          <w:tblHeader w:val="false"/>
        </w:trPr>
        <w:tc>
          <w:tcPr>
            <w:tcW w:type="dxa" w:w="2340"/>
            <w:tcMar>
              <w:top w:type="dxa" w:w="60"/>
              <w:left w:type="dxa" w:w="110"/>
              <w:bottom w:type="dxa" w:w="60"/>
              <w:right w:type="dxa" w:w="110"/>
            </w:tcMar>
          </w:tcPr>
          <w:p>
            <w:pPr>
              <w:spacing w:after="0" w:before="0"/>
            </w:pPr>
            <w:r>
              <w:t xml:space="preserve">Société doit à T. Duchène</w:t>
            </w:r>
          </w:p>
        </w:tc>
        <w:tc>
          <w:tcPr>
            <w:tcW w:type="dxa" w:w="2340"/>
            <w:tcMar>
              <w:top w:type="dxa" w:w="60"/>
              <w:left w:type="dxa" w:w="110"/>
              <w:bottom w:type="dxa" w:w="60"/>
              <w:right w:type="dxa" w:w="110"/>
            </w:tcMar>
          </w:tcPr>
          <w:p>
            <w:pPr>
              <w:spacing w:after="0" w:before="0"/>
            </w:pPr>
            <w:r>
              <w:t xml:space="preserve">Apport « approvisionnement compte » du 13-06-2025</w:t>
            </w:r>
          </w:p>
        </w:tc>
        <w:tc>
          <w:tcPr>
            <w:tcW w:type="dxa" w:w="2340"/>
            <w:tcMar>
              <w:top w:type="dxa" w:w="60"/>
              <w:left w:type="dxa" w:w="110"/>
              <w:bottom w:type="dxa" w:w="60"/>
              <w:right w:type="dxa" w:w="110"/>
            </w:tcMar>
          </w:tcPr>
          <w:p>
            <w:pPr>
              <w:spacing w:after="0" w:before="0"/>
            </w:pPr>
            <w:r>
              <w:t xml:space="preserve">1.500,00</w:t>
            </w:r>
          </w:p>
        </w:tc>
        <w:tc>
          <w:tcPr>
            <w:tcW w:type="dxa" w:w="2340"/>
            <w:tcMar>
              <w:top w:type="dxa" w:w="60"/>
              <w:left w:type="dxa" w:w="110"/>
              <w:bottom w:type="dxa" w:w="60"/>
              <w:right w:type="dxa" w:w="110"/>
            </w:tcMar>
          </w:tcPr>
          <w:p>
            <w:pPr>
              <w:spacing w:after="0" w:before="0"/>
            </w:pPr>
            <w:r>
              <w:t xml:space="preserve">jamais remboursé</w:t>
            </w:r>
          </w:p>
        </w:tc>
      </w:tr>
      <w:tr>
        <w:trPr>
          <w:tblHeader w:val="false"/>
        </w:trPr>
        <w:tc>
          <w:tcPr>
            <w:tcW w:type="dxa" w:w="2340"/>
            <w:tcMar>
              <w:top w:type="dxa" w:w="60"/>
              <w:left w:type="dxa" w:w="110"/>
              <w:bottom w:type="dxa" w:w="60"/>
              <w:right w:type="dxa" w:w="110"/>
            </w:tcMar>
          </w:tcPr>
          <w:p>
            <w:pPr>
              <w:spacing w:after="0" w:before="0"/>
            </w:pPr>
            <w:r>
              <w:t xml:space="preserve">Société doit à T. Duchène</w:t>
            </w:r>
          </w:p>
        </w:tc>
        <w:tc>
          <w:tcPr>
            <w:tcW w:type="dxa" w:w="2340"/>
            <w:tcMar>
              <w:top w:type="dxa" w:w="60"/>
              <w:left w:type="dxa" w:w="110"/>
              <w:bottom w:type="dxa" w:w="60"/>
              <w:right w:type="dxa" w:w="110"/>
            </w:tcMar>
          </w:tcPr>
          <w:p>
            <w:pPr>
              <w:spacing w:after="0" w:before="0"/>
            </w:pPr>
            <w:r>
              <w:t xml:space="preserve">Facture Proximus 7504645054 (juillet 2025) payée par QR code depuis le compte privé</w:t>
            </w:r>
          </w:p>
        </w:tc>
        <w:tc>
          <w:tcPr>
            <w:tcW w:type="dxa" w:w="2340"/>
            <w:tcMar>
              <w:top w:type="dxa" w:w="60"/>
              <w:left w:type="dxa" w:w="110"/>
              <w:bottom w:type="dxa" w:w="60"/>
              <w:right w:type="dxa" w:w="110"/>
            </w:tcMar>
          </w:tcPr>
          <w:p>
            <w:pPr>
              <w:spacing w:after="0" w:before="0"/>
            </w:pPr>
            <w:r>
              <w:t xml:space="preserve">109,59</w:t>
            </w:r>
          </w:p>
        </w:tc>
        <w:tc>
          <w:tcPr>
            <w:tcW w:type="dxa" w:w="2340"/>
            <w:tcMar>
              <w:top w:type="dxa" w:w="60"/>
              <w:left w:type="dxa" w:w="110"/>
              <w:bottom w:type="dxa" w:w="60"/>
              <w:right w:type="dxa" w:w="110"/>
            </w:tcMar>
          </w:tcPr>
          <w:p>
            <w:pPr>
              <w:spacing w:after="0" w:before="0"/>
            </w:pPr>
            <w:r>
              <w:t xml:space="preserve">inscrite au bilan de juillet en charge, avec sa contrepartie en entrée</w:t>
            </w:r>
          </w:p>
        </w:tc>
      </w:tr>
      <w:tr>
        <w:trPr>
          <w:tblHeader w:val="false"/>
        </w:trPr>
        <w:tc>
          <w:tcPr>
            <w:tcW w:type="dxa" w:w="2340"/>
            <w:tcMar>
              <w:top w:type="dxa" w:w="60"/>
              <w:left w:type="dxa" w:w="110"/>
              <w:bottom w:type="dxa" w:w="60"/>
              <w:right w:type="dxa" w:w="110"/>
            </w:tcMar>
          </w:tcPr>
          <w:p>
            <w:pPr>
              <w:spacing w:after="0" w:before="0"/>
            </w:pPr>
            <w:r>
              <w:t xml:space="preserve">T. Duchène doit à la société</w:t>
            </w:r>
          </w:p>
        </w:tc>
        <w:tc>
          <w:tcPr>
            <w:tcW w:type="dxa" w:w="2340"/>
            <w:tcMar>
              <w:top w:type="dxa" w:w="60"/>
              <w:left w:type="dxa" w:w="110"/>
              <w:bottom w:type="dxa" w:w="60"/>
              <w:right w:type="dxa" w:w="110"/>
            </w:tcMar>
          </w:tcPr>
          <w:p>
            <w:pPr>
              <w:spacing w:after="0" w:before="0"/>
            </w:pPr>
            <w:r>
              <w:t xml:space="preserve">Billets Translatina Travel des 24 et 27-01-2025</w:t>
            </w:r>
          </w:p>
        </w:tc>
        <w:tc>
          <w:tcPr>
            <w:tcW w:type="dxa" w:w="2340"/>
            <w:tcMar>
              <w:top w:type="dxa" w:w="60"/>
              <w:left w:type="dxa" w:w="110"/>
              <w:bottom w:type="dxa" w:w="60"/>
              <w:right w:type="dxa" w:w="110"/>
            </w:tcMar>
          </w:tcPr>
          <w:p>
            <w:pPr>
              <w:spacing w:after="0" w:before="0"/>
            </w:pPr>
            <w:r>
              <w:t xml:space="preserve">1.142,00</w:t>
            </w:r>
          </w:p>
        </w:tc>
        <w:tc>
          <w:tcPr>
            <w:tcW w:type="dxa" w:w="2340"/>
            <w:tcMar>
              <w:top w:type="dxa" w:w="60"/>
              <w:left w:type="dxa" w:w="110"/>
              <w:bottom w:type="dxa" w:w="60"/>
              <w:right w:type="dxa" w:w="110"/>
            </w:tcMar>
          </w:tcPr>
          <w:p>
            <w:pPr>
              <w:spacing w:after="0" w:before="0"/>
            </w:pPr>
            <w:r>
              <w:t xml:space="preserve">jamais remboursés — voyage Pérou privé ou professionnel ?</w:t>
            </w:r>
          </w:p>
        </w:tc>
      </w:tr>
    </w:tbl>
    <w:p>
      <w:pPr>
        <w:spacing w:after="120"/>
      </w:pPr>
    </w:p>
    <w:p>
      <w:pPr>
        <w:spacing w:after="120"/>
        <w:jc w:val="both"/>
      </w:pPr>
      <w:r>
        <w:rPr>
          <w:b/>
          <w:bCs/>
        </w:rPr>
        <w:t xml:space="preserve">Solde net : la société doit 467,59 €</w:t>
      </w:r>
      <w:r>
        <w:t xml:space="preserve"> si le voyage au Pérou est privé, 1.609,59 € s'il est professionnel.</w:t>
      </w:r>
    </w:p>
    <w:p>
      <w:pPr>
        <w:spacing w:after="120"/>
        <w:jc w:val="both"/>
      </w:pPr>
      <w:r>
        <w:t xml:space="preserve">Pour mémoire, deux cycles se sont bouclés correctement et n'appellent rien : Air Europa 1.683,78 (avancé par la société, remboursé le 23-04-2025), Sandaya Lyon 1.775,40 (remboursé le 22-07-2025), et les 2.000,00 apportés en février 2026 puis restitués en trois fois entre mars et mai 2026.</w:t>
      </w:r>
    </w:p>
    <w:p>
      <w:pPr>
        <w:pStyle w:val="Heading1"/>
        <w:pBdr>
          <w:bottom w:val="single" w:color="B8C4D0" w:sz="6" w:space="6"/>
        </w:pBdr>
        <w:spacing w:after="140" w:before="360"/>
      </w:pPr>
      <w:r>
        <w:t xml:space="preserve">2. Qualification de dépenses 2025</w:t>
      </w:r>
    </w:p>
    <w:p>
      <w:pPr>
        <w:pStyle w:val="ListParagraph"/>
        <w:numPr>
          <w:ilvl w:val="0"/>
          <w:numId w:val="2"/>
        </w:numPr>
        <w:spacing w:after="100"/>
        <w:jc w:val="both"/>
      </w:pPr>
      <w:r>
        <w:rPr>
          <w:b/>
          <w:bCs/>
        </w:rPr>
        <w:t xml:space="preserve">Précompte mobilier 2.100,00</w:t>
      </w:r>
      <w:r>
        <w:t xml:space="preserve"> (27-10) : aucune distribution de dividende visible sur le compte en contrepartie.</w:t>
      </w:r>
    </w:p>
    <w:p>
      <w:pPr>
        <w:pStyle w:val="ListParagraph"/>
        <w:numPr>
          <w:ilvl w:val="0"/>
          <w:numId w:val="2"/>
        </w:numPr>
        <w:spacing w:after="100"/>
        <w:jc w:val="both"/>
      </w:pPr>
      <w:r>
        <w:rPr>
          <w:b/>
          <w:bCs/>
        </w:rPr>
        <w:t xml:space="preserve">Media Markt 787,00</w:t>
      </w:r>
      <w:r>
        <w:t xml:space="preserve"> (03-11, deux paiements) : amortissement ou charge ? Nature de l'achat à préciser.</w:t>
      </w:r>
    </w:p>
    <w:p>
      <w:pPr>
        <w:pStyle w:val="ListParagraph"/>
        <w:numPr>
          <w:ilvl w:val="0"/>
          <w:numId w:val="2"/>
        </w:numPr>
        <w:spacing w:after="100"/>
        <w:jc w:val="both"/>
      </w:pPr>
      <w:r>
        <w:rPr>
          <w:b/>
          <w:bCs/>
        </w:rPr>
        <w:t xml:space="preserve">Decathlon 118,50</w:t>
      </w:r>
      <w:r>
        <w:t xml:space="preserve"> (22-11) : masque de ski, luge et vêtements enfant.</w:t>
      </w:r>
    </w:p>
    <w:p>
      <w:pPr>
        <w:pStyle w:val="ListParagraph"/>
        <w:numPr>
          <w:ilvl w:val="0"/>
          <w:numId w:val="2"/>
        </w:numPr>
        <w:spacing w:after="100"/>
        <w:jc w:val="both"/>
      </w:pPr>
      <w:r>
        <w:rPr>
          <w:b/>
          <w:bCs/>
        </w:rPr>
        <w:t xml:space="preserve">Amendes de stationnement 203,00</w:t>
      </w:r>
      <w:r>
        <w:t xml:space="preserve"> (Louvain 58,00, Woluwe 45,00, Saint-Josse 100,00) : dépenses non admises.</w:t>
      </w:r>
    </w:p>
    <w:p>
      <w:pPr>
        <w:pStyle w:val="ListParagraph"/>
        <w:numPr>
          <w:ilvl w:val="0"/>
          <w:numId w:val="2"/>
        </w:numPr>
        <w:spacing w:after="100"/>
        <w:jc w:val="both"/>
      </w:pPr>
      <w:r>
        <w:rPr>
          <w:b/>
          <w:bCs/>
        </w:rPr>
        <w:t xml:space="preserve">Frais de restaurant ≈ 600,00</w:t>
      </w:r>
      <w:r>
        <w:t xml:space="preserve"> : déductibles à 69 %.</w:t>
      </w:r>
    </w:p>
    <w:p>
      <w:pPr>
        <w:pStyle w:val="ListParagraph"/>
        <w:numPr>
          <w:ilvl w:val="0"/>
          <w:numId w:val="2"/>
        </w:numPr>
        <w:spacing w:after="100"/>
        <w:jc w:val="both"/>
      </w:pPr>
      <w:r>
        <w:rPr>
          <w:b/>
          <w:bCs/>
        </w:rPr>
        <w:t xml:space="preserve">Lignes des décomptes de carte à usage privé possible</w:t>
      </w:r>
      <w:r>
        <w:t xml:space="preserve"> : coiffeur 10,00, Zara 84,05, Flying Tiger 81,00, Action 41,85, Proxy Meiser 33,84, Oris Group 25,63, Mood for Green 17,00, SumUp 7,90, Blitha Vereycken 2,50, commerçant « 2419 » 2,89.</w:t>
      </w:r>
    </w:p>
    <w:p>
      <w:pPr>
        <w:pStyle w:val="ListParagraph"/>
        <w:numPr>
          <w:ilvl w:val="0"/>
          <w:numId w:val="2"/>
        </w:numPr>
        <w:spacing w:after="100"/>
        <w:jc w:val="both"/>
      </w:pPr>
      <w:r>
        <w:rPr>
          <w:b/>
          <w:bCs/>
        </w:rPr>
        <w:t xml:space="preserve">Media Markt : un ordinateur, donc un investissement.</w:t>
      </w:r>
      <w:r>
        <w:t xml:space="preserve"> 748,00 le 03-11-2025 à 12:33, plus 39,00 deux minutes plus tard (accessoire ou garantie). Factures en main. À 748, le PC relève normalement de l'immobilisation amortie sur trois à cinq ans, et non de la charge de l'exercice : à trancher par BDH, avec la part d'usage professionnel à retenir (TVA et amortissement). L'enjeu sur le résultat 2025 est de l'ordre de 500 à 700 selon la durée et le prorata retenus.</w:t>
      </w:r>
    </w:p>
    <w:p>
      <w:pPr>
        <w:pStyle w:val="ListParagraph"/>
        <w:numPr>
          <w:ilvl w:val="0"/>
          <w:numId w:val="2"/>
        </w:numPr>
        <w:spacing w:after="100"/>
        <w:jc w:val="both"/>
      </w:pPr>
      <w:r>
        <w:rPr>
          <w:b/>
          <w:bCs/>
        </w:rPr>
        <w:t xml:space="preserve">Podomed : soin paramédical facturé à la société.</w:t>
      </w:r>
      <w:r>
        <w:t xml:space="preserve"> Facture 2025-30 du 26-12-2025, 275,00 (bilan et prise de mesures 65,00 + semelles de travail sur mesure 210,00), TVA 0 % — exonération paramédicale, rien à récupérer. Elle est bien adressée à MT Cosmetics Belgium avec son numéro de TVA, mais la rubrique « Patient » porte elle aussi le nom de la société, ce qui n'a pas de sens : le patient est le gérant. </w:t>
      </w:r>
      <w:r>
        <w:rPr>
          <w:b/>
          <w:bCs/>
        </w:rPr>
        <w:t xml:space="preserve">Lien professionnel établi</w:t>
      </w:r>
      <w:r>
        <w:t xml:space="preserve"> (Thibault, 12-09-2026) : il est entraîneur de tennis, debout et en déplacement sur le terrain toute la journée. Il s'agit donc d'équipement de travail, ce que confirme l'intitulé « semelles </w:t>
      </w:r>
      <w:r>
        <w:rPr>
          <w:b/>
          <w:bCs/>
        </w:rPr>
        <w:t xml:space="preserve">de travail</w:t>
      </w:r>
      <w:r>
        <w:t xml:space="preserve"> sur mesure ». Traité en charge déductible ; signalé à BDH pour information, sans question ouverte.</w:t>
      </w:r>
    </w:p>
    <w:p>
      <w:pPr>
        <w:pStyle w:val="ListParagraph"/>
        <w:numPr>
          <w:ilvl w:val="0"/>
          <w:numId w:val="2"/>
        </w:numPr>
        <w:spacing w:after="100"/>
        <w:jc w:val="both"/>
      </w:pPr>
      <w:r>
        <w:rPr>
          <w:b/>
          <w:bCs/>
        </w:rPr>
        <w:t xml:space="preserve">Topogigio, c'est le bar du RTC Lambermont</w:t>
      </w:r>
      <w:r>
        <w:t xml:space="preserve">, pas un restaurant. Les tickets le montrent : le 23-04 à 16:09, 12 pièces (sodas et gaufres) ; le 25-07 à 15:05, </w:t>
      </w:r>
      <w:r>
        <w:rPr>
          <w:b/>
          <w:bCs/>
        </w:rPr>
        <w:t xml:space="preserve">85 pièces</w:t>
      </w:r>
      <w:r>
        <w:t xml:space="preserve"> — 29 Coca-Cola, 15 Coca Zero, 11 gaufres, des chips, des croque-monsieur. Ce sont les consommations d'un groupe lors d'une journée au club, pas un repas d'affaires. </w:t>
      </w:r>
      <w:r>
        <w:rPr>
          <w:b/>
          <w:bCs/>
        </w:rPr>
        <w:t xml:space="preserve">Mode de fonctionnement du bar</w:t>
      </w:r>
      <w:r>
        <w:t xml:space="preserve"> (Thibault, 12-09-2026) : le gérant du bar notait les consommations sur un papier au fil du temps, puis les encodait toutes d'un coup sur un seul ticket. Un ticket de 85 pièces ne correspond donc pas à une seule consommation mais à une ardoise cumulée sur plusieurs semaines — ce qui explique aussi les écarts avec les montants débités, des articles ayant pu être retirés ou réglés autrement au moment de l'encodage. À qualifier par BDH : frais de restaurant déductibles à 69 %, ou coût direct d'un stage ou d'un tournoi organisé par la société, auquel cas la déduction est entière.</w:t>
      </w:r>
    </w:p>
    <w:p>
      <w:pPr>
        <w:pStyle w:val="ListParagraph"/>
        <w:numPr>
          <w:ilvl w:val="0"/>
          <w:numId w:val="2"/>
        </w:numPr>
        <w:spacing w:after="100"/>
        <w:jc w:val="both"/>
      </w:pPr>
      <w:r>
        <w:rPr>
          <w:b/>
          <w:bCs/>
        </w:rPr>
        <w:t xml:space="preserve">Écart entre les tickets du club et les montants débités.</w:t>
      </w:r>
      <w:r>
        <w:t xml:space="preserve"> Trois fois sur quatre, le total imprimé dépasse ce qui a été payé : 79,50 pour 75,50 le 05-03 (corrigé à la main sur le ticket), 29,00 pour 26,00 le 23-04, 251,50 pour 231,50 le 25-07. La société n'a donc payé que le montant le plus bas, celui repris au bilan — aucun risque de sur-déduction, mais l'écart mérite un mot d'explication du club si BDH le relève.</w:t>
      </w:r>
    </w:p>
    <w:p>
      <w:pPr>
        <w:pStyle w:val="ListParagraph"/>
        <w:numPr>
          <w:ilvl w:val="0"/>
          <w:numId w:val="2"/>
        </w:numPr>
        <w:spacing w:after="100"/>
        <w:jc w:val="both"/>
      </w:pPr>
      <w:r>
        <w:rPr>
          <w:b/>
          <w:bCs/>
        </w:rPr>
        <w:t xml:space="preserve">FedEx : quatre factures ne seront pas récupérées</w:t>
      </w:r>
      <w:r>
        <w:t xml:space="preserve"> (décision de Thibault, 12-09-2026). Le compte FedEx est au nom de Miriam Prudencio Garces et les documents ne sont pas accessibles. Les quatre paiements sont toutefois identifiés sans ambiguïté par la communication de chaque virement, qui porte le numéro de facture :</w:t>
      </w:r>
    </w:p>
    <w:p>
      <w:pPr>
        <w:pStyle w:val="ListParagraph"/>
        <w:numPr>
          <w:ilvl w:val="1"/>
          <w:numId w:val="2"/>
        </w:numPr>
        <w:spacing w:after="100"/>
        <w:jc w:val="both"/>
      </w:pPr>
      <w:r>
        <w:t xml:space="preserve">03-01-2025, 5,69 — facture </w:t>
      </w:r>
      <w:r>
        <w:rPr>
          <w:b/>
          <w:bCs/>
        </w:rPr>
        <w:t xml:space="preserve">798661469</w:t>
      </w:r>
    </w:p>
    <w:p>
      <w:pPr>
        <w:pStyle w:val="ListParagraph"/>
        <w:numPr>
          <w:ilvl w:val="1"/>
          <w:numId w:val="2"/>
        </w:numPr>
        <w:spacing w:after="100"/>
        <w:jc w:val="both"/>
      </w:pPr>
      <w:r>
        <w:t xml:space="preserve">05-03-2025, 48,67 — facture </w:t>
      </w:r>
      <w:r>
        <w:rPr>
          <w:b/>
          <w:bCs/>
        </w:rPr>
        <w:t xml:space="preserve">798748628</w:t>
      </w:r>
    </w:p>
    <w:p>
      <w:pPr>
        <w:pStyle w:val="ListParagraph"/>
        <w:numPr>
          <w:ilvl w:val="1"/>
          <w:numId w:val="2"/>
        </w:numPr>
        <w:spacing w:after="100"/>
        <w:jc w:val="both"/>
      </w:pPr>
      <w:r>
        <w:t xml:space="preserve">10-03-2025, 97,34 — facture </w:t>
      </w:r>
      <w:r>
        <w:rPr>
          <w:b/>
          <w:bCs/>
        </w:rPr>
        <w:t xml:space="preserve">798752501</w:t>
      </w:r>
    </w:p>
    <w:p>
      <w:pPr>
        <w:pStyle w:val="ListParagraph"/>
        <w:numPr>
          <w:ilvl w:val="1"/>
          <w:numId w:val="2"/>
        </w:numPr>
        <w:spacing w:after="100"/>
        <w:jc w:val="both"/>
      </w:pPr>
      <w:r>
        <w:t xml:space="preserve">04-07-2025, 5,51 — facture </w:t>
      </w:r>
      <w:r>
        <w:rPr>
          <w:b/>
          <w:bCs/>
        </w:rPr>
        <w:t xml:space="preserve">798875231</w:t>
      </w:r>
      <w:r>
        <w:t xml:space="preserve"> Bénéficiaire : FedEx Express BE BV, BE34 7370 4865 9990. Total 157,21. Deux autres factures FedEx de 2025 sont bien en main (17,37 en octobre, 11,84 en décembre), ce qui atteste de la réalité de la relation commerciale. </w:t>
      </w:r>
      <w:r>
        <w:rPr>
          <w:b/>
          <w:bCs/>
        </w:rPr>
        <w:t xml:space="preserve">À trancher par BDH :</w:t>
      </w:r>
      <w:r>
        <w:t xml:space="preserve"> l'extrait portant le numéro de facture suffit-il pour des frais de transport de ce montant, ou faut-il rejeter les 157,21 ? Coût fiscal du rejet : 31 à 39.</w:t>
      </w:r>
    </w:p>
    <w:p>
      <w:pPr>
        <w:pStyle w:val="ListParagraph"/>
        <w:numPr>
          <w:ilvl w:val="0"/>
          <w:numId w:val="2"/>
        </w:numPr>
        <w:spacing w:after="100"/>
        <w:jc w:val="both"/>
      </w:pPr>
      <w:r>
        <w:rPr>
          <w:b/>
          <w:bCs/>
        </w:rPr>
        <w:t xml:space="preserve">Trente petites dépenses sans ticket — 416,57.</w:t>
      </w:r>
      <w:r>
        <w:t xml:space="preserve"> La carte de société a été prêtée à Miriam Prudencio Garces et les tickets n'ont pas été conservés (signalé par Thibault le 12-09-2026). Les lignes portent un </w:t>
      </w:r>
      <w:r>
        <w:rPr>
          <w:b/>
          <w:bCs/>
        </w:rPr>
        <w:t xml:space="preserve">X</w:t>
      </w:r>
      <w:r>
        <w:t xml:space="preserve"> dans la colonne Facture, mais surlignées en jaune et assorties de la mention « Ticket non conservé — pièce manquante » : ce X ne veut pas dire que le comptable dispense du justificatif, seulement qu'il n'y en aura pas. Les plus élevées : Zara Bruxelles 84,05 · Flying Tiger 81,00 · Delhaize Sterrebeek 43,43 · Proxy Meiser 33,84 · Oris Group Waterloo 25,63. Le reste se compose de collations, de sanitaires d'autoroute et de courses, de 0,80 à 24,46. </w:t>
      </w:r>
      <w:r>
        <w:rPr>
          <w:b/>
          <w:bCs/>
        </w:rPr>
        <w:t xml:space="preserve">Deux questions pour BDH.</w:t>
      </w:r>
      <w:r>
        <w:t xml:space="preserve"> D'abord, ces dépenses sont-elles des charges de la société ? Une carte prêtée à un tiers qui l'utilise librement plaide plutôt pour le compte courant du gérant que pour la charge déductible, et certaines lignes sont manifestement privées — la coiffure à 10,00 du 11-04 ne peut être que privée, les vêtements Zara et les courses Delhaize ou Carrefour sont douteux. Ensuite, faut-il les rejeter en bloc ou au cas par cas ? Coût fiscal d'un rejet total : 83 à 104. </w:t>
      </w:r>
      <w:r>
        <w:rPr>
          <w:b/>
          <w:bCs/>
        </w:rPr>
        <w:t xml:space="preserve">Pour l'avenir :</w:t>
      </w:r>
      <w:r>
        <w:t xml:space="preserve"> ne plus prêter la carte de société, ou exiger le ticket à chaque usage.</w:t>
      </w:r>
    </w:p>
    <w:p>
      <w:pPr>
        <w:pStyle w:val="Heading1"/>
        <w:pBdr>
          <w:bottom w:val="single" w:color="B8C4D0" w:sz="6" w:space="6"/>
        </w:pBdr>
        <w:spacing w:after="140" w:before="360"/>
      </w:pPr>
      <w:r>
        <w:t xml:space="preserve">3. Pièces au nom d'un tiers</w:t>
      </w:r>
    </w:p>
    <w:p>
      <w:pPr>
        <w:pStyle w:val="ListParagraph"/>
        <w:numPr>
          <w:ilvl w:val="0"/>
          <w:numId w:val="2"/>
        </w:numPr>
        <w:spacing w:after="100"/>
        <w:jc w:val="both"/>
      </w:pPr>
      <w:r>
        <w:rPr>
          <w:b/>
          <w:bCs/>
        </w:rPr>
        <w:t xml:space="preserve">FedEx</w:t>
      </w:r>
      <w:r>
        <w:t xml:space="preserve"> : les deux factures sont au nom de Miriam Prudencio Garces, pas de la société.</w:t>
      </w:r>
    </w:p>
    <w:p>
      <w:pPr>
        <w:pStyle w:val="ListParagraph"/>
        <w:numPr>
          <w:ilvl w:val="0"/>
          <w:numId w:val="2"/>
        </w:numPr>
        <w:spacing w:after="100"/>
        <w:jc w:val="both"/>
      </w:pPr>
      <w:r>
        <w:rPr>
          <w:b/>
          <w:bCs/>
        </w:rPr>
        <w:t xml:space="preserve">ENGIE : rien à arbitrer, BDH connaît le dossier.</w:t>
      </w:r>
      <w:r>
        <w:t xml:space="preserve"> La facture 709 293 509 513 du 08-12-2025 est au nom de « Dhr. Thibault Duchène » pour l'adresse Moorselsteenweg 65 à Sterrebeek, qui est à la fois le domicile du gérant et l'adresse de la société. Elle couvre deux EAN : électricité (100,16 hors TVA) et gaz (148,37 hors TVA). Total payé sur l'exercice : </w:t>
      </w:r>
      <w:r>
        <w:rPr>
          <w:b/>
          <w:bCs/>
        </w:rPr>
        <w:t xml:space="preserve">3.480,42</w:t>
      </w:r>
      <w:r>
        <w:t xml:space="preserve">. Thibault a confirmé le 12-09-2026 que BDH applique depuis des années une clé de répartition connue entre usage privé et professionnel, et sait ce qui est au nom de la société et ce qui est au sien. </w:t>
      </w:r>
      <w:r>
        <w:rPr>
          <w:b/>
          <w:bCs/>
        </w:rPr>
        <w:t xml:space="preserve">Ce point est donc repris ici pour information et pour le montant de l'exercice, pas comme une question.</w:t>
      </w:r>
    </w:p>
    <w:p>
      <w:pPr>
        <w:pStyle w:val="ListParagraph"/>
        <w:numPr>
          <w:ilvl w:val="0"/>
          <w:numId w:val="2"/>
        </w:numPr>
        <w:spacing w:after="100"/>
        <w:jc w:val="both"/>
      </w:pPr>
      <w:r>
        <w:rPr>
          <w:b/>
          <w:bCs/>
        </w:rPr>
        <w:t xml:space="preserve">Proximus : facture au nom de la société</w:t>
      </w:r>
      <w:r>
        <w:t xml:space="preserve">, avec son numéro de TVA (BE 0734.616.335) — rien à redire de ce côté.</w:t>
      </w:r>
    </w:p>
    <w:p>
      <w:pPr>
        <w:pStyle w:val="ListParagraph"/>
        <w:numPr>
          <w:ilvl w:val="0"/>
          <w:numId w:val="2"/>
        </w:numPr>
        <w:spacing w:after="100"/>
        <w:jc w:val="both"/>
      </w:pPr>
      <w:r>
        <w:rPr>
          <w:b/>
          <w:bCs/>
        </w:rPr>
        <w:t xml:space="preserve">Partena : au nom du gérant, et c'est normal.</w:t>
      </w:r>
      <w:r>
        <w:t xml:space="preserve"> L'avis d'échéance du 24-10-2025 est établi au nom de « Duchène Thibault » en tant qu'indépendant, et débité du compte de la société. Traitement habituel pour des cotisations sociales de dirigeant, mais à signaler à BDH.</w:t>
      </w:r>
    </w:p>
    <w:p>
      <w:pPr>
        <w:pStyle w:val="ListParagraph"/>
        <w:numPr>
          <w:ilvl w:val="0"/>
          <w:numId w:val="2"/>
        </w:numPr>
        <w:spacing w:after="100"/>
        <w:jc w:val="both"/>
      </w:pPr>
      <w:r>
        <w:rPr>
          <w:b/>
          <w:bCs/>
        </w:rPr>
        <w:t xml:space="preserve">Farys</w:t>
      </w:r>
      <w:r>
        <w:t xml:space="preserve"> : même question que pour ENGIE, à vérifier.</w:t>
      </w:r>
    </w:p>
    <w:p>
      <w:pPr>
        <w:pStyle w:val="ListParagraph"/>
        <w:numPr>
          <w:ilvl w:val="0"/>
          <w:numId w:val="2"/>
        </w:numPr>
        <w:spacing w:after="100"/>
        <w:jc w:val="both"/>
      </w:pPr>
      <w:r>
        <w:rPr>
          <w:b/>
          <w:bCs/>
        </w:rPr>
        <w:t xml:space="preserve">Indigo School : rien à signaler.</w:t>
      </w:r>
      <w:r>
        <w:t xml:space="preserve"> La facture FA002548 du 18-09-2025 est bien établie au nom de MT Cosmetics Belgium avec son numéro de TVA. Elle mentionne aussi Miriam Prudencio Garces comme destinataire, la même personne que sur les factures FedEx — c'est vraisemblablement elle qui a suivi la formation. À confirmer qu'elle travaille pour la société. La TVA de 109,34 est en principe récupérable (520,66 HT + 21 %).</w:t>
      </w:r>
    </w:p>
    <w:p>
      <w:pPr>
        <w:pStyle w:val="ListParagraph"/>
        <w:numPr>
          <w:ilvl w:val="0"/>
          <w:numId w:val="2"/>
        </w:numPr>
        <w:spacing w:after="100"/>
        <w:jc w:val="both"/>
      </w:pPr>
      <w:r>
        <w:rPr>
          <w:b/>
          <w:bCs/>
        </w:rPr>
        <w:t xml:space="preserve">Publicité Facebook : compte publicitaire d'un tiers.</w:t>
      </w:r>
      <w:r>
        <w:t xml:space="preserve"> Les 27 débits d'avril à juillet 2025 (688,03) ont été engagés depuis un compte Facebook qui n'est pas celui de Thibault (signalé le 11-09-2026). Les reçus Meta seront donc au nom du titulaire de ce compte, et non de la société, alors que la carte débitée est bien celle de la société. Deux questions pour BDH : la dépense est-elle déductible dans ces conditions, et faut-il la refacturer ou la requalifier ? Le numéro de TVA de la société n'est vraisemblablement pas enregistré sur ce compte publicitaire, donc TVA irlandaise probablement facturée et irrécupérable. Se procurer les reçus est possible mais compliqué, et ils porteront le nom d'un tiers. </w:t>
      </w:r>
      <w:r>
        <w:rPr>
          <w:b/>
          <w:bCs/>
        </w:rPr>
        <w:t xml:space="preserve">Question posée à BDH avant d'engager l'effort</w:t>
      </w:r>
      <w:r>
        <w:t xml:space="preserve"> : que faut-il au juste pour que les 688,03 tiennent ?</w:t>
      </w:r>
    </w:p>
    <w:p>
      <w:pPr>
        <w:pStyle w:val="ListParagraph"/>
        <w:numPr>
          <w:ilvl w:val="0"/>
          <w:numId w:val="3"/>
        </w:numPr>
        <w:spacing w:after="100"/>
        <w:jc w:val="both"/>
      </w:pPr>
      <w:r>
        <w:t xml:space="preserve">les 27 reçus Meta au nom du tiers, plus une attestation écrite de celui-ci confirmant que les campagnes visaient MT Cosmetics ;</w:t>
      </w:r>
    </w:p>
    <w:p>
      <w:pPr>
        <w:pStyle w:val="ListParagraph"/>
        <w:numPr>
          <w:ilvl w:val="0"/>
          <w:numId w:val="3"/>
        </w:numPr>
        <w:spacing w:after="100"/>
        <w:jc w:val="both"/>
      </w:pPr>
      <w:r>
        <w:t xml:space="preserve">une refacturation du tiers à la société pour le même montant ;</w:t>
      </w:r>
    </w:p>
    <w:p>
      <w:pPr>
        <w:pStyle w:val="ListParagraph"/>
        <w:numPr>
          <w:ilvl w:val="0"/>
          <w:numId w:val="3"/>
        </w:numPr>
        <w:spacing w:after="100"/>
        <w:jc w:val="both"/>
      </w:pPr>
      <w:r>
        <w:t xml:space="preserve">rien, et les 688,03 sont rejetés en dépense non admise — coût fiscal de 138 à 172 selon le taux applicable. L'élément décisif n'est pas le reçu mais </w:t>
      </w:r>
      <w:r>
        <w:rPr>
          <w:b/>
          <w:bCs/>
        </w:rPr>
        <w:t xml:space="preserve">ce que les campagnes promouvaient</w:t>
      </w:r>
      <w:r>
        <w:t xml:space="preserve"> : si c'est la page ou les produits de la société, le lien professionnel est établi.</w:t>
      </w:r>
    </w:p>
    <w:p>
      <w:pPr>
        <w:pStyle w:val="ListParagraph"/>
        <w:numPr>
          <w:ilvl w:val="0"/>
          <w:numId w:val="2"/>
        </w:numPr>
        <w:spacing w:after="100"/>
        <w:jc w:val="both"/>
      </w:pPr>
      <w:r>
        <w:rPr>
          <w:b/>
          <w:bCs/>
        </w:rPr>
        <w:t xml:space="preserve">Avances privées remboursées en entier : pas de justificatif demandé.</w:t>
      </w:r>
      <w:r>
        <w:t xml:space="preserve"> Le billet Air Europa Lima-Bruxelles (1.683,78 payé le 13-04, remboursé par Thibault le 23-04) et le séjour Sandaya Lyon (1.775,40 payé le 11-07, remboursé le 22-07) sont des dépenses privées passées par le compte de la société et rendues au centime quelques jours plus tard. La colonne Facture reçoit un X : l'extrait bancaire prouve l'aller et le retour. </w:t>
      </w:r>
      <w:r>
        <w:rPr>
          <w:b/>
          <w:bCs/>
        </w:rPr>
        <w:t xml:space="preserve">À valider par BDH :</w:t>
      </w:r>
      <w:r>
        <w:t xml:space="preserve"> ces deux paires devraient passer par le compte courant du gérant, et non en charge d'un côté et en produit de l'autre. Comptabilisées en charge/produit, elles gonflent de 3.459,18 les charges *et* les produits sans toucher au résultat, ce qui fausse le chiffre d'affaires. Même remarque pour l'achat Decathlon refacturé au RTC Lambermont (123,00) et le double paiement Electrabel (256,99).</w:t>
      </w:r>
    </w:p>
    <w:p>
      <w:pPr>
        <w:pStyle w:val="ListParagraph"/>
        <w:numPr>
          <w:ilvl w:val="0"/>
          <w:numId w:val="2"/>
        </w:numPr>
        <w:spacing w:after="100"/>
        <w:jc w:val="both"/>
      </w:pPr>
      <w:r>
        <w:rPr>
          <w:b/>
          <w:bCs/>
        </w:rPr>
        <w:t xml:space="preserve">Un projet unique : la boutique en ligne d'avril à juillet 2025.</w:t>
      </w:r>
      <w:r>
        <w:t xml:space="preserve"> Quatre postes du bilan se recoupent et forment un ensemble cohérent plutôt que des dépenses isolées :</w:t>
      </w:r>
    </w:p>
    <w:p>
      <w:pPr>
        <w:pStyle w:val="ListParagraph"/>
        <w:numPr>
          <w:ilvl w:val="1"/>
          <w:numId w:val="2"/>
        </w:numPr>
        <w:spacing w:after="100"/>
        <w:jc w:val="both"/>
      </w:pPr>
      <w:r>
        <w:rPr>
          <w:b/>
          <w:bCs/>
        </w:rPr>
        <w:t xml:space="preserve">Shopify</w:t>
      </w:r>
      <w:r>
        <w:t xml:space="preserve">, abonnement mensuel de boutique en ligne, du 07-04 au 06-07 (96,53 — factures 351488651, 363251007, 375321628, 387615031, facturées en USD d'où les montants variables) ;</w:t>
      </w:r>
    </w:p>
    <w:p>
      <w:pPr>
        <w:pStyle w:val="ListParagraph"/>
        <w:numPr>
          <w:ilvl w:val="1"/>
          <w:numId w:val="2"/>
        </w:numPr>
        <w:spacing w:after="100"/>
        <w:jc w:val="both"/>
      </w:pPr>
      <w:r>
        <w:rPr>
          <w:b/>
          <w:bCs/>
        </w:rPr>
        <w:t xml:space="preserve">Publicité Facebook</w:t>
      </w:r>
      <w:r>
        <w:t xml:space="preserve">, 27 débits du 01-04 au 01-07 (688,03), exactement la même fenêtre ;</w:t>
      </w:r>
    </w:p>
    <w:p>
      <w:pPr>
        <w:pStyle w:val="ListParagraph"/>
        <w:numPr>
          <w:ilvl w:val="1"/>
          <w:numId w:val="2"/>
        </w:numPr>
        <w:spacing w:after="100"/>
        <w:jc w:val="both"/>
      </w:pPr>
      <w:r>
        <w:rPr>
          <w:b/>
          <w:bCs/>
        </w:rPr>
        <w:t xml:space="preserve">FedEx</w:t>
      </w:r>
      <w:r>
        <w:t xml:space="preserve">, réceptions et expéditions de marchandise, aux deux factures établies au nom de Miriam Prudencio Garces ;</w:t>
      </w:r>
    </w:p>
    <w:p>
      <w:pPr>
        <w:pStyle w:val="ListParagraph"/>
        <w:numPr>
          <w:ilvl w:val="1"/>
          <w:numId w:val="2"/>
        </w:numPr>
        <w:spacing w:after="100"/>
        <w:jc w:val="both"/>
      </w:pPr>
      <w:r>
        <w:rPr>
          <w:b/>
          <w:bCs/>
        </w:rPr>
        <w:t xml:space="preserve">Formation Indigo Nails</w:t>
      </w:r>
      <w:r>
        <w:t xml:space="preserve"> du 24-09 (630,00), facturée à MT Cosmetics Belgium avec Miriam Prudencio Garces comme destinataire. L'abonnement Shopify commence et s'arrête en même temps que la campagne publicitaire : c'est une boutique lancée au printemps, alimentée par de la publicité, et arrêtée en été. Le compte publicitaire et le compte Shopify sont tous deux ouverts au nom de Miriam Prudencio Garces, la compagne du gérant. </w:t>
      </w:r>
      <w:r>
        <w:rPr>
          <w:b/>
          <w:bCs/>
        </w:rPr>
        <w:t xml:space="preserve">Conséquence pour le point 3 :</w:t>
      </w:r>
      <w:r>
        <w:t xml:space="preserve"> le lien professionnel des 688,03 de publicité n'est plus une supposition, il est corroboré par trois autres postes. Reste la question de la forme — des pièces au nom d'un tiers — et celle du rôle exact de Miriam dans la société, que BDH devra clarifier. </w:t>
      </w:r>
      <w:r>
        <w:rPr>
          <w:b/>
          <w:bCs/>
        </w:rPr>
        <w:t xml:space="preserve">Action :</w:t>
      </w:r>
      <w:r>
        <w:t xml:space="preserve"> une seule demande à Miriam pour les factures Shopify, les reçus Meta et le nom figurant sur le compte publicitaire — 784,56 d'un coup.</w:t>
      </w:r>
    </w:p>
    <w:p>
      <w:pPr>
        <w:pStyle w:val="Heading1"/>
        <w:pBdr>
          <w:bottom w:val="single" w:color="B8C4D0" w:sz="6" w:space="6"/>
        </w:pBdr>
        <w:spacing w:after="140" w:before="360"/>
      </w:pPr>
      <w:r>
        <w:t xml:space="preserve">4. Énergie — acomptes et décompte</w:t>
      </w:r>
    </w:p>
    <w:p>
      <w:pPr>
        <w:spacing w:after="120"/>
        <w:jc w:val="both"/>
      </w:pPr>
      <w:r>
        <w:t xml:space="preserve">Les 3.480,42 payés en 2025 sont des acomptes mensuels (« voorschotfactuur »), sauf les 356,79 du 19-07 qui sont le décompte annuel. La charge réelle de l'exercice dépend du décompte à venir : cut-off à valider.</w:t>
      </w:r>
    </w:p>
    <w:p>
      <w:pPr>
        <w:spacing w:after="120"/>
        <w:jc w:val="both"/>
      </w:pPr>
      <w:r>
        <w:t xml:space="preserve">La facture de décembre confirme que </w:t>
      </w:r>
      <w:r>
        <w:rPr>
          <w:b/>
          <w:bCs/>
        </w:rPr>
        <w:t xml:space="preserve">le contrat d'un an s'est terminé le 16-12-2025</w:t>
      </w:r>
      <w:r>
        <w:t xml:space="preserve">. Un décompte de fin de période doit donc exister : il n'apparaît sur aucun extrait de 2026 jusqu'en août. À réclamer à ENGIE.</w:t>
      </w:r>
    </w:p>
    <w:p>
      <w:pPr>
        <w:spacing w:after="120"/>
        <w:jc w:val="both"/>
      </w:pPr>
      <w:r>
        <w:t xml:space="preserve">Elle confirme aussi les </w:t>
      </w:r>
      <w:r>
        <w:rPr>
          <w:b/>
          <w:bCs/>
        </w:rPr>
        <w:t xml:space="preserve">7,50 de frais de rappel</w:t>
      </w:r>
      <w:r>
        <w:t xml:space="preserve"> mentionnés au verso, ce qui valide la lecture de la double facture de novembre (270,94 = 263,44 + 7,50).</w:t>
      </w:r>
    </w:p>
    <w:p>
      <w:pPr>
        <w:pStyle w:val="Heading1"/>
        <w:pBdr>
          <w:bottom w:val="single" w:color="B8C4D0" w:sz="6" w:space="6"/>
        </w:pBdr>
        <w:spacing w:after="140" w:before="360"/>
      </w:pPr>
      <w:r>
        <w:t xml:space="preserve">5. Facturation Lambermont</w:t>
      </w:r>
    </w:p>
    <w:p>
      <w:pPr>
        <w:pStyle w:val="ListParagraph"/>
        <w:numPr>
          <w:ilvl w:val="0"/>
          <w:numId w:val="2"/>
        </w:numPr>
        <w:spacing w:after="100"/>
        <w:jc w:val="both"/>
      </w:pPr>
      <w:r>
        <w:rPr>
          <w:b/>
          <w:bCs/>
        </w:rPr>
        <w:t xml:space="preserve">LAM2509 et LAM2513</w:t>
      </w:r>
      <w:r>
        <w:t xml:space="preserve"> : encaissés sans numéro de facture dans la communication (7.130,00 le 24-07 et 4.525,72 le 29-10). Numéros reconstitués par déduction, à confirmer sur le facturier.</w:t>
      </w:r>
    </w:p>
    <w:p>
      <w:pPr>
        <w:pStyle w:val="ListParagraph"/>
        <w:numPr>
          <w:ilvl w:val="0"/>
          <w:numId w:val="2"/>
        </w:numPr>
        <w:spacing w:after="100"/>
        <w:jc w:val="both"/>
      </w:pPr>
      <w:r>
        <w:rPr>
          <w:b/>
          <w:bCs/>
        </w:rPr>
        <w:t xml:space="preserve">LAM2512 13.994,00</w:t>
      </w:r>
      <w:r>
        <w:t xml:space="preserve"> (27-10) : montant inhabituel, facture assujettie à la TVA comme LAM2412 en 2024 ?</w:t>
      </w:r>
    </w:p>
    <w:p>
      <w:pPr>
        <w:pStyle w:val="Heading1"/>
        <w:pBdr>
          <w:bottom w:val="single" w:color="B8C4D0" w:sz="6" w:space="6"/>
        </w:pBdr>
        <w:spacing w:after="140" w:before="360"/>
      </w:pPr>
      <w:r>
        <w:t xml:space="preserve">6. Exercice 2026</w:t>
      </w:r>
    </w:p>
    <w:p>
      <w:pPr>
        <w:pStyle w:val="ListParagraph"/>
        <w:numPr>
          <w:ilvl w:val="0"/>
          <w:numId w:val="2"/>
        </w:numPr>
        <w:spacing w:after="100"/>
        <w:jc w:val="both"/>
      </w:pPr>
      <w:r>
        <w:rPr>
          <w:b/>
          <w:bCs/>
        </w:rPr>
        <w:t xml:space="preserve">David Lloyd 3.567,75</w:t>
      </w:r>
      <w:r>
        <w:t xml:space="preserve"> sur huit mois, dont une domiciliation mensuelle de 493,00 depuis juin : usage professionnel à confirmer.</w:t>
      </w:r>
    </w:p>
    <w:p>
      <w:pPr>
        <w:pStyle w:val="ListParagraph"/>
        <w:numPr>
          <w:ilvl w:val="0"/>
          <w:numId w:val="2"/>
        </w:numPr>
        <w:spacing w:after="100"/>
        <w:jc w:val="both"/>
      </w:pPr>
      <w:r>
        <w:rPr>
          <w:b/>
          <w:bCs/>
        </w:rPr>
        <w:t xml:space="preserve">FitRaw 81,90</w:t>
      </w:r>
      <w:r>
        <w:t xml:space="preserve"> : même question.</w:t>
      </w:r>
    </w:p>
    <w:p>
      <w:pPr>
        <w:pStyle w:val="ListParagraph"/>
        <w:numPr>
          <w:ilvl w:val="0"/>
          <w:numId w:val="2"/>
        </w:numPr>
        <w:spacing w:after="100"/>
        <w:jc w:val="both"/>
      </w:pPr>
      <w:r>
        <w:rPr>
          <w:b/>
          <w:bCs/>
        </w:rPr>
        <w:t xml:space="preserve">Dépôt d'espèces 2.600,00</w:t>
      </w:r>
      <w:r>
        <w:t xml:space="preserve"> (09-03-2026, communication « PAIEMENTS ») : origine des fonds à documenter.</w:t>
      </w:r>
    </w:p>
    <w:p>
      <w:pPr>
        <w:pStyle w:val="ListParagraph"/>
        <w:numPr>
          <w:ilvl w:val="0"/>
          <w:numId w:val="2"/>
        </w:numPr>
        <w:spacing w:after="100"/>
        <w:jc w:val="both"/>
      </w:pPr>
      <w:r>
        <w:rPr>
          <w:b/>
          <w:bCs/>
        </w:rPr>
        <w:t xml:space="preserve">Voyages Italie (avril) et Côte d'Azur (août)</w:t>
      </w:r>
      <w:r>
        <w:t xml:space="preserve"> : hôtels et billets remboursés par le gérant, mais pas les frais sur place.</w:t>
      </w:r>
    </w:p>
    <w:p>
      <w:pPr>
        <w:pStyle w:val="Heading1"/>
        <w:pBdr>
          <w:bottom w:val="single" w:color="B8C4D0" w:sz="6" w:space="6"/>
        </w:pBdr>
        <w:spacing w:after="140" w:before="360"/>
      </w:pPr>
      <w:r>
        <w:t xml:space="preserve">7. Rattachement d'exercice</w:t>
      </w:r>
    </w:p>
    <w:p>
      <w:pPr>
        <w:pStyle w:val="ListParagraph"/>
        <w:numPr>
          <w:ilvl w:val="0"/>
          <w:numId w:val="2"/>
        </w:numPr>
        <w:spacing w:after="100"/>
        <w:jc w:val="both"/>
      </w:pPr>
      <w:r>
        <w:t xml:space="preserve">Les charges de décembre 2025 débitées début janvier 2026 (précompte salarial 2.250,00 et SD Worx 331,85) sont comptées dans le bilan 2025, par symétrie avec ce qui avait été fait fin 2024. </w:t>
      </w:r>
      <w:r>
        <w:rPr>
          <w:b/>
          <w:bCs/>
        </w:rPr>
        <w:t xml:space="preserve">Règle tranchée par BDH : rattachement à la DATE DE FACTURE.</w:t>
      </w:r>
      <w:r>
        <w:t xml:space="preserve"> Appliquée le 11-09-2026 aux deux bilans. Conséquences :</w:t>
      </w:r>
    </w:p>
    <w:p>
      <w:pPr>
        <w:pStyle w:val="ListParagraph"/>
        <w:numPr>
          <w:ilvl w:val="0"/>
          <w:numId w:val="2"/>
        </w:numPr>
        <w:spacing w:after="100"/>
        <w:jc w:val="both"/>
      </w:pPr>
      <w:r>
        <w:t xml:space="preserve">Sorties du bilan 2025 : les trois factures BDH datées de 2024 (20240512, 20240616, 20240705) payées le 30-01-2025, soit 1.657,70.</w:t>
      </w:r>
    </w:p>
    <w:p>
      <w:pPr>
        <w:pStyle w:val="ListParagraph"/>
        <w:numPr>
          <w:ilvl w:val="0"/>
          <w:numId w:val="2"/>
        </w:numPr>
        <w:spacing w:after="100"/>
        <w:jc w:val="both"/>
      </w:pPr>
      <w:r>
        <w:t xml:space="preserve">Entrées au bilan 2025 : la facture BDH 20250542 (1.179,75) payée le 28-01-2026 et la facture FedEx 799056072 du 23-12-2025 (11,84) payée le 10-02-2026. Les deux quittent le bilan 2026.</w:t>
      </w:r>
    </w:p>
    <w:p>
      <w:pPr>
        <w:pStyle w:val="ListParagraph"/>
        <w:numPr>
          <w:ilvl w:val="0"/>
          <w:numId w:val="2"/>
        </w:numPr>
        <w:spacing w:after="100"/>
        <w:jc w:val="both"/>
      </w:pPr>
      <w:r>
        <w:t xml:space="preserve">Résultat 2025 : de +2.915,81 à +3.381,92, puis à </w:t>
      </w:r>
      <w:r>
        <w:rPr>
          <w:b/>
          <w:bCs/>
        </w:rPr>
        <w:t xml:space="preserve">+3.409,82</w:t>
      </w:r>
      <w:r>
        <w:t xml:space="preserve"> après la sortie du péage Ulys (voir plus bas). Résultat 2026 provisoire : de −284,70 à </w:t>
      </w:r>
      <w:r>
        <w:rPr>
          <w:b/>
          <w:bCs/>
        </w:rPr>
        <w:t xml:space="preserve">+906,89</w:t>
      </w:r>
      <w:r>
        <w:t xml:space="preserve">.</w:t>
      </w:r>
    </w:p>
    <w:p>
      <w:pPr>
        <w:pStyle w:val="ListParagraph"/>
        <w:numPr>
          <w:ilvl w:val="0"/>
          <w:numId w:val="2"/>
        </w:numPr>
        <w:spacing w:after="100"/>
        <w:jc w:val="both"/>
      </w:pPr>
      <w:r>
        <w:t xml:space="preserve">La facture BDH 20250542 est placée en décembre 2025 : validé par Thibault le 11-09-2026.</w:t>
      </w:r>
    </w:p>
    <w:p>
      <w:pPr>
        <w:pStyle w:val="ListParagraph"/>
        <w:numPr>
          <w:ilvl w:val="0"/>
          <w:numId w:val="2"/>
        </w:numPr>
        <w:spacing w:after="100"/>
        <w:jc w:val="both"/>
      </w:pPr>
      <w:r>
        <w:rPr>
          <w:b/>
          <w:bCs/>
        </w:rPr>
        <w:t xml:space="preserve">À vérifier au fil des pièces qui arrivent</w:t>
      </w:r>
      <w:r>
        <w:t xml:space="preserve"> : toute facture datée de 2025 payée en 2026, ou datée de 2024 payée en 2025, doit suivre le même chemin. Les candidats sont les fournisseurs récurrents (Electrabel, Farys, Proximus, Partena, assurance voiture) dont les paiements de début 2026 pourraient couvrir des factures de fin 2025.</w:t>
      </w:r>
    </w:p>
    <w:p>
      <w:pPr>
        <w:pStyle w:val="ListParagraph"/>
        <w:numPr>
          <w:ilvl w:val="0"/>
          <w:numId w:val="2"/>
        </w:numPr>
        <w:spacing w:after="100"/>
        <w:jc w:val="both"/>
      </w:pPr>
      <w:r>
        <w:rPr>
          <w:b/>
          <w:bCs/>
        </w:rPr>
        <w:t xml:space="preserve">Telenet : réglé.</w:t>
      </w:r>
      <w:r>
        <w:t xml:space="preserve"> La dernière facture date d'août 2025, payée le 01-09-2025. L'absence de paiement d'octobre à décembre est normale, il n'y a rien à récupérer.</w:t>
      </w:r>
    </w:p>
    <w:p>
      <w:pPr>
        <w:pStyle w:val="ListParagraph"/>
        <w:numPr>
          <w:ilvl w:val="0"/>
          <w:numId w:val="2"/>
        </w:numPr>
        <w:spacing w:after="100"/>
        <w:jc w:val="both"/>
      </w:pPr>
      <w:r>
        <w:rPr>
          <w:b/>
          <w:bCs/>
        </w:rPr>
        <w:t xml:space="preserve">ENGIE et Proximus : vérifiés.</w:t>
      </w:r>
      <w:r>
        <w:t xml:space="preserve"> Factures de décembre 2025 datées des 8 et 9 décembre, payées le 16-12-2025. Rien à basculer.</w:t>
      </w:r>
    </w:p>
    <w:p>
      <w:pPr>
        <w:pStyle w:val="ListParagraph"/>
        <w:numPr>
          <w:ilvl w:val="0"/>
          <w:numId w:val="2"/>
        </w:numPr>
        <w:spacing w:after="100"/>
        <w:jc w:val="both"/>
      </w:pPr>
      <w:r>
        <w:rPr>
          <w:b/>
          <w:bCs/>
        </w:rPr>
        <w:t xml:space="preserve">Partena : vérifié.</w:t>
      </w:r>
      <w:r>
        <w:t xml:space="preserve"> L'avis du 24-10-2025 couvre le 4e trimestre 2025, payé le 18-11-2025, et atteste que les quatre trimestres de 2025 ont été réglés dans l'année (4 × 1.441,87 = 5.767,48, plus la régularisation de 3.014,00 de mars). Rien à basculer.</w:t>
      </w:r>
    </w:p>
    <w:p>
      <w:pPr>
        <w:pStyle w:val="ListParagraph"/>
        <w:numPr>
          <w:ilvl w:val="0"/>
          <w:numId w:val="2"/>
        </w:numPr>
        <w:spacing w:after="100"/>
        <w:jc w:val="both"/>
      </w:pPr>
      <w:r>
        <w:rPr>
          <w:b/>
          <w:bCs/>
        </w:rPr>
        <w:t xml:space="preserve">Farys : vérifié.</w:t>
      </w:r>
      <w:r>
        <w:t xml:space="preserve"> Quatre factures 2025 (290,00 en février, 290,00 en mai, 300,00 en septembre, 172,14 en octobre), toutes datées de 2025.</w:t>
      </w:r>
    </w:p>
    <w:p>
      <w:pPr>
        <w:pStyle w:val="ListParagraph"/>
        <w:numPr>
          <w:ilvl w:val="0"/>
          <w:numId w:val="2"/>
        </w:numPr>
        <w:spacing w:after="100"/>
        <w:jc w:val="both"/>
      </w:pPr>
      <w:r>
        <w:rPr>
          <w:b/>
          <w:bCs/>
        </w:rPr>
        <w:t xml:space="preserve">AG Insurance : vérifié.</w:t>
      </w:r>
      <w:r>
        <w:t xml:space="preserve"> Prime trimestrielle de la police 037524039, échéances des 10-01, 10-04, 10-07 et 10-10-2025 (431,25 × 2 puis 458,66 × 2, la prime ayant été relevée au 3e trimestre). L'échéance du 10-01-2026 est bien sur 2026. Rien à basculer.</w:t>
      </w:r>
    </w:p>
    <w:p>
      <w:pPr>
        <w:pStyle w:val="ListParagraph"/>
        <w:numPr>
          <w:ilvl w:val="0"/>
          <w:numId w:val="2"/>
        </w:numPr>
        <w:spacing w:after="100"/>
        <w:jc w:val="both"/>
      </w:pPr>
      <w:r>
        <w:rPr>
          <w:b/>
          <w:bCs/>
        </w:rPr>
        <w:t xml:space="preserve">Ulys / ASF (péages) : une ligne sortie.</w:t>
      </w:r>
      <w:r>
        <w:t xml:space="preserve"> Le prélèvement de 27,90 du 20-01-2025 couvre la consommation de décembre 2024 et la facture est datée de 2024 (confirmé par Thibault le 11-09-2026) : la ligne quitte le bilan</w:t>
      </w:r>
    </w:p>
    <w:p>
      <w:pPr>
        <w:pStyle w:val="ListParagraph"/>
        <w:numPr>
          <w:ilvl w:val="0"/>
          <w:numId w:val="3"/>
        </w:numPr>
        <w:spacing w:after="100"/>
        <w:jc w:val="both"/>
      </w:pPr>
      <w:r>
        <w:t xml:space="preserve">Les trois autres (34,40 juin, 73,90 juillet, 101,20 août) restent. À signaler : ces 27,90 ne figurent dans aucun des deux bilans, le bilan 2024 ayant été établi sur la date de paiement. Thibault a malgré tout chargé la facture dans Billtobox le 11-09-2026 : c'est à BDH de décider s'il la rattache à 2024, à 2025, ou s'il la laisse tomber. Même situation pour les trois factures BDH de 2024 (1.657,70), où l'enjeu est autrement plus lourd.</w:t>
      </w:r>
    </w:p>
    <w:p>
      <w:pPr>
        <w:pStyle w:val="Heading1"/>
        <w:pBdr>
          <w:bottom w:val="single" w:color="B8C4D0" w:sz="6" w:space="6"/>
        </w:pBdr>
        <w:spacing w:after="140" w:before="360"/>
      </w:pPr>
      <w:r>
        <w:t xml:space="preserve">8. Organisation pour 2026 — passer en facturation électronique</w:t>
      </w:r>
    </w:p>
    <w:p>
      <w:pPr>
        <w:spacing w:after="120"/>
        <w:jc w:val="both"/>
      </w:pPr>
      <w:r>
        <w:t xml:space="preserve">Les pièces 2025 se sont réparties en deux camps très nets, et c'est le second qui a coûté tout le temps de recherche.</w:t>
      </w:r>
    </w:p>
    <w:p>
      <w:pPr>
        <w:spacing w:after="120"/>
        <w:jc w:val="both"/>
      </w:pPr>
      <w:r>
        <w:rPr>
          <w:b/>
          <w:bCs/>
        </w:rPr>
        <w:t xml:space="preserve">Récupérées en quelques clics, en ligne :</w:t>
      </w:r>
      <w:r>
        <w:t xml:space="preserve"> ENGIE, Proximus, Telenet, Farys, Partena, SD Worx, Ulys/ASF, Shopify, Indigo School.</w:t>
      </w:r>
    </w:p>
    <w:p>
      <w:pPr>
        <w:spacing w:after="120"/>
        <w:jc w:val="both"/>
      </w:pPr>
      <w:r>
        <w:rPr>
          <w:b/>
          <w:bCs/>
        </w:rPr>
        <w:t xml:space="preserve">Arrivées sur papier, donc à redemander une par une :</w:t>
      </w:r>
      <w:r>
        <w:t xml:space="preserve"> AG Insurance (4 avis d'échéance, 1.779,82), Xerius (cotisation annuelle société, 399,73), LRS Insurance (RC professionnelle, 55,04). Ces trois-là ont été payées par virement encodé à la main — le 16-12-2025 pour Xerius et LRS, le même jour, signe qu'elles étaient posées sur le bureau sous forme papier. Les documents ont été jetés après paiement, dans l'idée qu'ils seraient retrouvables en ligne ; ils ne l'étaient pas.</w:t>
      </w:r>
    </w:p>
    <w:p>
      <w:pPr>
        <w:spacing w:after="120"/>
        <w:jc w:val="both"/>
      </w:pPr>
      <w:r>
        <w:rPr>
          <w:b/>
          <w:bCs/>
        </w:rPr>
        <w:t xml:space="preserve">À faire pour l'exercice 2026 :</w:t>
      </w:r>
    </w:p>
    <w:p>
      <w:pPr>
        <w:pStyle w:val="ListParagraph"/>
        <w:numPr>
          <w:ilvl w:val="0"/>
          <w:numId w:val="2"/>
        </w:numPr>
        <w:spacing w:after="100"/>
        <w:jc w:val="both"/>
      </w:pPr>
      <w:r>
        <w:t xml:space="preserve">demander à </w:t>
      </w:r>
      <w:r>
        <w:rPr>
          <w:b/>
          <w:bCs/>
        </w:rPr>
        <w:t xml:space="preserve">AG Insurance</w:t>
      </w:r>
      <w:r>
        <w:t xml:space="preserve">, </w:t>
      </w:r>
      <w:r>
        <w:rPr>
          <w:b/>
          <w:bCs/>
        </w:rPr>
        <w:t xml:space="preserve">Xerius</w:t>
      </w:r>
      <w:r>
        <w:t xml:space="preserve"> et </w:t>
      </w:r>
      <w:r>
        <w:rPr>
          <w:b/>
          <w:bCs/>
        </w:rPr>
        <w:t xml:space="preserve">LRS Insurance</w:t>
      </w:r>
      <w:r>
        <w:t xml:space="preserve"> l'envoi électronique des avis et quittances, et noter le numéro de police ou de dossier de chacun ;</w:t>
      </w:r>
    </w:p>
    <w:p>
      <w:pPr>
        <w:pStyle w:val="ListParagraph"/>
        <w:numPr>
          <w:ilvl w:val="0"/>
          <w:numId w:val="2"/>
        </w:numPr>
        <w:spacing w:after="100"/>
        <w:jc w:val="both"/>
      </w:pPr>
      <w:r>
        <w:t xml:space="preserve">ouvrir un accès en ligne chez ceux qui en proposent un, ou à défaut faire adresser les documents à une adresse mail dédiée ;</w:t>
      </w:r>
    </w:p>
    <w:p>
      <w:pPr>
        <w:pStyle w:val="ListParagraph"/>
        <w:numPr>
          <w:ilvl w:val="0"/>
          <w:numId w:val="2"/>
        </w:numPr>
        <w:spacing w:after="100"/>
        <w:jc w:val="both"/>
      </w:pPr>
      <w:r>
        <w:t xml:space="preserve">ne plus jeter une pièce papier avant de l'avoir chargée dans Billtobox : la photographier suffit, le format PDF a très bien fonctionné cette année.</w:t>
      </w:r>
    </w:p>
    <w:p>
      <w:pPr>
        <w:spacing w:after="120"/>
        <w:jc w:val="both"/>
      </w:pPr>
      <w:r>
        <w:t xml:space="preserve">Références utiles à conserver :</w:t>
      </w:r>
    </w:p>
    <w:p>
      <w:pPr>
        <w:pStyle w:val="ListParagraph"/>
        <w:numPr>
          <w:ilvl w:val="0"/>
          <w:numId w:val="2"/>
        </w:numPr>
        <w:spacing w:after="100"/>
        <w:jc w:val="both"/>
      </w:pPr>
      <w:r>
        <w:t xml:space="preserve">AG Insurance — police 037524039, mandat de domiciliation 303347978</w:t>
      </w:r>
    </w:p>
    <w:p>
      <w:pPr>
        <w:pStyle w:val="ListParagraph"/>
        <w:numPr>
          <w:ilvl w:val="0"/>
          <w:numId w:val="2"/>
        </w:numPr>
        <w:spacing w:after="100"/>
        <w:jc w:val="both"/>
      </w:pPr>
      <w:r>
        <w:t xml:space="preserve">Xerius — communication 925/3695/86745, compte BE13 4100 6416 7139</w:t>
      </w:r>
    </w:p>
    <w:p>
      <w:pPr>
        <w:pStyle w:val="ListParagraph"/>
        <w:numPr>
          <w:ilvl w:val="0"/>
          <w:numId w:val="2"/>
        </w:numPr>
        <w:spacing w:after="100"/>
        <w:jc w:val="both"/>
      </w:pPr>
      <w:r>
        <w:t xml:space="preserve">LRS Insurance — communication 025/0074/58347, compte BE37 7360 3695 3428</w:t>
      </w:r>
    </w:p>
    <w:p>
      <w:pPr>
        <w:pStyle w:val="ListParagraph"/>
        <w:numPr>
          <w:ilvl w:val="0"/>
          <w:numId w:val="2"/>
        </w:numPr>
        <w:spacing w:after="100"/>
        <w:jc w:val="both"/>
      </w:pPr>
      <w:r>
        <w:t xml:space="preserve">Ulys / ASF — contrat 0046686176</w:t>
      </w:r>
    </w:p>
    <w:sectPr>
      <w:footerReference w:type="default" r:id="rId7"/>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Calibri" w:cs="Calibri" w:eastAsia="Calibri" w:hAnsi="Calibri"/>
      <w:b/>
      <w:bCs/>
      <w:color w:val="1F3864"/>
      <w:sz w:val="36"/>
      <w:szCs w:val="36"/>
    </w:rPr>
  </w:style>
  <w:style w:type="paragraph" w:styleId="Heading1">
    <w:name w:val="Heading 1"/>
    <w:basedOn w:val="Normal"/>
    <w:next w:val="Normal"/>
    <w:qFormat/>
    <w:rPr>
      <w:rFonts w:ascii="Calibri" w:cs="Calibri" w:eastAsia="Calibri" w:hAnsi="Calibr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Points à trancher avec BDH</dc:title>
  <dc:creator>BV MT Cosmetics Belgium</dc:creator>
  <cp:lastModifiedBy>Un-named</cp:lastModifiedBy>
  <cp:revision>1</cp:revision>
  <dcterms:created xsi:type="dcterms:W3CDTF">2026-09-12T21:56:43.927Z</dcterms:created>
  <dcterms:modified xsi:type="dcterms:W3CDTF">2026-09-12T21:56:43.927Z</dcterms:modified>
</cp:coreProperties>
</file>

<file path=docProps/custom.xml><?xml version="1.0" encoding="utf-8"?>
<Properties xmlns="http://schemas.openxmlformats.org/officeDocument/2006/custom-properties" xmlns:vt="http://schemas.openxmlformats.org/officeDocument/2006/docPropsVTypes"/>
</file>