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133"/>
        <w:tblBorders>
          <w:top w:val="none" w:color="FFFFFF" w:sz="0"/>
          <w:left w:val="none" w:color="FFFFFF" w:sz="0"/>
          <w:bottom w:val="none" w:color="FFFFFF" w:sz="0"/>
          <w:right w:val="none" w:color="FFFFFF" w:sz="0"/>
          <w:insideH w:val="none" w:color="FFFFFF" w:sz="0"/>
          <w:insideV w:val="none" w:color="FFFFFF" w:sz="0"/>
        </w:tblBorders>
      </w:tblPr>
      <w:tblGrid>
        <w:gridCol w:w="5385"/>
        <w:gridCol w:w="9751"/>
      </w:tblGrid>
      <w:tr>
        <w:tc>
          <w:tcPr>
            <w:tcW w:type="dxa" w:w="5385"/>
            <w:tcMar>
              <w:top w:type="dxa" w:w="0"/>
              <w:left w:type="dxa" w:w="0"/>
              <w:bottom w:type="dxa" w:w="0"/>
              <w:right w:type="dxa" w:w="226"/>
            </w:tcMar>
            <w:vAlign w:val="center"/>
          </w:tcPr>
          <w:p>
            <w:pPr>
              <w:spacing w:after="0"/>
            </w:pPr>
            <w:r>
              <w:drawing>
                <wp:inline distT="0" distB="0" distL="0" distR="0">
                  <wp:extent cx="17716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71650" cy="504825"/>
                          </a:xfrm>
                          <a:prstGeom prst="rect">
                            <a:avLst/>
                          </a:prstGeom>
                        </pic:spPr>
                      </pic:pic>
                    </a:graphicData>
                  </a:graphic>
                </wp:inline>
              </w:drawing>
            </w:r>
          </w:p>
        </w:tc>
        <w:tc>
          <w:tcPr>
            <w:tcW w:type="dxa" w:w="9751"/>
            <w:tcMar>
              <w:top w:type="dxa" w:w="0"/>
              <w:left w:type="dxa" w:w="226"/>
              <w:bottom w:type="dxa" w:w="0"/>
              <w:right w:type="dxa" w:w="0"/>
            </w:tcMar>
            <w:vAlign w:val="center"/>
          </w:tcPr>
          <w:p>
            <w:pPr>
              <w:spacing w:after="30" w:before="0" w:line="240"/>
              <w:jc w:val="right"/>
            </w:pPr>
            <w:r>
              <w:rPr>
                <w:rFonts w:ascii="Calibri" w:cs="Calibri" w:eastAsia="Calibri" w:hAnsi="Calibri"/>
                <w:b/>
                <w:bCs/>
                <w:color w:val="C0392B"/>
                <w:sz w:val="30"/>
                <w:szCs w:val="30"/>
              </w:rPr>
              <w:t xml:space="preserve">THÈMES DES COURS</w:t>
            </w:r>
          </w:p>
          <w:p>
            <w:pPr>
              <w:spacing w:after="20" w:before="0" w:line="240"/>
              <w:jc w:val="right"/>
            </w:pPr>
            <w:r>
              <w:rPr>
                <w:rFonts w:ascii="Calibri" w:cs="Calibri" w:eastAsia="Calibri" w:hAnsi="Calibri"/>
                <w:i/>
                <w:iCs/>
                <w:color w:val="6E6E6E"/>
                <w:sz w:val="20"/>
                <w:szCs w:val="20"/>
              </w:rPr>
              <w:t xml:space="preserve">Saison hiver 2026-2027</w:t>
            </w:r>
          </w:p>
          <w:p>
            <w:pPr>
              <w:spacing w:after="0" w:before="0" w:line="240"/>
              <w:jc w:val="right"/>
            </w:pPr>
            <w:r>
              <w:rPr>
                <w:rFonts w:ascii="Calibri" w:cs="Calibri" w:eastAsia="Calibri" w:hAnsi="Calibri"/>
                <w:b/>
                <w:bCs/>
                <w:color w:val="8A9E28"/>
                <w:sz w:val="18"/>
                <w:szCs w:val="18"/>
              </w:rPr>
              <w:t xml:space="preserve">Début des cours : lundi 28 septembre 2026</w:t>
            </w:r>
          </w:p>
        </w:tc>
      </w:tr>
    </w:tbl>
    <w:p>
      <w:pPr>
        <w:pBdr>
          <w:bottom w:val="single" w:color="8A9E28" w:sz="8" w:space="4"/>
        </w:pBdr>
        <w:spacing w:after="50" w:before="0" w:line="240"/>
      </w:pPr>
      <w:r>
        <w:rPr>
          <w:rFonts w:ascii="Calibri" w:cs="Calibri" w:eastAsia="Calibri" w:hAnsi="Calibri"/>
          <w:color w:val="2E2E2E"/>
          <w:sz w:val="6"/>
          <w:szCs w:val="6"/>
        </w:rPr>
        <w:t xml:space="preserve"/>
      </w:r>
    </w:p>
    <w:tbl>
      <w:tblPr>
        <w:tblW w:type="dxa" w:w="15133"/>
        <w:tblBorders>
          <w:top w:val="single" w:color="8A9E28" w:sz="6"/>
          <w:left w:val="single" w:color="8A9E28" w:sz="6"/>
          <w:bottom w:val="single" w:color="8A9E28" w:sz="6"/>
          <w:right w:val="single" w:color="8A9E28" w:sz="6"/>
          <w:insideH w:val="single" w:color="C9C9C9" w:sz="4"/>
          <w:insideV w:val="single" w:color="C9C9C9" w:sz="4"/>
        </w:tblBorders>
      </w:tblPr>
      <w:tblGrid>
        <w:gridCol w:w="1530"/>
        <w:gridCol w:w="1927"/>
        <w:gridCol w:w="1927"/>
        <w:gridCol w:w="3174"/>
        <w:gridCol w:w="3174"/>
        <w:gridCol w:w="3401"/>
      </w:tblGrid>
      <w:tr>
        <w:trPr>
          <w:tblHeader/>
          <w:trHeight w:val="425" w:hRule="atLeast"/>
        </w:trPr>
        <w:tc>
          <w:tcPr>
            <w:tcW w:type="dxa" w:w="1530"/>
            <w:shd w:fill="8A9E28"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FFFFFF"/>
                <w:sz w:val="16"/>
                <w:szCs w:val="16"/>
              </w:rPr>
              <w:t xml:space="preserve">Semaine</w:t>
            </w:r>
          </w:p>
        </w:tc>
        <w:tc>
          <w:tcPr>
            <w:tcW w:type="dxa" w:w="1927"/>
            <w:shd w:fill="8A9E28"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FFFFFF"/>
                <w:sz w:val="16"/>
                <w:szCs w:val="16"/>
              </w:rPr>
              <w:t xml:space="preserve">Petits 1ère année</w:t>
            </w:r>
          </w:p>
        </w:tc>
        <w:tc>
          <w:tcPr>
            <w:tcW w:type="dxa" w:w="1927"/>
            <w:shd w:fill="8A9E28"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FFFFFF"/>
                <w:sz w:val="16"/>
                <w:szCs w:val="16"/>
              </w:rPr>
              <w:t xml:space="preserve">Petits 2e année</w:t>
            </w:r>
          </w:p>
        </w:tc>
        <w:tc>
          <w:tcPr>
            <w:tcW w:type="dxa" w:w="3174"/>
            <w:shd w:fill="8A9E28"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FFFFFF"/>
                <w:sz w:val="16"/>
                <w:szCs w:val="16"/>
              </w:rPr>
              <w:t xml:space="preserve">Orange – vert débutants</w:t>
            </w:r>
          </w:p>
        </w:tc>
        <w:tc>
          <w:tcPr>
            <w:tcW w:type="dxa" w:w="3174"/>
            <w:shd w:fill="8A9E28"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FFFFFF"/>
                <w:sz w:val="16"/>
                <w:szCs w:val="16"/>
              </w:rPr>
              <w:t xml:space="preserve">Loisirs et adultes</w:t>
            </w:r>
          </w:p>
        </w:tc>
        <w:tc>
          <w:tcPr>
            <w:tcW w:type="dxa" w:w="3401"/>
            <w:shd w:fill="8A9E28"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FFFFFF"/>
                <w:sz w:val="16"/>
                <w:szCs w:val="16"/>
              </w:rPr>
              <w:t xml:space="preserve">Compétition</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w:t>
            </w:r>
            <w:r>
              <w:rPr>
                <w:rFonts w:ascii="Calibri" w:cs="Calibri" w:eastAsia="Calibri" w:hAnsi="Calibri"/>
                <w:color w:val="6E6E6E"/>
                <w:sz w:val="15"/>
                <w:szCs w:val="15"/>
              </w:rPr>
              <w:t xml:space="preserve">   28/09</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Prise de contact – Impact</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Prise de contact – Impact</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Prise de contact – filmer / analyse. Fixation des objectifs individualisés</w:t>
            </w:r>
          </w:p>
        </w:tc>
      </w:tr>
      <w:tr>
        <w:trPr>
          <w:trHeight w:val="334" w:hRule="atLeast"/>
        </w:trPr>
        <w:tc>
          <w:tcPr>
            <w:tcW w:type="dxa" w:w="1530"/>
            <w:shd w:fill="FAFAF6"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2</w:t>
            </w:r>
            <w:r>
              <w:rPr>
                <w:rFonts w:ascii="Calibri" w:cs="Calibri" w:eastAsia="Calibri" w:hAnsi="Calibri"/>
                <w:color w:val="6E6E6E"/>
                <w:sz w:val="15"/>
                <w:szCs w:val="15"/>
              </w:rPr>
              <w:t xml:space="preserve">   05/10</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CD : prise et geste global</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CD : prise et geste global</w:t>
            </w:r>
          </w:p>
        </w:tc>
        <w:tc>
          <w:tcPr>
            <w:tcW w:type="dxa" w:w="3401"/>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CD – individualiser</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3</w:t>
            </w:r>
            <w:r>
              <w:rPr>
                <w:rFonts w:ascii="Calibri" w:cs="Calibri" w:eastAsia="Calibri" w:hAnsi="Calibri"/>
                <w:color w:val="6E6E6E"/>
                <w:sz w:val="15"/>
                <w:szCs w:val="15"/>
              </w:rPr>
              <w:t xml:space="preserve">   12/10</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CD rappel + appuis (jeu d.j.)</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CD rappel + appuis (jeu d.j.)</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CD – individualiser / croiser</w:t>
            </w:r>
          </w:p>
        </w:tc>
      </w:tr>
      <w:tr>
        <w:trPr>
          <w:trHeight w:val="289" w:hRule="atLeast"/>
        </w:trPr>
        <w:tc>
          <w:tcPr>
            <w:tcW w:type="dxa" w:w="15133"/>
            <w:gridSpan w:val="6"/>
            <w:shd w:fill="F4F6EA" w:color="auto" w:val="clear"/>
            <w:tcMar>
              <w:top w:type="dxa" w:w="56"/>
              <w:left w:type="dxa" w:w="113"/>
              <w:bottom w:type="dxa" w:w="56"/>
              <w:right w:type="dxa" w:w="113"/>
            </w:tcMar>
            <w:vAlign w:val="center"/>
          </w:tcPr>
          <w:p>
            <w:pPr>
              <w:spacing w:after="0" w:before="0" w:line="240"/>
              <w:jc w:val="center"/>
            </w:pPr>
            <w:r>
              <w:rPr>
                <w:rFonts w:ascii="Calibri" w:cs="Calibri" w:eastAsia="Calibri" w:hAnsi="Calibri"/>
                <w:b/>
                <w:bCs/>
                <w:color w:val="8A9E28"/>
                <w:sz w:val="18"/>
                <w:szCs w:val="18"/>
              </w:rPr>
              <w:t xml:space="preserve">TOUSSAINT — semaines du 19 et du 26 octobre, pas de cours</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4</w:t>
            </w:r>
            <w:r>
              <w:rPr>
                <w:rFonts w:ascii="Calibri" w:cs="Calibri" w:eastAsia="Calibri" w:hAnsi="Calibri"/>
                <w:color w:val="6E6E6E"/>
                <w:sz w:val="15"/>
                <w:szCs w:val="15"/>
              </w:rPr>
              <w:t xml:space="preserve">   02/11</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CD rappel + appuis (jeu d.j.)</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CD rappel + appuis (jeu d.j.)</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CD – individualiser / distribuer</w:t>
            </w:r>
          </w:p>
        </w:tc>
      </w:tr>
      <w:tr>
        <w:trPr>
          <w:trHeight w:val="334" w:hRule="atLeast"/>
        </w:trPr>
        <w:tc>
          <w:tcPr>
            <w:tcW w:type="dxa" w:w="1530"/>
            <w:shd w:fill="FAFAF6"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5</w:t>
            </w:r>
            <w:r>
              <w:rPr>
                <w:rFonts w:ascii="Calibri" w:cs="Calibri" w:eastAsia="Calibri" w:hAnsi="Calibri"/>
                <w:color w:val="6E6E6E"/>
                <w:sz w:val="15"/>
                <w:szCs w:val="15"/>
              </w:rPr>
              <w:t xml:space="preserve">   09/11</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Service</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Service</w:t>
            </w:r>
          </w:p>
        </w:tc>
        <w:tc>
          <w:tcPr>
            <w:tcW w:type="dxa" w:w="3401"/>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Service</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6</w:t>
            </w:r>
            <w:r>
              <w:rPr>
                <w:rFonts w:ascii="Calibri" w:cs="Calibri" w:eastAsia="Calibri" w:hAnsi="Calibri"/>
                <w:color w:val="6E6E6E"/>
                <w:sz w:val="15"/>
                <w:szCs w:val="15"/>
              </w:rPr>
              <w:t xml:space="preserve">   16/11</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 prise et geste global</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 prise et geste global</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 individualiser + commencer le service</w:t>
            </w:r>
          </w:p>
        </w:tc>
      </w:tr>
      <w:tr>
        <w:trPr>
          <w:trHeight w:val="334" w:hRule="atLeast"/>
        </w:trPr>
        <w:tc>
          <w:tcPr>
            <w:tcW w:type="dxa" w:w="1530"/>
            <w:shd w:fill="FAFAF6"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7</w:t>
            </w:r>
            <w:r>
              <w:rPr>
                <w:rFonts w:ascii="Calibri" w:cs="Calibri" w:eastAsia="Calibri" w:hAnsi="Calibri"/>
                <w:color w:val="6E6E6E"/>
                <w:sz w:val="15"/>
                <w:szCs w:val="15"/>
              </w:rPr>
              <w:t xml:space="preserve">   23/11</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rappel + appuis (jeu d.j.)</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rappel + appuis (jeu d.j.)</w:t>
            </w:r>
          </w:p>
        </w:tc>
        <w:tc>
          <w:tcPr>
            <w:tcW w:type="dxa" w:w="3401"/>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 individualiser / croiser + service</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8</w:t>
            </w:r>
            <w:r>
              <w:rPr>
                <w:rFonts w:ascii="Calibri" w:cs="Calibri" w:eastAsia="Calibri" w:hAnsi="Calibri"/>
                <w:color w:val="6E6E6E"/>
                <w:sz w:val="15"/>
                <w:szCs w:val="15"/>
              </w:rPr>
              <w:t xml:space="preserve">   30/11</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rappel + appuis (jeu d.j.)</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rappel + appuis (jeu d.j.)</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 individualiser / distribuer + service</w:t>
            </w:r>
          </w:p>
        </w:tc>
      </w:tr>
      <w:tr>
        <w:trPr>
          <w:trHeight w:val="334" w:hRule="atLeast"/>
        </w:trPr>
        <w:tc>
          <w:tcPr>
            <w:tcW w:type="dxa" w:w="1530"/>
            <w:shd w:fill="FAFAF6"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9</w:t>
            </w:r>
            <w:r>
              <w:rPr>
                <w:rFonts w:ascii="Calibri" w:cs="Calibri" w:eastAsia="Calibri" w:hAnsi="Calibri"/>
                <w:color w:val="6E6E6E"/>
                <w:sz w:val="15"/>
                <w:szCs w:val="15"/>
              </w:rPr>
              <w:t xml:space="preserve">   07/12</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Alterner CD – RV : organisation</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Alterner CD – RV : organisation</w:t>
            </w:r>
          </w:p>
        </w:tc>
        <w:tc>
          <w:tcPr>
            <w:tcW w:type="dxa" w:w="3401"/>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RV – individualiser / points avec service</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10</w:t>
            </w:r>
            <w:r>
              <w:rPr>
                <w:rFonts w:ascii="Calibri" w:cs="Calibri" w:eastAsia="Calibri" w:hAnsi="Calibri"/>
                <w:color w:val="6E6E6E"/>
                <w:sz w:val="15"/>
                <w:szCs w:val="15"/>
              </w:rPr>
              <w:t xml:space="preserve">   14/12</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Petit tournoi</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Tournoi</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Tournoi</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Points avec service</w:t>
            </w:r>
          </w:p>
        </w:tc>
      </w:tr>
      <w:tr>
        <w:trPr>
          <w:trHeight w:val="289" w:hRule="atLeast"/>
        </w:trPr>
        <w:tc>
          <w:tcPr>
            <w:tcW w:type="dxa" w:w="15133"/>
            <w:gridSpan w:val="6"/>
            <w:shd w:fill="F4F6EA" w:color="auto" w:val="clear"/>
            <w:tcMar>
              <w:top w:type="dxa" w:w="56"/>
              <w:left w:type="dxa" w:w="113"/>
              <w:bottom w:type="dxa" w:w="56"/>
              <w:right w:type="dxa" w:w="113"/>
            </w:tcMar>
            <w:vAlign w:val="center"/>
          </w:tcPr>
          <w:p>
            <w:pPr>
              <w:spacing w:after="0" w:before="0" w:line="240"/>
              <w:jc w:val="center"/>
            </w:pPr>
            <w:r>
              <w:rPr>
                <w:rFonts w:ascii="Calibri" w:cs="Calibri" w:eastAsia="Calibri" w:hAnsi="Calibri"/>
                <w:b/>
                <w:bCs/>
                <w:color w:val="8A9E28"/>
                <w:sz w:val="18"/>
                <w:szCs w:val="18"/>
              </w:rPr>
              <w:t xml:space="preserve">NOËL — dates à confirmer</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11</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Rappels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Rappels</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Rappels</w:t>
            </w:r>
          </w:p>
        </w:tc>
      </w:tr>
      <w:tr>
        <w:trPr>
          <w:trHeight w:val="334" w:hRule="atLeast"/>
        </w:trPr>
        <w:tc>
          <w:tcPr>
            <w:tcW w:type="dxa" w:w="1530"/>
            <w:shd w:fill="FAFAF6"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12</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Volée CD</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Volée CD / RV</w:t>
            </w:r>
          </w:p>
        </w:tc>
        <w:tc>
          <w:tcPr>
            <w:tcW w:type="dxa" w:w="3401"/>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Volée CD / RV</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13</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Volée CD</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Volée CD / RV</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Volée CD / RV</w:t>
            </w:r>
          </w:p>
        </w:tc>
      </w:tr>
      <w:tr>
        <w:trPr>
          <w:trHeight w:val="334" w:hRule="atLeast"/>
        </w:trPr>
        <w:tc>
          <w:tcPr>
            <w:tcW w:type="dxa" w:w="1530"/>
            <w:shd w:fill="FAFAF6"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14</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Volée RV</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Volée CD / RV</w:t>
            </w:r>
          </w:p>
        </w:tc>
        <w:tc>
          <w:tcPr>
            <w:tcW w:type="dxa" w:w="3401"/>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Volée d’approche + volées de finition</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15</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Smash</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Smash</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Enchaînements</w:t>
            </w:r>
          </w:p>
        </w:tc>
      </w:tr>
      <w:tr>
        <w:trPr>
          <w:trHeight w:val="334" w:hRule="atLeast"/>
        </w:trPr>
        <w:tc>
          <w:tcPr>
            <w:tcW w:type="dxa" w:w="1530"/>
            <w:shd w:fill="FAFAF6"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16</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Petit tournoi</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Attaques</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Attaques</w:t>
            </w:r>
          </w:p>
        </w:tc>
        <w:tc>
          <w:tcPr>
            <w:tcW w:type="dxa" w:w="3401"/>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Phases de jeu avec service</w:t>
            </w:r>
          </w:p>
        </w:tc>
      </w:tr>
      <w:tr>
        <w:trPr>
          <w:trHeight w:val="289" w:hRule="atLeast"/>
        </w:trPr>
        <w:tc>
          <w:tcPr>
            <w:tcW w:type="dxa" w:w="15133"/>
            <w:gridSpan w:val="6"/>
            <w:shd w:fill="F4F6EA" w:color="auto" w:val="clear"/>
            <w:tcMar>
              <w:top w:type="dxa" w:w="56"/>
              <w:left w:type="dxa" w:w="113"/>
              <w:bottom w:type="dxa" w:w="56"/>
              <w:right w:type="dxa" w:w="113"/>
            </w:tcMar>
            <w:vAlign w:val="center"/>
          </w:tcPr>
          <w:p>
            <w:pPr>
              <w:spacing w:after="0" w:before="0" w:line="240"/>
              <w:jc w:val="center"/>
            </w:pPr>
            <w:r>
              <w:rPr>
                <w:rFonts w:ascii="Calibri" w:cs="Calibri" w:eastAsia="Calibri" w:hAnsi="Calibri"/>
                <w:b/>
                <w:bCs/>
                <w:color w:val="8A9E28"/>
                <w:sz w:val="18"/>
                <w:szCs w:val="18"/>
              </w:rPr>
              <w:t xml:space="preserve">CARNAVAL — dates à confirmer</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17</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Montée à la volée + service</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Montée à la volée + rappel volées</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Attaques</w:t>
            </w:r>
          </w:p>
        </w:tc>
      </w:tr>
      <w:tr>
        <w:trPr>
          <w:trHeight w:val="334" w:hRule="atLeast"/>
        </w:trPr>
        <w:tc>
          <w:tcPr>
            <w:tcW w:type="dxa" w:w="1530"/>
            <w:shd w:fill="FAFAF6"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18</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Montée à la volée + service</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Montée à la volée + rappel volées</w:t>
            </w:r>
          </w:p>
        </w:tc>
        <w:tc>
          <w:tcPr>
            <w:tcW w:type="dxa" w:w="3401"/>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Attaques</w:t>
            </w:r>
          </w:p>
        </w:tc>
      </w:tr>
      <w:tr>
        <w:trPr>
          <w:trHeight w:val="334" w:hRule="atLeast"/>
        </w:trPr>
        <w:tc>
          <w:tcPr>
            <w:tcW w:type="dxa" w:w="1530"/>
            <w:shd w:fill="FFFFFF"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19</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Enchaîner les différentes actions</w:t>
            </w:r>
          </w:p>
        </w:tc>
        <w:tc>
          <w:tcPr>
            <w:tcW w:type="dxa" w:w="3174"/>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Enchaîner les différentes actions</w:t>
            </w:r>
          </w:p>
        </w:tc>
        <w:tc>
          <w:tcPr>
            <w:tcW w:type="dxa" w:w="3401"/>
            <w:shd w:fill="FFFFFF"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Inclure les attaques dans un schéma global</w:t>
            </w:r>
          </w:p>
        </w:tc>
      </w:tr>
      <w:tr>
        <w:trPr>
          <w:trHeight w:val="334" w:hRule="atLeast"/>
        </w:trPr>
        <w:tc>
          <w:tcPr>
            <w:tcW w:type="dxa" w:w="1530"/>
            <w:shd w:fill="FAFAF6" w:color="auto" w:val="clear"/>
            <w:tcMar>
              <w:top w:type="dxa" w:w="45"/>
              <w:left w:type="dxa" w:w="102"/>
              <w:bottom w:type="dxa" w:w="45"/>
              <w:right w:type="dxa" w:w="102"/>
            </w:tcMar>
            <w:vAlign w:val="center"/>
          </w:tcPr>
          <w:p>
            <w:pPr>
              <w:spacing w:after="0" w:before="0" w:line="210"/>
              <w:jc w:val="center"/>
            </w:pPr>
            <w:r>
              <w:rPr>
                <w:rFonts w:ascii="Calibri" w:cs="Calibri" w:eastAsia="Calibri" w:hAnsi="Calibri"/>
                <w:b/>
                <w:bCs/>
                <w:color w:val="C0392B"/>
                <w:sz w:val="16"/>
                <w:szCs w:val="16"/>
              </w:rPr>
              <w:t xml:space="preserve">Sem 20</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Voir objectifs</w:t>
            </w:r>
          </w:p>
        </w:tc>
        <w:tc>
          <w:tcPr>
            <w:tcW w:type="dxa" w:w="1927"/>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Petit tournoi</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Doubles</w:t>
            </w:r>
          </w:p>
        </w:tc>
        <w:tc>
          <w:tcPr>
            <w:tcW w:type="dxa" w:w="3174"/>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Doubles</w:t>
            </w:r>
          </w:p>
        </w:tc>
        <w:tc>
          <w:tcPr>
            <w:tcW w:type="dxa" w:w="3401"/>
            <w:shd w:fill="FAFAF6" w:color="auto" w:val="clear"/>
            <w:tcMar>
              <w:top w:type="dxa" w:w="45"/>
              <w:left w:type="dxa" w:w="102"/>
              <w:bottom w:type="dxa" w:w="45"/>
              <w:right w:type="dxa" w:w="102"/>
            </w:tcMar>
            <w:vAlign w:val="center"/>
          </w:tcPr>
          <w:p>
            <w:pPr>
              <w:spacing w:after="0" w:before="0" w:line="210"/>
            </w:pPr>
            <w:r>
              <w:rPr>
                <w:rFonts w:ascii="Calibri" w:cs="Calibri" w:eastAsia="Calibri" w:hAnsi="Calibri"/>
                <w:color w:val="2E2E2E"/>
                <w:sz w:val="16"/>
                <w:szCs w:val="16"/>
              </w:rPr>
              <w:t xml:space="preserve">Points – Matchs</w:t>
            </w:r>
          </w:p>
        </w:tc>
      </w:tr>
    </w:tbl>
    <w:p>
      <w:r>
        <w:br w:type="page"/>
      </w:r>
    </w:p>
    <w:p>
      <w:pPr>
        <w:spacing w:after="30" w:before="0" w:line="240"/>
      </w:pPr>
      <w:r>
        <w:rPr>
          <w:rFonts w:ascii="Calibri" w:cs="Calibri" w:eastAsia="Calibri" w:hAnsi="Calibri"/>
          <w:b/>
          <w:bCs/>
          <w:color w:val="C0392B"/>
          <w:sz w:val="30"/>
          <w:szCs w:val="30"/>
        </w:rPr>
        <w:t xml:space="preserve">COMMENT LIRE CE DOCUMENT</w:t>
      </w:r>
    </w:p>
    <w:p>
      <w:pPr>
        <w:pBdr>
          <w:bottom w:val="single" w:color="8A9E28" w:sz="8" w:space="6"/>
        </w:pBdr>
        <w:spacing w:after="200" w:before="0" w:line="240"/>
      </w:pPr>
      <w:r>
        <w:rPr>
          <w:rFonts w:ascii="Calibri" w:cs="Calibri" w:eastAsia="Calibri" w:hAnsi="Calibri"/>
          <w:i/>
          <w:iCs/>
          <w:color w:val="6E6E6E"/>
          <w:sz w:val="20"/>
          <w:szCs w:val="20"/>
        </w:rPr>
        <w:t xml:space="preserve">Saison hiver 2026-2027</w:t>
      </w:r>
    </w:p>
    <w:p>
      <w:pPr>
        <w:spacing w:after="70" w:before="200" w:line="240"/>
      </w:pPr>
      <w:r>
        <w:rPr>
          <w:rFonts w:ascii="Calibri" w:cs="Calibri" w:eastAsia="Calibri" w:hAnsi="Calibri"/>
          <w:b/>
          <w:bCs/>
          <w:color w:val="8A9E28"/>
          <w:sz w:val="21"/>
          <w:szCs w:val="21"/>
        </w:rPr>
        <w:t xml:space="preserve">Compétition</w:t>
      </w:r>
    </w:p>
    <w:p>
      <w:pPr>
        <w:spacing w:after="80" w:before="0" w:line="240"/>
      </w:pPr>
      <w:r>
        <w:rPr>
          <w:rFonts w:ascii="Calibri" w:cs="Calibri" w:eastAsia="Calibri" w:hAnsi="Calibri"/>
          <w:color w:val="2E2E2E"/>
          <w:sz w:val="19"/>
          <w:szCs w:val="19"/>
        </w:rPr>
        <w:t xml:space="preserve">Individualisez au maximum le travail : les thèmes ci-dessus peuvent donc être changés et sont purement indicatifs.</w:t>
      </w:r>
    </w:p>
    <w:p>
      <w:pPr>
        <w:spacing w:after="80" w:before="0" w:line="240"/>
      </w:pPr>
      <w:r>
        <w:rPr>
          <w:rFonts w:ascii="Calibri" w:cs="Calibri" w:eastAsia="Calibri" w:hAnsi="Calibri"/>
          <w:color w:val="2E2E2E"/>
          <w:sz w:val="19"/>
          <w:szCs w:val="19"/>
        </w:rPr>
        <w:t xml:space="preserve">Par contre, chaque séance doit avoir un micro-objectif s’inscrivant dans un objectif plus large, à plus long terme. Il faut un fil conducteur, et vos séances doivent avoir du sens — pas bêtement faire des points, sauf si cela entre dans le cadre de vos objectifs.</w:t>
      </w:r>
    </w:p>
    <w:p>
      <w:pPr>
        <w:spacing w:after="70" w:before="200" w:line="240"/>
      </w:pPr>
      <w:r>
        <w:rPr>
          <w:rFonts w:ascii="Calibri" w:cs="Calibri" w:eastAsia="Calibri" w:hAnsi="Calibri"/>
          <w:b/>
          <w:bCs/>
          <w:color w:val="8A9E28"/>
          <w:sz w:val="21"/>
          <w:szCs w:val="21"/>
        </w:rPr>
        <w:t xml:space="preserve">Les petits</w:t>
      </w:r>
    </w:p>
    <w:p>
      <w:pPr>
        <w:spacing w:after="80" w:before="0" w:line="240"/>
      </w:pPr>
      <w:r>
        <w:rPr>
          <w:rFonts w:ascii="Calibri" w:cs="Calibri" w:eastAsia="Calibri" w:hAnsi="Calibri"/>
          <w:color w:val="2E2E2E"/>
          <w:sz w:val="19"/>
          <w:szCs w:val="19"/>
        </w:rPr>
        <w:t xml:space="preserve">Servez-vous des documents reçus lors des différentes formations, tant AFT qu’au Lambermont.</w:t>
      </w:r>
    </w:p>
    <w:p>
      <w:pPr>
        <w:spacing w:after="80" w:before="0" w:line="240"/>
      </w:pPr>
      <w:r>
        <w:rPr>
          <w:rFonts w:ascii="Calibri" w:cs="Calibri" w:eastAsia="Calibri" w:hAnsi="Calibri"/>
          <w:color w:val="2E2E2E"/>
          <w:sz w:val="19"/>
          <w:szCs w:val="19"/>
        </w:rPr>
        <w:t xml:space="preserve">Vous gérez vous-mêmes l’évolution de votre groupe, en fonction des capacités des élèves et de là où vous voulez les amener. Il est donc important d’avoir cette image en tête et de vous fixer des objectifs à court terme (le prochain cours), à moyen terme (« dans x semaines, ils doivent être capables de ceci et cela ») et à long terme (la fin du cycle).</w:t>
      </w:r>
    </w:p>
    <w:p>
      <w:pPr>
        <w:spacing w:after="70" w:before="200" w:line="240"/>
      </w:pPr>
      <w:r>
        <w:rPr>
          <w:rFonts w:ascii="Calibri" w:cs="Calibri" w:eastAsia="Calibri" w:hAnsi="Calibri"/>
          <w:b/>
          <w:bCs/>
          <w:color w:val="8A9E28"/>
          <w:sz w:val="21"/>
          <w:szCs w:val="21"/>
        </w:rPr>
        <w:t xml:space="preserve">Orange – vert débutants et Loisirs – adultes</w:t>
      </w:r>
    </w:p>
    <w:p>
      <w:pPr>
        <w:spacing w:after="80" w:before="0" w:line="240"/>
      </w:pPr>
      <w:r>
        <w:rPr>
          <w:rFonts w:ascii="Calibri" w:cs="Calibri" w:eastAsia="Calibri" w:hAnsi="Calibri"/>
          <w:color w:val="2E2E2E"/>
          <w:sz w:val="19"/>
          <w:szCs w:val="19"/>
        </w:rPr>
        <w:t xml:space="preserve">Lisez chaque thème comme « être capable de + thème ».</w:t>
      </w:r>
    </w:p>
    <w:sectPr>
      <w:footerReference w:type="default" r:id="rId7"/>
      <w:pgSz w:w="16838" w:h="11906" w:orient="landscape"/>
      <w:pgMar w:top="453" w:right="793" w:bottom="396"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5"/>
        <w:szCs w:val="15"/>
      </w:rPr>
      <w:t xml:space="preserve">Lambermont Royal Tennis Club &amp; School  ·  Thèmes des cours  ·  Saison hiver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1bd9d5ccf492532903108b6b1cb8151290839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Thèmes des cours — saison hiver 2026-2027</dc:title>
  <dc:creator>Lambermont Royal Tennis Club &amp; School</dc:creator>
  <cp:lastModifiedBy>Un-named</cp:lastModifiedBy>
  <cp:revision>1</cp:revision>
  <dcterms:created xsi:type="dcterms:W3CDTF">2026-09-21T09:50:20.466Z</dcterms:created>
  <dcterms:modified xsi:type="dcterms:W3CDTF">2026-09-21T09:50:20.466Z</dcterms:modified>
</cp:coreProperties>
</file>

<file path=docProps/custom.xml><?xml version="1.0" encoding="utf-8"?>
<Properties xmlns="http://schemas.openxmlformats.org/officeDocument/2006/custom-properties" xmlns:vt="http://schemas.openxmlformats.org/officeDocument/2006/docPropsVTypes"/>
</file>