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du travail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image de l’arbre</w:t>
      </w:r>
      <w:r>
        <w:t xml:space="preserve"> sert de support de communication : un tronc commun — les principes qui ne bougent pas — et des branches, c’est-à-dire les variantes disponibles selon l’adversaire et le moment. Elle rend visible le fait qu’un même plan autorise plusieurs chemins.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Définitions — à compléter</w:t>
      </w:r>
    </w:p>
    <w:p>
      <w:pPr>
        <w:spacing w:after="120" w:before="60" w:line="276"/>
        <w:jc w:val="both"/>
      </w:pPr>
      <w:r>
        <w:t xml:space="preserve">Chaque terme sera défini et illustré : comportements caractéristiques, situations où le profil est pertinent, réponses à lui opposer, et forme que prend son BOA ascendant. Les définitions restent à écrire.</w:t>
      </w:r>
    </w:p>
    <w:tbl>
      <w:tblPr>
        <w:tblW w:type="dxa" w:w="9070"/>
        <w:tblBorders>
          <w:top w:val="single" w:color="C9D3E6" w:sz="2"/>
          <w:left w:val="single" w:color="C9D3E6" w:sz="2"/>
          <w:bottom w:val="single" w:color="C9D3E6" w:sz="2"/>
          <w:right w:val="single" w:color="C9D3E6" w:sz="2"/>
          <w:insideH w:val="single" w:color="C9D3E6" w:sz="2"/>
          <w:insideV w:val="single" w:color="C9D3E6" w:sz="2"/>
        </w:tblBorders>
      </w:tblPr>
      <w:tblGrid>
        <w:gridCol w:w="2400"/>
        <w:gridCol w:w="6670"/>
      </w:tblGrid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BOA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 — définition générale et ce que recouvre le sigle.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lion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renard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magicien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mur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caméléon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du travail</w:t>
      </w:r>
    </w:p>
    <w:p>
      <w:pPr>
        <w:spacing w:after="120" w:before="60" w:line="276"/>
        <w:jc w:val="both"/>
      </w:pPr>
      <w:r>
        <w:t xml:space="preserve">La progression du contenu au fil de la période s’appuie sur deux leviers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Jouer sur le temps — le principe de l’accordéon</w:t>
      </w:r>
      <w:r>
        <w:t xml:space="preserve"> : enlever du temps pour contraindre la décision et l’exécution, puis le redonner pour consolider. L’alternance entre resserrement et relâchement structure la montée en charge.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travail des enchaînements</w:t>
      </w:r>
      <w:r>
        <w:t xml:space="preserve">, d’abord vers l’avant, puis étendu à l’ensemble des situations. C’est le fil conducteur qui relie le travail technique au jeu réel.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2026-09-22T07:48:16.185Z</dcterms:created>
  <dcterms:modified xsi:type="dcterms:W3CDTF">2026-09-22T07:48:16.186Z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