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1F3864"/>
          <w:sz w:val="48"/>
          <w:szCs w:val="48"/>
        </w:rPr>
        <w:t xml:space="preserve">Projet d’entraînement</w:t>
      </w: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Formation du jeune joueur — tactique, technique et conduite des séances</w:t>
      </w:r>
    </w:p>
    <w:p>
      <w:pPr>
        <w:pBdr>
          <w:bottom w:val="single" w:color="1F3864" w:sz="12" w:space="10"/>
        </w:pBdr>
        <w:spacing w:after="520"/>
        <w:jc w:val="center"/>
      </w:pPr>
      <w:r>
        <w:rPr>
          <w:i/>
          <w:iCs/>
          <w:color w:val="595959"/>
          <w:sz w:val="20"/>
          <w:szCs w:val="20"/>
        </w:rPr>
        <w:t xml:space="preserve">Document de travail — septembre 2026</w:t>
      </w:r>
    </w:p>
    <w:p>
      <w:pPr>
        <w:spacing w:after="120" w:before="60" w:line="276"/>
        <w:jc w:val="both"/>
      </w:pPr>
      <w:r>
        <w:t xml:space="preserve">Ce document rassemble les axes de travail retenus pour la préparation. Il s’organise en cinq volets : </w:t>
      </w:r>
      <w:r>
        <w:rPr>
          <w:b/>
          <w:bCs/>
        </w:rPr>
        <w:t xml:space="preserve">la tactique</w:t>
      </w:r>
      <w:r>
        <w:t xml:space="preserve">, </w:t>
      </w:r>
      <w:r>
        <w:rPr>
          <w:b/>
          <w:bCs/>
        </w:rPr>
        <w:t xml:space="preserve">la technique</w:t>
      </w:r>
      <w:r>
        <w:t xml:space="preserve">, </w:t>
      </w:r>
      <w:r>
        <w:rPr>
          <w:b/>
          <w:bCs/>
        </w:rPr>
        <w:t xml:space="preserve">l’évolution de l’apprentissage du BOA</w:t>
      </w:r>
      <w:r>
        <w:t xml:space="preserve">, </w:t>
      </w:r>
      <w:r>
        <w:rPr>
          <w:b/>
          <w:bCs/>
        </w:rPr>
        <w:t xml:space="preserve">les règles générales de fonctionnement</w:t>
      </w:r>
      <w:r>
        <w:t xml:space="preserve"> et </w:t>
      </w:r>
      <w:r>
        <w:rPr>
          <w:b/>
          <w:bCs/>
        </w:rPr>
        <w:t xml:space="preserve">la gestion mentale</w:t>
      </w:r>
      <w:r>
        <w:t xml:space="preserve">. Il part du « produit » final visé — le joueur que l’on veut obtenir au terme de la formation — et remonte vers les contenus de séance. Il constitue une base de départ, destinée à être complétée et ajustée au fil des séances.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1. Tactique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BOA</w:t>
      </w:r>
      <w:r>
        <w:t xml:space="preserve"> est l’</w:t>
      </w:r>
      <w:r>
        <w:rPr>
          <w:b/>
          <w:bCs/>
        </w:rPr>
        <w:t xml:space="preserve">image générale de ce que l’on veut obtenir de l’enfant au bout de sa formation</w:t>
      </w:r>
      <w:r>
        <w:t xml:space="preserve">. Autrement dit : de celui qui commence à jouer au tennis aujourd’hui, quel joueur souhaite-t-on voir sortir à l’issue du parcours ? Le BOA répond à cette question — il décrit le « produit » final visé.</w:t>
      </w:r>
    </w:p>
    <w:p>
      <w:pPr>
        <w:spacing w:after="120" w:before="60" w:line="276"/>
        <w:jc w:val="both"/>
      </w:pPr>
      <w:r>
        <w:t xml:space="preserve">C’est la référence vers laquelle tend l’ensemble du travail. Tout ce qui suit — tactique comme technique — ne se justifie que par rapport à cette image d’arrivée : chaque contenu de séance doit pouvoir s’y rattacher.</w:t>
      </w:r>
    </w:p>
    <w:p>
      <w:pPr>
        <w:spacing w:after="120" w:before="60" w:line="276"/>
        <w:jc w:val="both"/>
      </w:pPr>
      <w:r>
        <w:t xml:space="preserve">Ce travail commence immédiatement : </w:t>
      </w:r>
      <w:r>
        <w:rPr>
          <w:b/>
          <w:bCs/>
        </w:rPr>
        <w:t xml:space="preserve">dès le tout premier cours d’un enfant de trois ans, on bosse déjà pour en faire un bon BOA</w:t>
      </w:r>
      <w:r>
        <w:t xml:space="preserve">. Il n’y a pas un âge où l’on ferait « autre chose » avant d’entrer dans la démarche, puis un âge où l’on s’y mettrait vraiment. La mini-compétition du plus jeune et le match du joueur formé relèvent de la même intention, avec des moyens adaptés à chaque âge.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retenir : </w:t>
            </w:r>
            <w:r>
              <w:rPr>
                <w:color w:val="262626"/>
                <w:sz w:val="20"/>
                <w:szCs w:val="20"/>
              </w:rPr>
              <w:t xml:space="preserve">le BOA n’est pas un exercice ni une consigne de match. C’est l’image générale du joueur que l’on veut obtenir au terme de la formation — le « produit »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1.1 Respecter la personnalité de l’enfant</w:t>
      </w:r>
    </w:p>
    <w:p>
      <w:pPr>
        <w:spacing w:after="120" w:before="60" w:line="276"/>
        <w:jc w:val="both"/>
      </w:pPr>
      <w:r>
        <w:t xml:space="preserve">Pour ne pas enfermer l’enfant dans un </w:t>
      </w:r>
      <w:r>
        <w:rPr>
          <w:b/>
          <w:bCs/>
        </w:rPr>
        <w:t xml:space="preserve">carcan tactique</w:t>
      </w:r>
      <w:r>
        <w:t xml:space="preserve">, il faut </w:t>
      </w:r>
      <w:r>
        <w:rPr>
          <w:b/>
          <w:bCs/>
        </w:rPr>
        <w:t xml:space="preserve">respecter sa personnalité</w:t>
      </w:r>
      <w:r>
        <w:t xml:space="preserve">. On ne cherche donc pas à construire un BOA unique, valable pour tous, mais à en faire des </w:t>
      </w:r>
      <w:r>
        <w:rPr>
          <w:b/>
          <w:bCs/>
        </w:rPr>
        <w:t xml:space="preserve">BOA ascendants déclinés selon le profil de chacun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lion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renard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magicien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mur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caméléon</w:t>
      </w:r>
    </w:p>
    <w:p>
      <w:pPr>
        <w:spacing w:after="120" w:before="60" w:line="276"/>
        <w:jc w:val="both"/>
      </w:pPr>
      <w:r>
        <w:t xml:space="preserve">Le joueur n’a pas à entrer dans un modèle qui n’est pas le sien : c’est le BOA qui s’ajuste à sa personnalité.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1.2 Le BOA ascendant</w:t>
      </w:r>
    </w:p>
    <w:p>
      <w:pPr>
        <w:spacing w:after="120" w:before="60" w:line="276"/>
        <w:jc w:val="both"/>
      </w:pPr>
      <w:r>
        <w:t xml:space="preserve">Quel que soit le profil, la construction tactique reste </w:t>
      </w:r>
      <w:r>
        <w:rPr>
          <w:b/>
          <w:bCs/>
        </w:rPr>
        <w:t xml:space="preserve">ascendante</w:t>
      </w:r>
      <w:r>
        <w:t xml:space="preserve"> : une progression qui monte en exigence au fil de la confrontation. Le plan donne une direction, il ne dicte pas chaque choix.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1.3 L’image de l’arbre</w:t>
      </w:r>
    </w:p>
    <w:p>
      <w:pPr>
        <w:spacing w:after="120" w:before="60" w:line="276"/>
        <w:jc w:val="both"/>
      </w:pPr>
      <w:r>
        <w:t xml:space="preserve">Une autre image peut être utilisée, en complément du BOA et des animaux : celle de </w:t>
      </w:r>
      <w:r>
        <w:rPr>
          <w:b/>
          <w:bCs/>
        </w:rPr>
        <w:t xml:space="preserve">l’arbre</w:t>
      </w:r>
      <w:r>
        <w:t xml:space="preserve">.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tronc</w:t>
      </w:r>
      <w:r>
        <w:t xml:space="preserve"> correspond à la </w:t>
      </w:r>
      <w:r>
        <w:rPr>
          <w:b/>
          <w:bCs/>
        </w:rPr>
        <w:t xml:space="preserve">solidité du joueur</w:t>
      </w:r>
      <w:r>
        <w:t xml:space="preserve">. Si le tronc est large, le joueur est solide : il peut y avoir de grosses tempêtes, il peut y avoir du vent, l’arbre ne tombera pas.</w:t>
      </w:r>
    </w:p>
    <w:p>
      <w:pPr>
        <w:spacing w:after="120" w:before="60" w:line="276"/>
        <w:jc w:val="both"/>
      </w:pPr>
      <w:r>
        <w:t xml:space="preserve">Sur ce tronc solide, on vient </w:t>
      </w:r>
      <w:r>
        <w:rPr>
          <w:b/>
          <w:bCs/>
        </w:rPr>
        <w:t xml:space="preserve">greffer des armes</w:t>
      </w:r>
      <w:r>
        <w:t xml:space="preserve"> : ce sont les </w:t>
      </w:r>
      <w:r>
        <w:rPr>
          <w:b/>
          <w:bCs/>
        </w:rPr>
        <w:t xml:space="preserve">branches</w:t>
      </w:r>
      <w:r>
        <w:t xml:space="preserve">. Plus il y a de branches, plus le joueur est capable de </w:t>
      </w:r>
      <w:r>
        <w:rPr>
          <w:b/>
          <w:bCs/>
        </w:rPr>
        <w:t xml:space="preserve">varier ses intentions</w:t>
      </w:r>
      <w:r>
        <w:t xml:space="preserve">. Une branche, ce peut être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Le jeu d’attaque.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Être capable de faire un croisé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Être capable de faire une amortie.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Avoir une bonne volée.</w:t>
      </w:r>
    </w:p>
    <w:p>
      <w:pPr>
        <w:spacing w:after="120" w:before="60" w:line="276"/>
        <w:jc w:val="both"/>
      </w:pPr>
      <w:r>
        <w:t xml:space="preserve">Mais si le joueur a plein de branches — il sait attaquer, il frappe fort — et que </w:t>
      </w:r>
      <w:r>
        <w:rPr>
          <w:b/>
          <w:bCs/>
        </w:rPr>
        <w:t xml:space="preserve">son tronc est très mince</w:t>
      </w:r>
      <w:r>
        <w:t xml:space="preserve">, l’arbre tombera dès qu’il n’est pas en forme : au moindre coup de vent, il tombe. Les armes ne tiennent que par ce qui les porte.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La base de tout : </w:t>
            </w:r>
            <w:r>
              <w:rPr>
                <w:color w:val="262626"/>
                <w:sz w:val="20"/>
                <w:szCs w:val="20"/>
              </w:rPr>
              <w:t xml:space="preserve">la solidité, c’est le tronc. On élargit le tronc avant d’ajouter des branches — et on continue de l’élargir à mesure qu’on en ajoute.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1.4 Définition des profils</w:t>
      </w:r>
    </w:p>
    <w:p>
      <w:pPr>
        <w:spacing w:after="120" w:before="60" w:line="276"/>
        <w:jc w:val="both"/>
      </w:pPr>
      <w:r>
        <w:t xml:space="preserve">Chaque profil est décrit par l’image de l’animal, puis par sa traduction sur le court.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BOA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boa </w:t>
      </w:r>
      <w:r>
        <w:rPr>
          <w:b/>
          <w:bCs/>
        </w:rPr>
        <w:t xml:space="preserve">entoure sa proie très solidement</w:t>
      </w:r>
      <w:r>
        <w:t xml:space="preserve">. Il l’entoure, il l’entoure encore, jusqu’à ce qu’elle ne puisse plus bouger et se retrouve complètement sous son emprise. Puis, à un certain moment — bam — il serre : il tue sa proie en portant le coup de grâce.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le joueur qui met un </w:t>
      </w:r>
      <w:r>
        <w:rPr>
          <w:b/>
          <w:bCs/>
        </w:rPr>
        <w:t xml:space="preserve">volume agressif</w:t>
      </w:r>
      <w:r>
        <w:t xml:space="preserve"> et qui distribue tout en mettant ce volume. Ce volume lui rend deux services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le protège</w:t>
      </w:r>
      <w:r>
        <w:t xml:space="preserve"> : l’adversaire, enfermé, ne peut pas attaquer.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génère une balle courte</w:t>
      </w:r>
      <w:r>
        <w:t xml:space="preserve"> : à force d’être pressé, l’adversaire finit par rendre une balle exploitable.</w:t>
      </w:r>
    </w:p>
    <w:p>
      <w:pPr>
        <w:spacing w:after="120" w:before="60" w:line="276"/>
        <w:jc w:val="both"/>
      </w:pPr>
      <w:r>
        <w:t xml:space="preserve">Et quand la balle courte arrive — bam. Le joueur doit être capable de </w:t>
      </w:r>
      <w:r>
        <w:rPr>
          <w:b/>
          <w:bCs/>
        </w:rPr>
        <w:t xml:space="preserve">terminer le point en une ou deux frappes de balle</w:t>
      </w:r>
      <w:r>
        <w:t xml:space="preserve">. C’est le coup de grâce du boa. Cela suppose donc une </w:t>
      </w:r>
      <w:r>
        <w:rPr>
          <w:b/>
          <w:bCs/>
        </w:rPr>
        <w:t xml:space="preserve">bonne attaque</w:t>
      </w:r>
      <w:r>
        <w:t xml:space="preserve"> et une </w:t>
      </w:r>
      <w:r>
        <w:rPr>
          <w:b/>
          <w:bCs/>
        </w:rPr>
        <w:t xml:space="preserve">bonne volée</w:t>
      </w:r>
      <w:r>
        <w:t xml:space="preserve">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BOA le plus complet possible : </w:t>
            </w:r>
            <w:r>
              <w:rPr>
                <w:color w:val="262626"/>
                <w:sz w:val="20"/>
                <w:szCs w:val="20"/>
              </w:rPr>
              <w:t xml:space="preserve">un volume agressif pour enfermer l’adversaire et faire venir la balle courte, une attaque et une volée pour conclure en une ou deux frappes.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lion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lion chasse à découvert. Il ne cherche pas à enfermer sa proie : il fond dessus et règle l’affaire en quelques secondes.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quelqu’un qui </w:t>
      </w:r>
      <w:r>
        <w:rPr>
          <w:b/>
          <w:bCs/>
        </w:rPr>
        <w:t xml:space="preserve">va attaquer</w:t>
      </w:r>
      <w:r>
        <w:t xml:space="preserve">. Très offensif, il cherche à </w:t>
      </w:r>
      <w:r>
        <w:rPr>
          <w:b/>
          <w:bCs/>
        </w:rPr>
        <w:t xml:space="preserve">terminer le point en deux ou trois frappes de balle</w:t>
      </w:r>
      <w:r>
        <w:t xml:space="preserve">. Dès le service ou dès le retour de service, il agresse l’adversaire : il prend l’initiative immédiatement, sans passer par une phase de construction.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noter : </w:t>
            </w:r>
            <w:r>
              <w:rPr>
                <w:color w:val="262626"/>
                <w:sz w:val="20"/>
                <w:szCs w:val="20"/>
              </w:rPr>
              <w:t xml:space="preserve">c’est un jeu à risque — quand il passe, le point est plié ; quand il ne passe pas, la faute arrive vite.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renard</w:t>
      </w:r>
    </w:p>
    <w:p>
      <w:pPr>
        <w:spacing w:after="120" w:before="40"/>
      </w:pPr>
      <w:r>
        <w:rPr>
          <w:i/>
          <w:iCs/>
          <w:color w:val="8C8C8C"/>
          <w:sz w:val="20"/>
          <w:szCs w:val="20"/>
        </w:rPr>
        <w:t xml:space="preserve">À compléter.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magicien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magicien ne l’emporte pas par la force, mais par la surprise : il fait apparaître la balle là où l’adversaire ne l’attend pas.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quelqu’un qui est capable de faire des </w:t>
      </w:r>
      <w:r>
        <w:rPr>
          <w:b/>
          <w:bCs/>
        </w:rPr>
        <w:t xml:space="preserve">amorties</w:t>
      </w:r>
      <w:r>
        <w:t xml:space="preserve">, des </w:t>
      </w:r>
      <w:r>
        <w:rPr>
          <w:b/>
          <w:bCs/>
        </w:rPr>
        <w:t xml:space="preserve">croisés courts</w:t>
      </w:r>
      <w:r>
        <w:t xml:space="preserve">, l’</w:t>
      </w:r>
      <w:r>
        <w:rPr>
          <w:b/>
          <w:bCs/>
        </w:rPr>
        <w:t xml:space="preserve">amortie-lob</w:t>
      </w:r>
      <w:r>
        <w:t xml:space="preserve">, des </w:t>
      </w:r>
      <w:r>
        <w:rPr>
          <w:b/>
          <w:bCs/>
        </w:rPr>
        <w:t xml:space="preserve">slices</w:t>
      </w:r>
      <w:r>
        <w:t xml:space="preserve"> — bref, qui </w:t>
      </w:r>
      <w:r>
        <w:rPr>
          <w:b/>
          <w:bCs/>
        </w:rPr>
        <w:t xml:space="preserve">varie</w:t>
      </w:r>
      <w:r>
        <w:t xml:space="preserve"> en permanence. C’est par le changement de rythme, de hauteur et de longueur qu’il met l’adversaire en difficulté.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mur</w:t>
      </w:r>
    </w:p>
    <w:p>
      <w:pPr>
        <w:spacing w:after="120" w:before="40"/>
      </w:pPr>
      <w:r>
        <w:rPr>
          <w:i/>
          <w:iCs/>
          <w:color w:val="8C8C8C"/>
          <w:sz w:val="20"/>
          <w:szCs w:val="20"/>
        </w:rPr>
        <w:t xml:space="preserve">À compléter.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caméléon</w:t>
      </w:r>
    </w:p>
    <w:p>
      <w:pPr>
        <w:spacing w:after="120" w:before="40"/>
      </w:pPr>
      <w:r>
        <w:rPr>
          <w:i/>
          <w:iCs/>
          <w:color w:val="8C8C8C"/>
          <w:sz w:val="20"/>
          <w:szCs w:val="20"/>
        </w:rPr>
        <w:t xml:space="preserve">À compléter.</w:t>
      </w:r>
    </w:p>
    <w:p>
      <w:pPr>
        <w:spacing w:after="160"/>
      </w:pPr>
      <w:r>
        <w:t xml:space="preserve"/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2. Technique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2.1 Principe directeur</w:t>
      </w:r>
    </w:p>
    <w:p>
      <w:pPr>
        <w:spacing w:after="120" w:before="60" w:line="276"/>
        <w:jc w:val="both"/>
      </w:pPr>
      <w:r>
        <w:t xml:space="preserve">L’objectif n’est pas d’enfermer l’athlète dans un </w:t>
      </w:r>
      <w:r>
        <w:rPr>
          <w:b/>
          <w:bCs/>
        </w:rPr>
        <w:t xml:space="preserve">carcan technique</w:t>
      </w:r>
      <w:r>
        <w:t xml:space="preserve"> en imposant une forme gestuelle unique. On cherche en revanche une </w:t>
      </w:r>
      <w:r>
        <w:rPr>
          <w:b/>
          <w:bCs/>
        </w:rPr>
        <w:t xml:space="preserve">position des segments correcte à l’impact</w:t>
      </w:r>
      <w:r>
        <w:t xml:space="preserve">, qui reste le point de passage obligé de l’efficacité. Autour de ce repère, la liberté d’exécution est préservée.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Objectif échéance : </w:t>
            </w:r>
            <w:r>
              <w:rPr>
                <w:color w:val="262626"/>
                <w:sz w:val="20"/>
                <w:szCs w:val="20"/>
              </w:rPr>
              <w:t xml:space="preserve">position des segments correcte à l’impact acquise en fin de préparation.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2.2 Dès les premiers jeux</w:t>
      </w:r>
    </w:p>
    <w:p>
      <w:pPr>
        <w:spacing w:after="120" w:before="60" w:line="276"/>
        <w:jc w:val="both"/>
      </w:pPr>
      <w:r>
        <w:t xml:space="preserve">Le BOA visé commande immédiatement le contenu technique. </w:t>
      </w:r>
      <w:r>
        <w:rPr>
          <w:b/>
          <w:bCs/>
        </w:rPr>
        <w:t xml:space="preserve">Tous les jeux et exercices proposés dès le plus jeune âge doivent être techniquement corrects</w:t>
      </w:r>
      <w:r>
        <w:t xml:space="preserve"> : on n’attend pas que l’enfant grandisse pour s’occuper de la forme. Ce qui est installé de travers au départ devra être défait plus tard — autant construire juste tout de suite.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appuis</w:t>
      </w:r>
      <w:r>
        <w:t xml:space="preserve"> s’apprennent dès les </w:t>
      </w:r>
      <w:r>
        <w:rPr>
          <w:b/>
          <w:bCs/>
        </w:rPr>
        <w:t xml:space="preserve">premières manipulations</w:t>
      </w:r>
      <w:r>
        <w:t xml:space="preserve"> : orientation, équilibre, déplacement vers la balle.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bonnes prises</w:t>
      </w:r>
      <w:r>
        <w:t xml:space="preserve"> sont mises en place d’emblée, </w:t>
      </w:r>
      <w:r>
        <w:rPr>
          <w:b/>
          <w:bCs/>
        </w:rPr>
        <w:t xml:space="preserve">dès le jeu en 2D</w:t>
      </w:r>
      <w:r>
        <w:t xml:space="preserve">.</w:t>
      </w:r>
    </w:p>
    <w:p>
      <w:pPr>
        <w:spacing w:after="120" w:before="60" w:line="276"/>
        <w:jc w:val="both"/>
      </w:pPr>
      <w:r>
        <w:t xml:space="preserve">Le jeu reste le support — l’enfant joue — mais chaque jeu est choisi pour ce qu’il construit techniquement.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2.3 Des objectifs qui évoluent avec l’enfant</w:t>
      </w:r>
    </w:p>
    <w:p>
      <w:pPr>
        <w:spacing w:after="120" w:before="60" w:line="276"/>
        <w:jc w:val="both"/>
      </w:pPr>
      <w:r>
        <w:t xml:space="preserve">Lorsque l’enfant évolue, </w:t>
      </w:r>
      <w:r>
        <w:rPr>
          <w:b/>
          <w:bCs/>
        </w:rPr>
        <w:t xml:space="preserve">les objectifs évoluent avec lui</w:t>
      </w:r>
      <w:r>
        <w:t xml:space="preserve">. Ce que l’on exige à six ans, à dix ans et à treize ans n’est pas de même nature : l’exigence se déplace à mesure que l’enfant grandit, chaque étape préparant la suivante.</w:t>
      </w:r>
    </w:p>
    <w:p>
      <w:pPr>
        <w:spacing w:after="120" w:before="60" w:line="276"/>
        <w:jc w:val="both"/>
      </w:pPr>
      <w:r>
        <w:t xml:space="preserve">L’échéance, elle, est claire : </w:t>
      </w:r>
      <w:r>
        <w:rPr>
          <w:b/>
          <w:bCs/>
        </w:rPr>
        <w:t xml:space="preserve">l’enfant doit être propre techniquement à 14 ans au maximum</w:t>
      </w:r>
      <w:r>
        <w:t xml:space="preserve">. Au-delà, les changements deviennent </w:t>
      </w:r>
      <w:r>
        <w:rPr>
          <w:b/>
          <w:bCs/>
        </w:rPr>
        <w:t xml:space="preserve">cognitivement plus difficiles</w:t>
      </w:r>
      <w:r>
        <w:t xml:space="preserve"> : le geste est automatisé, et le défaire coûte bien plus cher qu’il n’aurait coûté de le construire juste. C’est ce qui justifie l’exigence technique dès les premiers jeux.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Échéance : </w:t>
            </w:r>
            <w:r>
              <w:rPr>
                <w:color w:val="262626"/>
                <w:sz w:val="20"/>
                <w:szCs w:val="20"/>
              </w:rPr>
              <w:t xml:space="preserve">propreté technique acquise à 14 ans au plus tard — au-delà, on corrige beaucoup plus difficilement.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2.4 Un nettoyage permanent</w:t>
      </w:r>
    </w:p>
    <w:p>
      <w:pPr>
        <w:spacing w:after="120" w:before="60" w:line="276"/>
        <w:jc w:val="both"/>
      </w:pPr>
      <w:r>
        <w:t xml:space="preserve">L’échéance des 14 ans ne signifie pas que le travail technique s’arrête. </w:t>
      </w:r>
      <w:r>
        <w:rPr>
          <w:b/>
          <w:bCs/>
        </w:rPr>
        <w:t xml:space="preserve">Tout au long du cursus, il faudra nettoyer la technique</w:t>
      </w:r>
      <w:r>
        <w:t xml:space="preserve">. En tournoi en particulier, sous la pression du résultat et de l’adversaire, </w:t>
      </w:r>
      <w:r>
        <w:rPr>
          <w:b/>
          <w:bCs/>
        </w:rPr>
        <w:t xml:space="preserve">la technique peut changer</w:t>
      </w:r>
      <w:r>
        <w:t xml:space="preserve"> : le joueur prend des raccourcis, se replie sur ce qui fonctionne à l’instant, et des défauts s’installent sans qu’il s’en aperçoive.</w:t>
      </w:r>
    </w:p>
    <w:p>
      <w:pPr>
        <w:spacing w:after="120" w:before="60" w:line="276"/>
        <w:jc w:val="both"/>
      </w:pPr>
      <w:r>
        <w:t xml:space="preserve">Ce n’est pas un signe d’échec, c’est le fonctionnement normal du jeu en compétition. </w:t>
      </w:r>
      <w:r>
        <w:rPr>
          <w:b/>
          <w:bCs/>
        </w:rPr>
        <w:t xml:space="preserve">Même le numéro 1 mondial retravaille sa technique</w:t>
      </w:r>
      <w:r>
        <w:t xml:space="preserve">. Le retour régulier sur les fondamentaux fait donc partie du cursus à toutes les étapes, au même titre que le travail tactique — et non d’une phase que l’on refermerait une fois pour toutes.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2.5 Éléments fondamentaux et apprentissage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Éléments fondamentaux</w:t>
      </w:r>
      <w:r>
        <w:t xml:space="preserve"> : identifier le socle non négociable, commun à tous, sur lequel s’appuie toute la construction technique.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Distinction haut niveau / apprentissage</w:t>
      </w:r>
      <w:r>
        <w:t xml:space="preserve"> : ce qui s’observe chez les meilleurs n’est pas directement transposable à l’apprentissage. Il faut distinguer le modèle de référence de la marche à suivre pour y parvenir.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2.6 Respecter les lois biomécaniques</w:t>
      </w:r>
    </w:p>
    <w:p>
      <w:pPr>
        <w:spacing w:after="120" w:before="60" w:line="276"/>
        <w:jc w:val="both"/>
      </w:pPr>
      <w:r>
        <w:t xml:space="preserve">Quelle que soit la forme gestuelle retenue, elle doit respecter les principes mécaniques qui conditionnent la performance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Deux impulsions successives</w:t>
      </w:r>
      <w:r>
        <w:t xml:space="preserve">, enchaînées sans rupture.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Générer de l’énergie</w:t>
      </w:r>
      <w:r>
        <w:t xml:space="preserve"> et la transmettre, plutôt que la dissiper.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Travailler les </w:t>
      </w:r>
      <w:r>
        <w:rPr>
          <w:b/>
          <w:bCs/>
        </w:rPr>
        <w:t xml:space="preserve">appuis, les transferts et la suspension</w:t>
      </w:r>
      <w:r>
        <w:t xml:space="preserve">, qui conditionnent la qualité de la mise en action.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Critère de réussite : </w:t>
            </w:r>
            <w:r>
              <w:rPr>
                <w:color w:val="262626"/>
                <w:sz w:val="20"/>
                <w:szCs w:val="20"/>
              </w:rPr>
              <w:t xml:space="preserve">vitesse maximale au moment de l’impact.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2.7 Méthodes et outils</w:t>
      </w:r>
    </w:p>
    <w:p>
      <w:pPr>
        <w:spacing w:after="120" w:before="60" w:line="276"/>
        <w:jc w:val="both"/>
      </w:pPr>
      <w:r>
        <w:t xml:space="preserve">Trois entrées complémentaires sont mobilisées selon le moment de la saison et le niveau de maîtrise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évolutive</w:t>
      </w:r>
      <w:r>
        <w:t xml:space="preserve"> : complexifier progressivement la tâche.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analytique</w:t>
      </w:r>
      <w:r>
        <w:t xml:space="preserve"> : isoler un élément pour le corriger.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globale</w:t>
      </w:r>
      <w:r>
        <w:t xml:space="preserve"> : replacer le geste dans la situation complète.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analyse vidéo</w:t>
      </w:r>
      <w:r>
        <w:t xml:space="preserve"> sert de support à ce travail : elle objective ce qui est observé et permet de </w:t>
      </w:r>
      <w:r>
        <w:rPr>
          <w:b/>
          <w:bCs/>
        </w:rPr>
        <w:t xml:space="preserve">fixer des objectifs précis</w:t>
      </w:r>
      <w:r>
        <w:t xml:space="preserve"> avec l’athlète.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préciser : </w:t>
            </w:r>
            <w:r>
              <w:rPr>
                <w:color w:val="262626"/>
                <w:sz w:val="20"/>
                <w:szCs w:val="20"/>
              </w:rPr>
              <w:t xml:space="preserve">la question des prises — quelles tolérances accepte-t-on, et à partir de quel écart corrige-t-on ?</w:t>
            </w:r>
          </w:p>
        </w:tc>
      </w:tr>
    </w:tbl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3. Évolution de l’apprentissage du BOA</w:t>
      </w:r>
    </w:p>
    <w:p>
      <w:pPr>
        <w:spacing w:after="120" w:before="60" w:line="276"/>
        <w:jc w:val="both"/>
      </w:pPr>
      <w:r>
        <w:t xml:space="preserve">L’apprentissage du BOA suit une progression : on n’attaque pas les enchaînements vers l’avant d’emblée, ils supposent un préalable technique.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3.1 Le préalable : du volume avec intensité</w:t>
      </w:r>
    </w:p>
    <w:p>
      <w:pPr>
        <w:spacing w:after="120" w:before="60" w:line="276"/>
        <w:jc w:val="both"/>
      </w:pPr>
      <w:r>
        <w:t xml:space="preserve">Le travail des enchaînements vers l’avant commence </w:t>
      </w:r>
      <w:r>
        <w:rPr>
          <w:b/>
          <w:bCs/>
        </w:rPr>
        <w:t xml:space="preserve">lorsque le joueur est techniquement capable de mettre du volume avec intensité</w:t>
      </w:r>
      <w:r>
        <w:t xml:space="preserve">. C’est le signal d’entrée dans cette étape : tant que ce socle n’est pas acquis, le travail reste sur la construction technique.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3.2 Générer l’automatisme de l’accordéon</w:t>
      </w:r>
    </w:p>
    <w:p>
      <w:pPr>
        <w:spacing w:after="120" w:before="60" w:line="276"/>
        <w:jc w:val="both"/>
      </w:pPr>
      <w:r>
        <w:t xml:space="preserve">On commence par générer l’</w:t>
      </w:r>
      <w:r>
        <w:rPr>
          <w:b/>
          <w:bCs/>
        </w:rPr>
        <w:t xml:space="preserve">accordéon</w:t>
      </w:r>
      <w:r>
        <w:t xml:space="preserve"> : </w:t>
      </w:r>
      <w:r>
        <w:rPr>
          <w:b/>
          <w:bCs/>
        </w:rPr>
        <w:t xml:space="preserve">ne plus attendre la balle, mais chercher chaque fois à faire un pas vers elle</w:t>
      </w:r>
      <w:r>
        <w:t xml:space="preserve">. Le joueur cesse de subir la trajectoire et va la prendre.</w:t>
      </w:r>
    </w:p>
    <w:p>
      <w:pPr>
        <w:spacing w:after="120" w:before="60" w:line="276"/>
        <w:jc w:val="both"/>
      </w:pPr>
      <w:r>
        <w:t xml:space="preserve">Ce simple pas en avant produit deux effets, l’un sur soi, l’autre sur l’adversaire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améliore le transfert du poids du corps dans la balle</w:t>
      </w:r>
      <w:r>
        <w:t xml:space="preserve"> : l’énergie produite part vers l’avant au lieu de se perdre.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enlève du temps à l’adversaire</w:t>
      </w:r>
      <w:r>
        <w:t xml:space="preserve"> : la balle revient plus tôt, l’autre dispose de moins de temps pour se replacer et pour choisir.</w:t>
      </w:r>
    </w:p>
    <w:p>
      <w:pPr>
        <w:spacing w:after="120" w:before="60" w:line="276"/>
        <w:jc w:val="both"/>
      </w:pPr>
      <w:r>
        <w:t xml:space="preserve">L’enjeu est d’en faire un </w:t>
      </w:r>
      <w:r>
        <w:rPr>
          <w:b/>
          <w:bCs/>
        </w:rPr>
        <w:t xml:space="preserve">automatisme</w:t>
      </w:r>
      <w:r>
        <w:t xml:space="preserve">. Il ne s’agit pas d’avancer quand on y pense, mais de </w:t>
      </w:r>
      <w:r>
        <w:rPr>
          <w:b/>
          <w:bCs/>
        </w:rPr>
        <w:t xml:space="preserve">générer l’automatisme d’avancer en faisant « l’accordéon »</w:t>
      </w:r>
      <w:r>
        <w:t xml:space="preserve">. Répété sur toutes les balles et dans toutes les situations, le pas en avant devient le réflexe par défaut : le joueur n’a plus à le décider, y compris lorsque la pression du match l’inciterait à reculer.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principe : </w:t>
            </w:r>
            <w:r>
              <w:rPr>
                <w:color w:val="262626"/>
                <w:sz w:val="20"/>
                <w:szCs w:val="20"/>
              </w:rPr>
              <w:t xml:space="preserve">générer l’automatisme d’avancer — un pas vers la balle sur chaque frappe. On gagne en transfert et l’on prend du temps à l’adversaire.</w:t>
            </w:r>
          </w:p>
        </w:tc>
      </w:tr>
    </w:tbl>
    <w:p>
      <w:pPr>
        <w:spacing w:after="120" w:before="60" w:line="276"/>
        <w:jc w:val="both"/>
      </w:pPr>
      <w:r>
        <w:t xml:space="preserve">Cette évolution se fait </w:t>
      </w:r>
      <w:r>
        <w:rPr>
          <w:b/>
          <w:bCs/>
        </w:rPr>
        <w:t xml:space="preserve">sans perdre la solidité acquise avant</w:t>
      </w:r>
      <w:r>
        <w:t xml:space="preserve">. L’accordéon ne doit se payer ni d’un retour des fautes, ni d’une baisse du volume : le pas en avant </w:t>
      </w:r>
      <w:r>
        <w:rPr>
          <w:b/>
          <w:bCs/>
        </w:rPr>
        <w:t xml:space="preserve">s’ajoute</w:t>
      </w:r>
      <w:r>
        <w:t xml:space="preserve"> au socle, il ne le remplace pas. Si la solidité recule, on revient la consolider avant de repousser l’exigence.</w:t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3.3 Le travail des enchaînements</w:t>
      </w:r>
    </w:p>
    <w:p>
      <w:pPr>
        <w:spacing w:after="120" w:before="60" w:line="276"/>
        <w:jc w:val="both"/>
      </w:pPr>
      <w:r>
        <w:t xml:space="preserve">L’accordéon installé, le travail se poursuit sur les </w:t>
      </w:r>
      <w:r>
        <w:rPr>
          <w:b/>
          <w:bCs/>
        </w:rPr>
        <w:t xml:space="preserve">enchaînements vers l’avant</w:t>
      </w:r>
      <w:r>
        <w:t xml:space="preserve">, puis s’étend à l’ensemble des situations. C’est le fil conducteur qui relie le travail technique au jeu réel, et qui ramène le joueur vers le BOA visé.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4. Règles générales de fonctionnement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Fixer des objectifs.</w:t>
      </w:r>
      <w:r>
        <w:t xml:space="preserve"> Des objectifs clairs rendent la préparation des séances nettement plus simple : ils donnent un critère pour choisir les contenus et pour évaluer ce qui a été fait.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Préparer, au moins dans sa tête.</w:t>
      </w:r>
      <w:r>
        <w:t xml:space="preserve"> Chaque séance est pensée en amont, et l’on prévoit toujours plus de contenu que le temps ne permettra d’en traiter : mieux vaut avoir de la marge que se retrouver à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Voir en match officiel.</w:t>
      </w:r>
      <w:r>
        <w:t xml:space="preserve"> C’est en compétition que les vérités ressortent : ce qui tient sous contrainte et ce qui ne tient pas. L’observation en match officiel alimente directement les objectifs suivants.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5. Gestion mentale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phases de Nadel</w:t>
      </w:r>
      <w:r>
        <w:t xml:space="preserve"> : repérer les moments de bascule dans l’engagement et l’attention au cours de la confrontation, pour savoir quand intervenir et quand laisser faire.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rituels</w:t>
      </w:r>
      <w:r>
        <w:t xml:space="preserve"> : installer des routines stables avant et pendant l’épreuve, pour sécuriser l’entrée dans l’action et récupérer après un temps fort.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6. Points à discuter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Jusqu’où cadrer la technique sans tomber dans le carcan : où place-t-on la limite ?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Prises : définir les tolérances acceptées et le seuil de correction.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Calendrier : échelonner les objectifs techniques et tactiques jusqu’à la fin de la préparation.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Description détaillée des cinq profils du BOA.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line="264"/>
        <w:ind w:left="431" w:hanging="288"/>
      </w:pPr>
    </w:lvl>
    <w:lvl w:ilvl="1" w15:tentative="1">
      <w:start w:val="1"/>
      <w:numFmt w:val="bullet"/>
      <w:lvlText w:val="–"/>
      <w:lvlJc w:val="left"/>
      <w:pPr>
        <w:ind w:left="89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d’entraînement — Formation du jeune joueur — tactique, technique et conduite des séances</dc:title>
  <dc:creator>Projet d’entraînement</dc:creator>
  <cp:lastModifiedBy>Un-named</cp:lastModifiedBy>
  <cp:revision>1</cp:revision>
  <dcterms:created xsi:type="dcterms:W3CDTF">2026-09-22T07:57:45.736Z</dcterms:created>
  <dcterms:modified xsi:type="dcterms:W3CDTF">2026-09-22T07:57:45.737Z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