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F3864"/>
          <w:sz w:val="48"/>
          <w:szCs w:val="48"/>
        </w:rPr>
        <w:t xml:space="preserve">Projet d’entraînement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Technique, tactique et conduite des séances</w:t>
      </w:r>
    </w:p>
    <w:p>
      <w:pPr>
        <w:pBdr>
          <w:bottom w:val="single" w:color="1F3864" w:sz="12" w:space="10"/>
        </w:pBdr>
        <w:spacing w:after="520"/>
        <w:jc w:val="center"/>
      </w:pPr>
      <w:r>
        <w:rPr>
          <w:i/>
          <w:iCs/>
          <w:color w:val="595959"/>
          <w:sz w:val="20"/>
          <w:szCs w:val="20"/>
        </w:rPr>
        <w:t xml:space="preserve">Document de travail — septembre 2026</w:t>
      </w:r>
    </w:p>
    <w:p>
      <w:pPr>
        <w:spacing w:after="120" w:before="60" w:line="276"/>
        <w:jc w:val="both"/>
      </w:pPr>
      <w:r>
        <w:t xml:space="preserve">Ce document rassemble les axes de travail retenus pour la préparation. Il s’organise en cinq volets : </w:t>
      </w:r>
      <w:r>
        <w:rPr>
          <w:b/>
          <w:bCs/>
        </w:rPr>
        <w:t xml:space="preserve">la technique</w:t>
      </w:r>
      <w:r>
        <w:t xml:space="preserve">, </w:t>
      </w:r>
      <w:r>
        <w:rPr>
          <w:b/>
          <w:bCs/>
        </w:rPr>
        <w:t xml:space="preserve">la tactique</w:t>
      </w:r>
      <w:r>
        <w:t xml:space="preserve">, </w:t>
      </w:r>
      <w:r>
        <w:rPr>
          <w:b/>
          <w:bCs/>
        </w:rPr>
        <w:t xml:space="preserve">l’évolution du travail</w:t>
      </w:r>
      <w:r>
        <w:t xml:space="preserve">, </w:t>
      </w:r>
      <w:r>
        <w:rPr>
          <w:b/>
          <w:bCs/>
        </w:rPr>
        <w:t xml:space="preserve">les règles générales de fonctionnement</w:t>
      </w:r>
      <w:r>
        <w:t xml:space="preserve"> et </w:t>
      </w:r>
      <w:r>
        <w:rPr>
          <w:b/>
          <w:bCs/>
        </w:rPr>
        <w:t xml:space="preserve">la gestion mentale</w:t>
      </w:r>
      <w:r>
        <w:t xml:space="preserve">. Il constitue une base de départ, destinée à être complétée et ajustée au fil des séances.</w:t>
      </w:r>
    </w:p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1. Technique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1.1 Principe directeur</w:t>
      </w:r>
    </w:p>
    <w:p>
      <w:pPr>
        <w:spacing w:after="120" w:before="60" w:line="276"/>
        <w:jc w:val="both"/>
      </w:pPr>
      <w:r>
        <w:t xml:space="preserve">L’objectif n’est pas d’enfermer l’athlète dans un </w:t>
      </w:r>
      <w:r>
        <w:rPr>
          <w:b/>
          <w:bCs/>
        </w:rPr>
        <w:t xml:space="preserve">carcan technique</w:t>
      </w:r>
      <w:r>
        <w:t xml:space="preserve"> en imposant une forme gestuelle unique. On cherche en revanche une </w:t>
      </w:r>
      <w:r>
        <w:rPr>
          <w:b/>
          <w:bCs/>
        </w:rPr>
        <w:t xml:space="preserve">position des segments correcte à l’impact</w:t>
      </w:r>
      <w:r>
        <w:t xml:space="preserve">, qui reste le point de passage obligé de l’efficacité. Autour de ce repère, la liberté d’exécution est préservée.</w:t>
      </w:r>
    </w:p>
    <w:tbl>
      <w:tblPr>
        <w:tblW w:type="dxa" w:w="9070"/>
        <w:tblBorders>
          <w:top w:val="single" w:color="C9D3E6" w:sz="2"/>
          <w:left w:val="single" w:color="1F3864" w:sz="18"/>
          <w:bottom w:val="single" w:color="C9D3E6" w:sz="2"/>
          <w:right w:val="single" w:color="C9D3E6" w:sz="2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F2F5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Objectif échéance : </w:t>
            </w:r>
            <w:r>
              <w:rPr>
                <w:color w:val="262626"/>
                <w:sz w:val="20"/>
                <w:szCs w:val="20"/>
              </w:rPr>
              <w:t xml:space="preserve">position des segments correcte à l’impact acquise en fin de préparation.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1.2 Éléments fondamentaux et apprentissage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Éléments fondamentaux</w:t>
      </w:r>
      <w:r>
        <w:t xml:space="preserve"> : identifier le socle non négociable, commun à tous, sur lequel s’appuie toute la construction technique.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Distinction haut niveau / apprentissage</w:t>
      </w:r>
      <w:r>
        <w:t xml:space="preserve"> : ce qui s’observe chez les meilleurs n’est pas directement transposable à l’apprentissage. Il faut distinguer le modèle de référence de la marche à suivre pour y parvenir.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1.3 Respecter les lois biomécaniques</w:t>
      </w:r>
    </w:p>
    <w:p>
      <w:pPr>
        <w:spacing w:after="120" w:before="60" w:line="276"/>
        <w:jc w:val="both"/>
      </w:pPr>
      <w:r>
        <w:t xml:space="preserve">Quelle que soit la forme gestuelle retenue, elle doit respecter les principes mécaniques qui conditionnent la performance :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Deux impulsions successives</w:t>
      </w:r>
      <w:r>
        <w:t xml:space="preserve">, enchaînées sans rupture.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Générer de l’énergie</w:t>
      </w:r>
      <w:r>
        <w:t xml:space="preserve"> et la transmettre, plutôt que la dissiper.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t xml:space="preserve">Travailler les </w:t>
      </w:r>
      <w:r>
        <w:rPr>
          <w:b/>
          <w:bCs/>
        </w:rPr>
        <w:t xml:space="preserve">appuis, les transferts et la suspension</w:t>
      </w:r>
      <w:r>
        <w:t xml:space="preserve">, qui conditionnent la qualité de la mise en action.</w:t>
      </w:r>
    </w:p>
    <w:tbl>
      <w:tblPr>
        <w:tblW w:type="dxa" w:w="9070"/>
        <w:tblBorders>
          <w:top w:val="single" w:color="C9D3E6" w:sz="2"/>
          <w:left w:val="single" w:color="1F3864" w:sz="18"/>
          <w:bottom w:val="single" w:color="C9D3E6" w:sz="2"/>
          <w:right w:val="single" w:color="C9D3E6" w:sz="2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F2F5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Critère de réussite : </w:t>
            </w:r>
            <w:r>
              <w:rPr>
                <w:color w:val="262626"/>
                <w:sz w:val="20"/>
                <w:szCs w:val="20"/>
              </w:rPr>
              <w:t xml:space="preserve">vitesse maximale au moment de l’impact.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1.4 Méthodes et outils</w:t>
      </w:r>
    </w:p>
    <w:p>
      <w:pPr>
        <w:spacing w:after="120" w:before="60" w:line="276"/>
        <w:jc w:val="both"/>
      </w:pPr>
      <w:r>
        <w:t xml:space="preserve">Trois entrées complémentaires sont mobilisées selon le moment de la saison et le niveau de maîtrise :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Méthode évolutive</w:t>
      </w:r>
      <w:r>
        <w:t xml:space="preserve"> : complexifier progressivement la tâche.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Méthode analytique</w:t>
      </w:r>
      <w:r>
        <w:t xml:space="preserve"> : isoler un élément pour le corriger.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Méthode globale</w:t>
      </w:r>
      <w:r>
        <w:t xml:space="preserve"> : replacer le geste dans la situation complète.</w:t>
      </w:r>
    </w:p>
    <w:p>
      <w:pPr>
        <w:spacing w:after="120" w:before="60" w:line="276"/>
        <w:jc w:val="both"/>
      </w:pPr>
      <w:r>
        <w:t xml:space="preserve">L’</w:t>
      </w:r>
      <w:r>
        <w:rPr>
          <w:b/>
          <w:bCs/>
        </w:rPr>
        <w:t xml:space="preserve">analyse vidéo</w:t>
      </w:r>
      <w:r>
        <w:t xml:space="preserve"> sert de support à ce travail : elle objective ce qui est observé et permet de </w:t>
      </w:r>
      <w:r>
        <w:rPr>
          <w:b/>
          <w:bCs/>
        </w:rPr>
        <w:t xml:space="preserve">fixer des objectifs précis</w:t>
      </w:r>
      <w:r>
        <w:t xml:space="preserve"> avec l’athlète.</w:t>
      </w:r>
    </w:p>
    <w:tbl>
      <w:tblPr>
        <w:tblW w:type="dxa" w:w="9070"/>
        <w:tblBorders>
          <w:top w:val="single" w:color="C9D3E6" w:sz="2"/>
          <w:left w:val="single" w:color="1F3864" w:sz="18"/>
          <w:bottom w:val="single" w:color="C9D3E6" w:sz="2"/>
          <w:right w:val="single" w:color="C9D3E6" w:sz="2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F2F5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À préciser : </w:t>
            </w:r>
            <w:r>
              <w:rPr>
                <w:color w:val="262626"/>
                <w:sz w:val="20"/>
                <w:szCs w:val="20"/>
              </w:rPr>
              <w:t xml:space="preserve">la question des prises — quelles tolérances accepte-t-on, et à partir de quel écart corrige-t-on ?</w:t>
            </w:r>
          </w:p>
        </w:tc>
      </w:tr>
    </w:tbl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2. Tactique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2.1 Le BOA ascendant</w:t>
      </w:r>
    </w:p>
    <w:p>
      <w:pPr>
        <w:spacing w:after="120" w:before="60" w:line="276"/>
        <w:jc w:val="both"/>
      </w:pPr>
      <w:r>
        <w:t xml:space="preserve">La construction tactique repose sur un </w:t>
      </w:r>
      <w:r>
        <w:rPr>
          <w:b/>
          <w:bCs/>
        </w:rPr>
        <w:t xml:space="preserve">BOA ascendant</w:t>
      </w:r>
      <w:r>
        <w:t xml:space="preserve"> : une progression qui monte en exigence au fil de la confrontation. Comme en technique, le principe reste de </w:t>
      </w:r>
      <w:r>
        <w:rPr>
          <w:b/>
          <w:bCs/>
        </w:rPr>
        <w:t xml:space="preserve">ne pas enfermer son plan dans un carcan tactique</w:t>
      </w:r>
      <w:r>
        <w:t xml:space="preserve"> : le plan donne une direction, il ne dicte pas chaque choix.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2.2 L’image de l’arbre</w:t>
      </w:r>
    </w:p>
    <w:p>
      <w:pPr>
        <w:spacing w:after="120" w:before="60" w:line="276"/>
        <w:jc w:val="both"/>
      </w:pPr>
      <w:r>
        <w:t xml:space="preserve">L’</w:t>
      </w:r>
      <w:r>
        <w:rPr>
          <w:b/>
          <w:bCs/>
        </w:rPr>
        <w:t xml:space="preserve">image de l’arbre</w:t>
      </w:r>
      <w:r>
        <w:t xml:space="preserve"> sert de support de communication : un tronc commun — les principes qui ne bougent pas — et des branches, c’est-à-dire les variantes disponibles selon l’adversaire et le moment. Elle rend visible le fait qu’un même plan autorise plusieurs chemins.</w:t>
      </w:r>
    </w:p>
    <w:p>
      <w:pPr>
        <w:pStyle w:val="Heading2"/>
        <w:spacing w:after="80" w:before="240"/>
      </w:pPr>
      <w:r>
        <w:rPr>
          <w:b/>
          <w:bCs/>
          <w:color w:val="1F3864"/>
          <w:sz w:val="24"/>
          <w:szCs w:val="24"/>
        </w:rPr>
        <w:t xml:space="preserve">2.3 Les profils</w:t>
      </w:r>
    </w:p>
    <w:p>
      <w:pPr>
        <w:spacing w:after="120" w:before="60" w:line="276"/>
        <w:jc w:val="both"/>
      </w:pPr>
      <w:r>
        <w:t xml:space="preserve">La description du BOA s’appuie sur des profils imagés, faciles à nommer et à reconnaître en situation :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 lion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 magicien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La souris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 caméléon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 renard</w:t>
      </w:r>
    </w:p>
    <w:p>
      <w:pPr>
        <w:spacing w:after="120" w:before="60" w:line="276"/>
        <w:jc w:val="both"/>
      </w:pPr>
      <w:r>
        <w:t xml:space="preserve">Chaque profil sera décrit et illustré : comportements caractéristiques, situations où il est pertinent, et réponses à lui opposer.</w:t>
      </w:r>
    </w:p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3. Évolution du travail</w:t>
      </w:r>
    </w:p>
    <w:p>
      <w:pPr>
        <w:spacing w:after="120" w:before="60" w:line="276"/>
        <w:jc w:val="both"/>
      </w:pPr>
      <w:r>
        <w:t xml:space="preserve">La progression du contenu au fil de la période s’appuie sur deux leviers :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Jouer sur le temps — le principe de l’accordéon</w:t>
      </w:r>
      <w:r>
        <w:t xml:space="preserve"> : enlever du temps pour contraindre la décision et l’exécution, puis le redonner pour consolider. L’alternance entre resserrement et relâchement structure la montée en charge.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 travail des enchaînements</w:t>
      </w:r>
      <w:r>
        <w:t xml:space="preserve">, d’abord vers l’avant, puis étendu à l’ensemble des situations. C’est le fil conducteur qui relie le travail technique au jeu réel.</w:t>
      </w:r>
    </w:p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4. Règles générales de fonctionnement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Fixer des objectifs.</w:t>
      </w:r>
      <w:r>
        <w:t xml:space="preserve"> Des objectifs clairs rendent la préparation des séances nettement plus simple : ils donnent un critère pour choisir les contenus et pour évaluer ce qui a été fait.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Préparer, au moins dans sa tête.</w:t>
      </w:r>
      <w:r>
        <w:t xml:space="preserve"> Chaque séance est pensée en amont, et l’on prévoit toujours plus de contenu que le temps ne permettra d’en traiter : mieux vaut avoir de la marge que se retrouver à court.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Voir en match officiel.</w:t>
      </w:r>
      <w:r>
        <w:t xml:space="preserve"> C’est en compétition que les vérités ressortent : ce qui tient sous contrainte et ce qui ne tient pas. L’observation en match officiel alimente directement les objectifs suivants.</w:t>
      </w:r>
    </w:p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5. Gestion mentale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Les phases de Nadel</w:t>
      </w:r>
      <w:r>
        <w:t xml:space="preserve"> : repérer les moments de bascule dans l’engagement et l’attention au cours de la confrontation, pour savoir quand intervenir et quand laisser faire.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rPr>
          <w:b/>
          <w:bCs/>
        </w:rPr>
        <w:t xml:space="preserve">Les rituels</w:t>
      </w:r>
      <w:r>
        <w:t xml:space="preserve"> : installer des routines stables avant et pendant l’épreuve, pour sécuriser l’entrée dans l’action et récupérer après un temps fort.</w:t>
      </w:r>
    </w:p>
    <w:p>
      <w:pPr>
        <w:pStyle w:val="Heading1"/>
        <w:pBdr>
          <w:bottom w:val="single" w:color="1F3864" w:sz="6" w:space="6"/>
        </w:pBdr>
        <w:spacing w:after="160" w:before="380"/>
      </w:pPr>
      <w:r>
        <w:rPr>
          <w:b/>
          <w:bCs/>
          <w:color w:val="1F3864"/>
          <w:sz w:val="30"/>
          <w:szCs w:val="30"/>
        </w:rPr>
        <w:t xml:space="preserve">6. Points à discuter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t xml:space="preserve">Jusqu’où cadrer la technique sans tomber dans le carcan : où place-t-on la limite ?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t xml:space="preserve">Prises : définir les tolérances acceptées et le seuil de correction.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t xml:space="preserve">Calendrier : échelonner les objectifs techniques et tactiques jusqu’à la fin de la préparation.</w:t>
      </w:r>
    </w:p>
    <w:p>
      <w:pPr>
        <w:pStyle w:val="ListParagraph"/>
        <w:numPr>
          <w:ilvl w:val="0"/>
          <w:numId w:val="2"/>
        </w:numPr>
        <w:spacing w:after="50" w:before="50" w:line="264"/>
      </w:pPr>
      <w:r>
        <w:t xml:space="preserve">Description détaillée des cinq profils du BOA.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264"/>
        <w:ind w:left="431" w:hanging="288"/>
      </w:pPr>
    </w:lvl>
    <w:lvl w:ilvl="1" w15:tentative="1">
      <w:start w:val="1"/>
      <w:numFmt w:val="bullet"/>
      <w:lvlText w:val="–"/>
      <w:lvlJc w:val="left"/>
      <w:pPr>
        <w:ind w:left="89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d’entraînement — Technique, tactique et conduite des séances</dc:title>
  <dc:creator>Projet d’entraînement</dc:creator>
  <cp:lastModifiedBy>Un-named</cp:lastModifiedBy>
  <cp:revision>1</cp:revision>
  <dcterms:created xsi:type="dcterms:W3CDTF">2026-09-22T07:27:03.917Z</dcterms:created>
  <dcterms:modified xsi:type="dcterms:W3CDTF">2026-09-22T07:27:03.917Z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