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1F3864"/>
          <w:sz w:val="48"/>
          <w:szCs w:val="48"/>
        </w:rPr>
        <w:t xml:space="preserve">Projet d’entraînement</w:t>
      </w:r>
    </w:p>
    <w:p>
      <w:pPr>
        <w:spacing w:after="200"/>
        <w:jc w:val="center"/>
      </w:pPr>
      <w:r>
        <w:rPr>
          <w:color w:val="595959"/>
          <w:sz w:val="26"/>
          <w:szCs w:val="26"/>
        </w:rPr>
        <w:t xml:space="preserve">Formation du jeune joueur — tactique, technique et conduite des séances</w:t>
      </w:r>
    </w:p>
    <w:p>
      <w:pPr>
        <w:pBdr>
          <w:bottom w:val="single" w:color="1F3864" w:sz="12" w:space="10"/>
        </w:pBdr>
        <w:spacing w:after="520"/>
        <w:jc w:val="center"/>
      </w:pPr>
      <w:r>
        <w:rPr>
          <w:i/>
          <w:iCs/>
          <w:color w:val="595959"/>
          <w:sz w:val="20"/>
          <w:szCs w:val="20"/>
        </w:rPr>
        <w:t xml:space="preserve">Document de travail — septembre 2026</w:t>
      </w:r>
    </w:p>
    <w:p>
      <w:pPr>
        <w:spacing w:after="120" w:before="60" w:line="276"/>
        <w:jc w:val="both"/>
      </w:pPr>
      <w:r>
        <w:t xml:space="preserve">Ce document rassemble les axes de travail retenus pour la préparation. Il s’organise en cinq volets : </w:t>
      </w:r>
      <w:r>
        <w:rPr>
          <w:b/>
          <w:bCs/>
        </w:rPr>
        <w:t xml:space="preserve">la tactique</w:t>
      </w:r>
      <w:r>
        <w:t xml:space="preserve">, </w:t>
      </w:r>
      <w:r>
        <w:rPr>
          <w:b/>
          <w:bCs/>
        </w:rPr>
        <w:t xml:space="preserve">la technique</w:t>
      </w:r>
      <w:r>
        <w:t xml:space="preserve">, </w:t>
      </w:r>
      <w:r>
        <w:rPr>
          <w:b/>
          <w:bCs/>
        </w:rPr>
        <w:t xml:space="preserve">l’évolution de l’apprentissage du BOA</w:t>
      </w:r>
      <w:r>
        <w:t xml:space="preserve">, </w:t>
      </w:r>
      <w:r>
        <w:rPr>
          <w:b/>
          <w:bCs/>
        </w:rPr>
        <w:t xml:space="preserve">les règles générales de fonctionnement</w:t>
      </w:r>
      <w:r>
        <w:t xml:space="preserve"> et </w:t>
      </w:r>
      <w:r>
        <w:rPr>
          <w:b/>
          <w:bCs/>
        </w:rPr>
        <w:t xml:space="preserve">la gestion mentale</w:t>
      </w:r>
      <w:r>
        <w:t xml:space="preserve">. Il part du « produit » final visé — le joueur que l’on veut obtenir au terme de la formation — et remonte vers les contenus de séance. Il constitue une base de départ, destinée à être complétée et ajustée au fil des séances.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1. Tactique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BOA</w:t>
      </w:r>
      <w:r>
        <w:t xml:space="preserve"> est l’</w:t>
      </w:r>
      <w:r>
        <w:rPr>
          <w:b/>
          <w:bCs/>
        </w:rPr>
        <w:t xml:space="preserve">image générale de ce que l’on veut obtenir de l’enfant au bout de sa formation</w:t>
      </w:r>
      <w:r>
        <w:t xml:space="preserve">. Autrement dit : de celui qui commence à jouer au tennis aujourd’hui, quel joueur souhaite-t-on voir sortir à l’issue du parcours ? Le BOA répond à cette question — il décrit le « produit » final visé.</w:t>
      </w:r>
    </w:p>
    <w:p>
      <w:pPr>
        <w:spacing w:after="120" w:before="60" w:line="276"/>
        <w:jc w:val="both"/>
      </w:pPr>
      <w:r>
        <w:t xml:space="preserve">C’est la référence vers laquelle tend l’ensemble du travail. Tout ce qui suit — tactique comme technique — ne se justifie que par rapport à cette image d’arrivée : chaque contenu de séance doit pouvoir s’y rattacher.</w:t>
      </w:r>
    </w:p>
    <w:p>
      <w:pPr>
        <w:spacing w:after="120" w:before="60" w:line="276"/>
        <w:jc w:val="both"/>
      </w:pPr>
      <w:r>
        <w:t xml:space="preserve">Ce travail commence immédiatement : </w:t>
      </w:r>
      <w:r>
        <w:rPr>
          <w:b/>
          <w:bCs/>
        </w:rPr>
        <w:t xml:space="preserve">dès le tout premier cours d’un enfant de trois ans, on bosse déjà pour en faire un bon BOA</w:t>
      </w:r>
      <w:r>
        <w:t xml:space="preserve">. Il n’y a pas un âge où l’on ferait « autre chose » avant d’entrer dans la démarche, puis un âge où l’on s’y mettrait vraiment. La mini-compétition du plus jeune et le match du joueur formé relèvent de la même intention, avec des moyens adaptés à chaque âge.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retenir : </w:t>
            </w:r>
            <w:r>
              <w:rPr>
                <w:color w:val="262626"/>
                <w:sz w:val="20"/>
                <w:szCs w:val="20"/>
              </w:rPr>
              <w:t xml:space="preserve">le BOA n’est pas un exercice ni une consigne de match. C’est l’image générale du joueur que l’on veut obtenir au terme de la formation — le « produit » final.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1.1 Respecter la personnalité de l’enfant</w:t>
      </w:r>
    </w:p>
    <w:p>
      <w:pPr>
        <w:spacing w:after="120" w:before="60" w:line="276"/>
        <w:jc w:val="both"/>
      </w:pPr>
      <w:r>
        <w:t xml:space="preserve">Pour ne pas enfermer l’enfant dans un </w:t>
      </w:r>
      <w:r>
        <w:rPr>
          <w:b/>
          <w:bCs/>
        </w:rPr>
        <w:t xml:space="preserve">carcan tactique</w:t>
      </w:r>
      <w:r>
        <w:t xml:space="preserve">, il faut </w:t>
      </w:r>
      <w:r>
        <w:rPr>
          <w:b/>
          <w:bCs/>
        </w:rPr>
        <w:t xml:space="preserve">respecter sa personnalité</w:t>
      </w:r>
      <w:r>
        <w:t xml:space="preserve">. On ne cherche donc pas à construire un BOA unique, valable pour tous, mais à en faire des </w:t>
      </w:r>
      <w:r>
        <w:rPr>
          <w:b/>
          <w:bCs/>
        </w:rPr>
        <w:t xml:space="preserve">BOA ascendants déclinés selon le profil de chacun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lion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renard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magicien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mur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caméléon</w:t>
      </w:r>
    </w:p>
    <w:p>
      <w:pPr>
        <w:spacing w:after="120" w:before="60" w:line="276"/>
        <w:jc w:val="both"/>
      </w:pPr>
      <w:r>
        <w:t xml:space="preserve">Le joueur n’a pas à entrer dans un modèle qui n’est pas le sien : c’est le BOA qui s’ajuste à sa personnalité.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1.2 Le BOA ascendant</w:t>
      </w:r>
    </w:p>
    <w:p>
      <w:pPr>
        <w:spacing w:after="120" w:before="60" w:line="276"/>
        <w:jc w:val="both"/>
      </w:pPr>
      <w:r>
        <w:t xml:space="preserve">Quel que soit le profil, la construction tactique reste </w:t>
      </w:r>
      <w:r>
        <w:rPr>
          <w:b/>
          <w:bCs/>
        </w:rPr>
        <w:t xml:space="preserve">ascendante</w:t>
      </w:r>
      <w:r>
        <w:t xml:space="preserve"> : une progression qui monte en exigence au fil de la confrontation. Le plan donne une direction, il ne dicte pas chaque choix.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1.3 L’image de l’arbre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image de l’arbre</w:t>
      </w:r>
      <w:r>
        <w:t xml:space="preserve"> sert de support de communication : un tronc commun — les principes qui ne bougent pas — et des branches, c’est-à-dire les variantes disponibles selon l’adversaire et le moment. Elle rend visible le fait qu’un même plan autorise plusieurs chemins.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1.4 Définitions — à compléter</w:t>
      </w:r>
    </w:p>
    <w:p>
      <w:pPr>
        <w:spacing w:after="120" w:before="60" w:line="276"/>
        <w:jc w:val="both"/>
      </w:pPr>
      <w:r>
        <w:t xml:space="preserve">Chaque terme sera défini et illustré : comportements caractéristiques, situations où le profil est pertinent, réponses à lui opposer, et forme que prend son BOA ascendant. Les définitions restent à écrire.</w:t>
      </w:r>
    </w:p>
    <w:tbl>
      <w:tblPr>
        <w:tblW w:type="dxa" w:w="9070"/>
        <w:tblBorders>
          <w:top w:val="single" w:color="C9D3E6" w:sz="2"/>
          <w:left w:val="single" w:color="C9D3E6" w:sz="2"/>
          <w:bottom w:val="single" w:color="C9D3E6" w:sz="2"/>
          <w:right w:val="single" w:color="C9D3E6" w:sz="2"/>
          <w:insideH w:val="single" w:color="C9D3E6" w:sz="2"/>
          <w:insideV w:val="single" w:color="C9D3E6" w:sz="2"/>
        </w:tblBorders>
      </w:tblPr>
      <w:tblGrid>
        <w:gridCol w:w="2400"/>
        <w:gridCol w:w="6670"/>
      </w:tblGrid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BOA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 — définition générale et ce que recouvre le sigle.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lion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renard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magicien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mur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caméléon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2. Technique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2.1 Principe directeur</w:t>
      </w:r>
    </w:p>
    <w:p>
      <w:pPr>
        <w:spacing w:after="120" w:before="60" w:line="276"/>
        <w:jc w:val="both"/>
      </w:pPr>
      <w:r>
        <w:t xml:space="preserve">L’objectif n’est pas d’enfermer l’athlète dans un </w:t>
      </w:r>
      <w:r>
        <w:rPr>
          <w:b/>
          <w:bCs/>
        </w:rPr>
        <w:t xml:space="preserve">carcan technique</w:t>
      </w:r>
      <w:r>
        <w:t xml:space="preserve"> en imposant une forme gestuelle unique. On cherche en revanche une </w:t>
      </w:r>
      <w:r>
        <w:rPr>
          <w:b/>
          <w:bCs/>
        </w:rPr>
        <w:t xml:space="preserve">position des segments correcte à l’impact</w:t>
      </w:r>
      <w:r>
        <w:t xml:space="preserve">, qui reste le point de passage obligé de l’efficacité. Autour de ce repère, la liberté d’exécution est préservée.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Objectif échéance : </w:t>
            </w:r>
            <w:r>
              <w:rPr>
                <w:color w:val="262626"/>
                <w:sz w:val="20"/>
                <w:szCs w:val="20"/>
              </w:rPr>
              <w:t xml:space="preserve">position des segments correcte à l’impact acquise en fin de préparation.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2.2 Dès les premiers jeux</w:t>
      </w:r>
    </w:p>
    <w:p>
      <w:pPr>
        <w:spacing w:after="120" w:before="60" w:line="276"/>
        <w:jc w:val="both"/>
      </w:pPr>
      <w:r>
        <w:t xml:space="preserve">Le BOA visé commande immédiatement le contenu technique. </w:t>
      </w:r>
      <w:r>
        <w:rPr>
          <w:b/>
          <w:bCs/>
        </w:rPr>
        <w:t xml:space="preserve">Tous les jeux et exercices proposés dès le plus jeune âge doivent être techniquement corrects</w:t>
      </w:r>
      <w:r>
        <w:t xml:space="preserve"> : on n’attend pas que l’enfant grandisse pour s’occuper de la forme. Ce qui est installé de travers au départ devra être défait plus tard — autant construire juste tout de suite.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appuis</w:t>
      </w:r>
      <w:r>
        <w:t xml:space="preserve"> s’apprennent dès les </w:t>
      </w:r>
      <w:r>
        <w:rPr>
          <w:b/>
          <w:bCs/>
        </w:rPr>
        <w:t xml:space="preserve">premières manipulations</w:t>
      </w:r>
      <w:r>
        <w:t xml:space="preserve"> : orientation, équilibre, déplacement vers la balle.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bonnes prises</w:t>
      </w:r>
      <w:r>
        <w:t xml:space="preserve"> sont mises en place d’emblée, </w:t>
      </w:r>
      <w:r>
        <w:rPr>
          <w:b/>
          <w:bCs/>
        </w:rPr>
        <w:t xml:space="preserve">dès le jeu en 2D</w:t>
      </w:r>
      <w:r>
        <w:t xml:space="preserve">.</w:t>
      </w:r>
    </w:p>
    <w:p>
      <w:pPr>
        <w:spacing w:after="120" w:before="60" w:line="276"/>
        <w:jc w:val="both"/>
      </w:pPr>
      <w:r>
        <w:t xml:space="preserve">Le jeu reste le support — l’enfant joue — mais chaque jeu est choisi pour ce qu’il construit techniquement.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2.3 Des objectifs qui évoluent avec l’enfant</w:t>
      </w:r>
    </w:p>
    <w:p>
      <w:pPr>
        <w:spacing w:after="120" w:before="60" w:line="276"/>
        <w:jc w:val="both"/>
      </w:pPr>
      <w:r>
        <w:t xml:space="preserve">Lorsque l’enfant évolue, </w:t>
      </w:r>
      <w:r>
        <w:rPr>
          <w:b/>
          <w:bCs/>
        </w:rPr>
        <w:t xml:space="preserve">les objectifs évoluent avec lui</w:t>
      </w:r>
      <w:r>
        <w:t xml:space="preserve">. Ce que l’on exige à six ans, à dix ans et à treize ans n’est pas de même nature : l’exigence se déplace à mesure que l’enfant grandit, chaque étape préparant la suivante.</w:t>
      </w:r>
    </w:p>
    <w:p>
      <w:pPr>
        <w:spacing w:after="120" w:before="60" w:line="276"/>
        <w:jc w:val="both"/>
      </w:pPr>
      <w:r>
        <w:t xml:space="preserve">L’échéance, elle, est claire : </w:t>
      </w:r>
      <w:r>
        <w:rPr>
          <w:b/>
          <w:bCs/>
        </w:rPr>
        <w:t xml:space="preserve">l’enfant doit être propre techniquement à 14 ans au maximum</w:t>
      </w:r>
      <w:r>
        <w:t xml:space="preserve">. Au-delà, les changements deviennent </w:t>
      </w:r>
      <w:r>
        <w:rPr>
          <w:b/>
          <w:bCs/>
        </w:rPr>
        <w:t xml:space="preserve">cognitivement plus difficiles</w:t>
      </w:r>
      <w:r>
        <w:t xml:space="preserve"> : le geste est automatisé, et le défaire coûte bien plus cher qu’il n’aurait coûté de le construire juste. C’est ce qui justifie l’exigence technique dès les premiers jeux.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Échéance : </w:t>
            </w:r>
            <w:r>
              <w:rPr>
                <w:color w:val="262626"/>
                <w:sz w:val="20"/>
                <w:szCs w:val="20"/>
              </w:rPr>
              <w:t xml:space="preserve">propreté technique acquise à 14 ans au plus tard — au-delà, on corrige beaucoup plus difficilement.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2.4 Un nettoyage permanent</w:t>
      </w:r>
    </w:p>
    <w:p>
      <w:pPr>
        <w:spacing w:after="120" w:before="60" w:line="276"/>
        <w:jc w:val="both"/>
      </w:pPr>
      <w:r>
        <w:t xml:space="preserve">L’échéance des 14 ans ne signifie pas que le travail technique s’arrête. </w:t>
      </w:r>
      <w:r>
        <w:rPr>
          <w:b/>
          <w:bCs/>
        </w:rPr>
        <w:t xml:space="preserve">Tout au long du cursus, il faudra nettoyer la technique</w:t>
      </w:r>
      <w:r>
        <w:t xml:space="preserve">. En tournoi en particulier, sous la pression du résultat et de l’adversaire, </w:t>
      </w:r>
      <w:r>
        <w:rPr>
          <w:b/>
          <w:bCs/>
        </w:rPr>
        <w:t xml:space="preserve">la technique peut changer</w:t>
      </w:r>
      <w:r>
        <w:t xml:space="preserve"> : le joueur prend des raccourcis, se replie sur ce qui fonctionne à l’instant, et des défauts s’installent sans qu’il s’en aperçoive.</w:t>
      </w:r>
    </w:p>
    <w:p>
      <w:pPr>
        <w:spacing w:after="120" w:before="60" w:line="276"/>
        <w:jc w:val="both"/>
      </w:pPr>
      <w:r>
        <w:t xml:space="preserve">Ce n’est pas un signe d’échec, c’est le fonctionnement normal du jeu en compétition. </w:t>
      </w:r>
      <w:r>
        <w:rPr>
          <w:b/>
          <w:bCs/>
        </w:rPr>
        <w:t xml:space="preserve">Même le numéro 1 mondial retravaille sa technique</w:t>
      </w:r>
      <w:r>
        <w:t xml:space="preserve">. Le retour régulier sur les fondamentaux fait donc partie du cursus à toutes les étapes, au même titre que le travail tactique — et non d’une phase que l’on refermerait une fois pour toutes.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2.5 Éléments fondamentaux et apprentissage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Éléments fondamentaux</w:t>
      </w:r>
      <w:r>
        <w:t xml:space="preserve"> : identifier le socle non négociable, commun à tous, sur lequel s’appuie toute la construction technique.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Distinction haut niveau / apprentissage</w:t>
      </w:r>
      <w:r>
        <w:t xml:space="preserve"> : ce qui s’observe chez les meilleurs n’est pas directement transposable à l’apprentissage. Il faut distinguer le modèle de référence de la marche à suivre pour y parvenir.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2.6 Respecter les lois biomécaniques</w:t>
      </w:r>
    </w:p>
    <w:p>
      <w:pPr>
        <w:spacing w:after="120" w:before="60" w:line="276"/>
        <w:jc w:val="both"/>
      </w:pPr>
      <w:r>
        <w:t xml:space="preserve">Quelle que soit la forme gestuelle retenue, elle doit respecter les principes mécaniques qui conditionnent la performance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Deux impulsions successives</w:t>
      </w:r>
      <w:r>
        <w:t xml:space="preserve">, enchaînées sans rupture.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Générer de l’énergie</w:t>
      </w:r>
      <w:r>
        <w:t xml:space="preserve"> et la transmettre, plutôt que la dissiper.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Travailler les </w:t>
      </w:r>
      <w:r>
        <w:rPr>
          <w:b/>
          <w:bCs/>
        </w:rPr>
        <w:t xml:space="preserve">appuis, les transferts et la suspension</w:t>
      </w:r>
      <w:r>
        <w:t xml:space="preserve">, qui conditionnent la qualité de la mise en action.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Critère de réussite : </w:t>
            </w:r>
            <w:r>
              <w:rPr>
                <w:color w:val="262626"/>
                <w:sz w:val="20"/>
                <w:szCs w:val="20"/>
              </w:rPr>
              <w:t xml:space="preserve">vitesse maximale au moment de l’impact.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2.7 Méthodes et outils</w:t>
      </w:r>
    </w:p>
    <w:p>
      <w:pPr>
        <w:spacing w:after="120" w:before="60" w:line="276"/>
        <w:jc w:val="both"/>
      </w:pPr>
      <w:r>
        <w:t xml:space="preserve">Trois entrées complémentaires sont mobilisées selon le moment de la saison et le niveau de maîtrise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évolutive</w:t>
      </w:r>
      <w:r>
        <w:t xml:space="preserve"> : complexifier progressivement la tâche.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analytique</w:t>
      </w:r>
      <w:r>
        <w:t xml:space="preserve"> : isoler un élément pour le corriger.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globale</w:t>
      </w:r>
      <w:r>
        <w:t xml:space="preserve"> : replacer le geste dans la situation complète.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analyse vidéo</w:t>
      </w:r>
      <w:r>
        <w:t xml:space="preserve"> sert de support à ce travail : elle objective ce qui est observé et permet de </w:t>
      </w:r>
      <w:r>
        <w:rPr>
          <w:b/>
          <w:bCs/>
        </w:rPr>
        <w:t xml:space="preserve">fixer des objectifs précis</w:t>
      </w:r>
      <w:r>
        <w:t xml:space="preserve"> avec l’athlète.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préciser : </w:t>
            </w:r>
            <w:r>
              <w:rPr>
                <w:color w:val="262626"/>
                <w:sz w:val="20"/>
                <w:szCs w:val="20"/>
              </w:rPr>
              <w:t xml:space="preserve">la question des prises — quelles tolérances accepte-t-on, et à partir de quel écart corrige-t-on ?</w:t>
            </w:r>
          </w:p>
        </w:tc>
      </w:tr>
    </w:tbl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3. Évolution de l’apprentissage du BOA</w:t>
      </w:r>
    </w:p>
    <w:p>
      <w:pPr>
        <w:spacing w:after="120" w:before="60" w:line="276"/>
        <w:jc w:val="both"/>
      </w:pPr>
      <w:r>
        <w:t xml:space="preserve">L’apprentissage du BOA suit une progression : on n’attaque pas les enchaînements vers l’avant d’emblée, ils supposent un préalable technique.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3.1 Le préalable : du volume avec intensité</w:t>
      </w:r>
    </w:p>
    <w:p>
      <w:pPr>
        <w:spacing w:after="120" w:before="60" w:line="276"/>
        <w:jc w:val="both"/>
      </w:pPr>
      <w:r>
        <w:t xml:space="preserve">Le travail des enchaînements vers l’avant commence </w:t>
      </w:r>
      <w:r>
        <w:rPr>
          <w:b/>
          <w:bCs/>
        </w:rPr>
        <w:t xml:space="preserve">lorsque le joueur est techniquement capable de mettre du volume avec intensité</w:t>
      </w:r>
      <w:r>
        <w:t xml:space="preserve">. C’est le signal d’entrée dans cette étape : tant que ce socle n’est pas acquis, le travail reste sur la construction technique.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3.2 Générer l’automatisme de l’accordéon</w:t>
      </w:r>
    </w:p>
    <w:p>
      <w:pPr>
        <w:spacing w:after="120" w:before="60" w:line="276"/>
        <w:jc w:val="both"/>
      </w:pPr>
      <w:r>
        <w:t xml:space="preserve">On commence par générer l’</w:t>
      </w:r>
      <w:r>
        <w:rPr>
          <w:b/>
          <w:bCs/>
        </w:rPr>
        <w:t xml:space="preserve">accordéon</w:t>
      </w:r>
      <w:r>
        <w:t xml:space="preserve"> : </w:t>
      </w:r>
      <w:r>
        <w:rPr>
          <w:b/>
          <w:bCs/>
        </w:rPr>
        <w:t xml:space="preserve">ne plus attendre la balle, mais chercher chaque fois à faire un pas vers elle</w:t>
      </w:r>
      <w:r>
        <w:t xml:space="preserve">. Le joueur cesse de subir la trajectoire et va la prendre.</w:t>
      </w:r>
    </w:p>
    <w:p>
      <w:pPr>
        <w:spacing w:after="120" w:before="60" w:line="276"/>
        <w:jc w:val="both"/>
      </w:pPr>
      <w:r>
        <w:t xml:space="preserve">Ce simple pas en avant produit deux effets, l’un sur soi, l’autre sur l’adversaire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améliore le transfert du poids du corps dans la balle</w:t>
      </w:r>
      <w:r>
        <w:t xml:space="preserve"> : l’énergie produite part vers l’avant au lieu de se perdre.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enlève du temps à l’adversaire</w:t>
      </w:r>
      <w:r>
        <w:t xml:space="preserve"> : la balle revient plus tôt, l’autre dispose de moins de temps pour se replacer et pour choisir.</w:t>
      </w:r>
    </w:p>
    <w:p>
      <w:pPr>
        <w:spacing w:after="120" w:before="60" w:line="276"/>
        <w:jc w:val="both"/>
      </w:pPr>
      <w:r>
        <w:t xml:space="preserve">L’enjeu est d’en faire un </w:t>
      </w:r>
      <w:r>
        <w:rPr>
          <w:b/>
          <w:bCs/>
        </w:rPr>
        <w:t xml:space="preserve">automatisme</w:t>
      </w:r>
      <w:r>
        <w:t xml:space="preserve">. Il ne s’agit pas d’avancer quand on y pense, mais de </w:t>
      </w:r>
      <w:r>
        <w:rPr>
          <w:b/>
          <w:bCs/>
        </w:rPr>
        <w:t xml:space="preserve">générer l’automatisme d’avancer en faisant « l’accordéon »</w:t>
      </w:r>
      <w:r>
        <w:t xml:space="preserve">. Répété sur toutes les balles et dans toutes les situations, le pas en avant devient le réflexe par défaut : le joueur n’a plus à le décider, y compris lorsque la pression du match l’inciterait à reculer.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Le principe : </w:t>
            </w:r>
            <w:r>
              <w:rPr>
                <w:color w:val="262626"/>
                <w:sz w:val="20"/>
                <w:szCs w:val="20"/>
              </w:rPr>
              <w:t xml:space="preserve">générer l’automatisme d’avancer — un pas vers la balle sur chaque frappe. On gagne en transfert et l’on prend du temps à l’adversaire.</w:t>
            </w:r>
          </w:p>
        </w:tc>
      </w:tr>
    </w:tbl>
    <w:p>
      <w:pPr>
        <w:spacing w:after="120" w:before="60" w:line="276"/>
        <w:jc w:val="both"/>
      </w:pPr>
      <w:r>
        <w:t xml:space="preserve">Cette évolution se fait </w:t>
      </w:r>
      <w:r>
        <w:rPr>
          <w:b/>
          <w:bCs/>
        </w:rPr>
        <w:t xml:space="preserve">sans perdre la solidité acquise avant</w:t>
      </w:r>
      <w:r>
        <w:t xml:space="preserve">. L’accordéon ne doit se payer ni d’un retour des fautes, ni d’une baisse du volume : le pas en avant </w:t>
      </w:r>
      <w:r>
        <w:rPr>
          <w:b/>
          <w:bCs/>
        </w:rPr>
        <w:t xml:space="preserve">s’ajoute</w:t>
      </w:r>
      <w:r>
        <w:t xml:space="preserve"> au socle, il ne le remplace pas. Si la solidité recule, on revient la consolider avant de repousser l’exigence.</w:t>
      </w:r>
    </w:p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3.3 Le travail des enchaînements</w:t>
      </w:r>
    </w:p>
    <w:p>
      <w:pPr>
        <w:spacing w:after="120" w:before="60" w:line="276"/>
        <w:jc w:val="both"/>
      </w:pPr>
      <w:r>
        <w:t xml:space="preserve">L’accordéon installé, le travail se poursuit sur les </w:t>
      </w:r>
      <w:r>
        <w:rPr>
          <w:b/>
          <w:bCs/>
        </w:rPr>
        <w:t xml:space="preserve">enchaînements vers l’avant</w:t>
      </w:r>
      <w:r>
        <w:t xml:space="preserve">, puis s’étend à l’ensemble des situations. C’est le fil conducteur qui relie le travail technique au jeu réel, et qui ramène le joueur vers le BOA visé.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4. Règles générales de fonctionnement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Fixer des objectifs.</w:t>
      </w:r>
      <w:r>
        <w:t xml:space="preserve"> Des objectifs clairs rendent la préparation des séances nettement plus simple : ils donnent un critère pour choisir les contenus et pour évaluer ce qui a été fait.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Préparer, au moins dans sa tête.</w:t>
      </w:r>
      <w:r>
        <w:t xml:space="preserve"> Chaque séance est pensée en amont, et l’on prévoit toujours plus de contenu que le temps ne permettra d’en traiter : mieux vaut avoir de la marge que se retrouver à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Voir en match officiel.</w:t>
      </w:r>
      <w:r>
        <w:t xml:space="preserve"> C’est en compétition que les vérités ressortent : ce qui tient sous contrainte et ce qui ne tient pas. L’observation en match officiel alimente directement les objectifs suivants.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5. Gestion mentale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phases de Nadel</w:t>
      </w:r>
      <w:r>
        <w:t xml:space="preserve"> : repérer les moments de bascule dans l’engagement et l’attention au cours de la confrontation, pour savoir quand intervenir et quand laisser faire.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rituels</w:t>
      </w:r>
      <w:r>
        <w:t xml:space="preserve"> : installer des routines stables avant et pendant l’épreuve, pour sécuriser l’entrée dans l’action et récupérer après un temps fort.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6. Points à discuter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Jusqu’où cadrer la technique sans tomber dans le carcan : où place-t-on la limite ?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Prises : définir les tolérances acceptées et le seuil de correction.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Calendrier : échelonner les objectifs techniques et tactiques jusqu’à la fin de la préparation.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Description détaillée des cinq profils du BOA.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line="264"/>
        <w:ind w:left="431" w:hanging="288"/>
      </w:pPr>
    </w:lvl>
    <w:lvl w:ilvl="1" w15:tentative="1">
      <w:start w:val="1"/>
      <w:numFmt w:val="bullet"/>
      <w:lvlText w:val="–"/>
      <w:lvlJc w:val="left"/>
      <w:pPr>
        <w:ind w:left="89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d’entraînement — Formation du jeune joueur — tactique, technique et conduite des séances</dc:title>
  <dc:creator>Projet d’entraînement</dc:creator>
  <cp:lastModifiedBy>Un-named</cp:lastModifiedBy>
  <cp:revision>1</cp:revision>
  <dcterms:created xsi:type="dcterms:W3CDTF">2026-09-22T07:52:28.847Z</dcterms:created>
  <dcterms:modified xsi:type="dcterms:W3CDTF">2026-09-22T07:52:28.847Z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