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4381500" cy="124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 w:line="276"/>
        <w:jc w:val="center"/>
      </w:pPr>
      <w:r>
        <w:rPr>
          <w:rFonts w:ascii="Calibri" w:cs="Calibri" w:eastAsia="Calibri" w:hAnsi="Calibri"/>
          <w:b/>
          <w:bCs/>
          <w:color w:val="C0392B"/>
          <w:sz w:val="38"/>
          <w:szCs w:val="38"/>
        </w:rPr>
        <w:t xml:space="preserve">RÉUNION ANNUELLE DES MONITEURS</w:t>
      </w:r>
    </w:p>
    <w:p>
      <w:pPr>
        <w:spacing w:after="60" w:before="0" w:line="276"/>
        <w:jc w:val="center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Saison 2026 – 2027</w:t>
      </w:r>
    </w:p>
    <w:p>
      <w:pPr>
        <w:spacing w:after="40" w:before="0" w:line="276"/>
        <w:jc w:val="center"/>
      </w:pPr>
      <w:r>
        <w:rPr>
          <w:rFonts w:ascii="Calibri" w:cs="Calibri" w:eastAsia="Calibri" w:hAnsi="Calibri"/>
          <w:color w:val="2E2E2E"/>
          <w:sz w:val="22"/>
          <w:szCs w:val="22"/>
        </w:rPr>
        <w:t xml:space="preserve">Lundi 21 septembre 2026</w:t>
      </w:r>
    </w:p>
    <w:p>
      <w:pPr>
        <w:pBdr>
          <w:bottom w:val="single" w:color="8A9E28" w:sz="8" w:space="10"/>
        </w:pBdr>
        <w:spacing w:after="480" w:before="0" w:line="276"/>
        <w:jc w:val="center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Lambermont Royal Tennis Club &amp; School – Bruxelles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Ordre du jour</w:t>
      </w:r>
    </w:p>
    <w:p>
      <w:pPr>
        <w:spacing w:after="2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Ce document reprend l’ensemble des points abordés lors de la réunion. Gardez-le : il sert de référence pour toute la saison.</w:t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DDDDDD" w:sz="2"/>
          <w:insideV w:val="none" w:color="FFFFFF" w:sz="0"/>
        </w:tblBorders>
      </w:tblPr>
      <w:tblGrid>
        <w:gridCol w:w="680"/>
        <w:gridCol w:w="8957"/>
      </w:tblGrid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Bilan de la saison 2025-2026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inscriptions 2026-2027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Calendrier des cours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Balles et matériel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Vacances et remplacements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Ponctualité, présences, League Cup et rassemblements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7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règles de base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8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Formations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9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vestimentaire et savoir-être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10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Esprit d’équipe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11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kot : ordre et accès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12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Les cours privés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13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Assurances et responsabilité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14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 pédagogique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15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Remarques, suggestions, tour de table</w:t>
            </w:r>
          </w:p>
        </w:tc>
      </w:tr>
      <w:tr>
        <w:tc>
          <w:tcPr>
            <w:tcW w:type="dxa" w:w="680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21"/>
                <w:szCs w:val="21"/>
              </w:rPr>
              <w:t xml:space="preserve">16</w:t>
            </w:r>
          </w:p>
        </w:tc>
        <w:tc>
          <w:tcPr>
            <w:tcW w:type="dxa" w:w="8957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Programmes, terrains et listes d’élèves</w:t>
            </w:r>
          </w:p>
        </w:tc>
      </w:tr>
    </w:tbl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Bilan de la saison 2025-2026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Tour de table sur la saison écoulée, cours et stages confondus : ce qui a bien fonctionné et ce que nous voulons améliorer.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points de vigilance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Surveillance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présence active sur le terrain du début à la fin des rotations et des cours. La sécurité des enfants passe avant tout le reste.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Pédagogie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des exercices préparés, variés et adaptés au niveau réel du groupe. On ne s’improvise pas en arrivant sur le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Usage du 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c’est le point qui revient le plus dans les retours des parents. Voir le point 7.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Implication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montrer une envie, une motivation d’être avec les enfants et de les faire progresser.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Organisation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document vous sera remis avant le début de chaque stage.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Obligation de le relire chaque semaine !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positifs à souligner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Bonne affluence, et de bons retours des parents en général.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Points à améliorer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semaine qui a suivi mon retour de vacances a été la pire de toute l’année.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Pour quelle raison ? Un relâchement pendant mon absence ? Vos suggestions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inscriptions 2026-2027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Nombre d’inscrits constant, avec un taux de réinscription supérieur à 80 %.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j’ai essayé de constituer les groupes les plus homogènes possibles. Il faudra voir si des changements s’imposent après le premier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N’attendez pas des semaines avant de me prévenir qu’il y a des soucis dans un groupe !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Calendrier des cours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Comme chaque année, nous suivons le calendrier des vacances scolaires francophones.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Remise du calendrier à chacun.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Balles et matériel</w:t>
      </w:r>
    </w:p>
    <w:p>
      <w:pPr>
        <w:spacing w:after="160" w:before="0" w:line="276"/>
      </w:pPr>
      <w:r>
        <w:rPr>
          <w:rFonts w:ascii="Calibri" w:cs="Calibri" w:eastAsia="Calibri" w:hAnsi="Calibri"/>
          <w:b/>
          <w:bCs/>
          <w:color w:val="2E2E2E"/>
          <w:sz w:val="22"/>
          <w:szCs w:val="22"/>
        </w:rPr>
        <w:t xml:space="preserve">Le système mis en place l’an dernier est un échec.</w:t>
      </w:r>
    </w:p>
    <w:p>
      <w:pPr>
        <w:spacing w:after="70" w:before="0" w:line="276"/>
      </w:pPr>
      <w:r>
        <w:rPr>
          <w:rFonts w:ascii="Calibri" w:cs="Calibri" w:eastAsia="Calibri" w:hAnsi="Calibri"/>
          <w:b/>
          <w:bCs/>
          <w:color w:val="6E6E6E"/>
          <w:sz w:val="16"/>
          <w:szCs w:val="16"/>
        </w:rPr>
        <w:t xml:space="preserve">CE QUI AVAIT ÉTÉ DÉCIDÉ L’AN DERNIER</w:t>
      </w:r>
    </w:p>
    <w:tbl>
      <w:tblPr>
        <w:tblW w:type="dxa" w:w="9637"/>
        <w:tblBorders>
          <w:top w:val="none" w:color="FFFFFF" w:sz="0"/>
          <w:left w:val="single" w:color="BBBBBB" w:sz="1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7F7F5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« Une cagnotte démarre à 2 500 € en début de saison et sert à vous récompenser en fin d’année. Elle diminue à chaque négligence constatée :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1 €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balle retrouvée traînant sur ou autour des terrains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par matériel retrouvé dehors ou non rangé dans le kot</w:t>
            </w:r>
          </w:p>
          <w:p>
            <w:pPr>
              <w:spacing w:after="70" w:before="0" w:line="276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6E6E6E"/>
                <w:sz w:val="21"/>
                <w:szCs w:val="21"/>
              </w:rPr>
              <w:t xml:space="preserve">– 5 € </w:t>
            </w: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si le moniteur n’est pas en tenue Babolat ou à l’effigie du club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21"/>
                <w:szCs w:val="21"/>
              </w:rPr>
              <w:t xml:space="preserve">Le solde restant en fin de saison est réparti entre les moniteurs. Si le budget de 2 500 € venait à être dépassé, nous passerions à un système où les balles deviennent payantes pour vous. »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300" w:before="0" w:line="276"/>
      </w:pP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Résultat : toujours la même négligence. Le système ne fonctionne pas.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nouveau système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Fini la cagnotte collective. Chacun est désormais responsable de ses propres balles, et une balle perdue se paie.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paniers</w:t>
      </w:r>
    </w:p>
    <w:tbl>
      <w:tblPr>
        <w:tblW w:type="dxa" w:w="9637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587"/>
        <w:gridCol w:w="5669"/>
        <w:gridCol w:w="2381"/>
      </w:tblGrid>
      <w:tr>
        <w:trPr>
          <w:tblHeader/>
        </w:trPr>
        <w:tc>
          <w:tcPr>
            <w:tcW w:type="dxa" w:w="1587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Marquage</w:t>
            </w:r>
          </w:p>
        </w:tc>
        <w:tc>
          <w:tcPr>
            <w:tcW w:type="dxa" w:w="5669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Panier de</w:t>
            </w:r>
          </w:p>
        </w:tc>
        <w:tc>
          <w:tcPr>
            <w:tcW w:type="dxa" w:w="238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Contenu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Y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Yassine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E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Elias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T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Taha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J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Julien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M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Mario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</w:t>
            </w:r>
          </w:p>
        </w:tc>
      </w:tr>
      <w:tr>
        <w:tc>
          <w:tcPr>
            <w:tcW w:type="dxa" w:w="1587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4"/>
                <w:szCs w:val="24"/>
              </w:rPr>
              <w:t xml:space="preserve">A</w:t>
            </w:r>
          </w:p>
        </w:tc>
        <w:tc>
          <w:tcPr>
            <w:tcW w:type="dxa" w:w="5669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Les autres moniteurs</w:t>
            </w: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 — deux paniers communs</w:t>
            </w:r>
          </w:p>
        </w:tc>
        <w:tc>
          <w:tcPr>
            <w:tcW w:type="dxa" w:w="2381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60 balles chacun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balles sont marquées de la première lettre de votre prénom. Une balle qui traîne dit immédiatement à qui elle appartient.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Votre panier est le vôtre : vous le gérez, vous le rangez, vous le retrouvez complet.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moniteurs sans panier personnel utilisent les deux paniers « A ».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comptage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Quatre comptages sur la saison, à la fin de chaque période.</w:t>
      </w:r>
    </w:p>
    <w:tbl>
      <w:tblPr>
        <w:tblW w:type="dxa" w:w="623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551"/>
        <w:gridCol w:w="3685"/>
      </w:tblGrid>
      <w:tr>
        <w:trPr>
          <w:tblHeader/>
        </w:trPr>
        <w:tc>
          <w:tcPr>
            <w:tcW w:type="dxa" w:w="2551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Période</w:t>
            </w:r>
          </w:p>
        </w:tc>
        <w:tc>
          <w:tcPr>
            <w:tcW w:type="dxa" w:w="3685"/>
            <w:shd w:fill="8A9E28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Durée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1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2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7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3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6 semaines</w:t>
            </w:r>
          </w:p>
        </w:tc>
      </w:tr>
      <w:tr>
        <w:tc>
          <w:tcPr>
            <w:tcW w:type="dxa" w:w="2551"/>
            <w:shd w:fill="FAFAF5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1"/>
                <w:szCs w:val="21"/>
              </w:rPr>
              <w:t xml:space="preserve">4</w:t>
            </w:r>
          </w:p>
        </w:tc>
        <w:tc>
          <w:tcPr>
            <w:tcW w:type="dxa" w:w="3685"/>
            <w:shd w:fill="FFFFFF" w:color="auto" w:val="clear"/>
            <w:tcMar>
              <w:top w:type="dxa" w:w="113"/>
              <w:left w:type="dxa" w:w="170"/>
              <w:bottom w:type="dxa" w:w="113"/>
              <w:right w:type="dxa" w:w="17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8 semaines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À chaque comptage, on compte les balles restantes dans votre panier. Chaque balle manquante est déduite du salaire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1,95 €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soit le prix coûtant d’une balle.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ne gagne rien sur ce système : il responsabilise davantage la gestion des balles par les moniteurs.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Paniers « A »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le montant manquant est réparti entre les moniteurs concernés, au prorata du nombre d’heures pendant lesquelles chacun a utilisé ces paniers.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balles rouges, oranges et vertes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de panier personnel pour ces balles : tout le monde est dans le même système.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Comptage à la fin de chaque période également. Chaque balle manquante est déduite à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1 €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réparti entre les moniteurs au prorata de l’utilisation que chacun fait de ces balles.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Le réflexe qui change tout : le tour du terrain.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Après chaque cours : fond de court, abords du filet, derrière les bâches, terrains voisins. Une balle laissée aujourd’hui est une balle manquante au comptage — et 1,95 € de votre poche.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Vacances et remplacements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fichier partagé de l’an dernier n’était pas rempli, et la raison est simple : on demandait au moniteur absent de l’encoder, alors que cette heure-là, il ne la facture pas. Cette saison, la déclaration passe à celui qui est payé.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Prévenir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Prévenez le plus tôt possible, et toujours par écrit, dans le groupe WhatsApp des profs.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Proposez vous-même un remplaçant au sein de l’équipe : c’est à vous de trouver la solution, pas au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remplacement n’est effectif qu’une fois confirmé par Thibault.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doit recevoir le programme du cours et la liste des élèves.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Déclarer : c’est le remplaçant qui encode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remplaçant encode lui-même sa ligne dans le fichier Excel partagé, le jour même :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date, heure, terrain, groupe, et le nom du moniteur remplacé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moniteur remplacé ne facture pas cette heure. Elle apparaît uniquement sur la facture du remplaçant, avec la mention « en remplacement de… ».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remplacements sont vérifiés à la fin de chaque mois, à la réception des factures.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Pas de ligne dans l’Excel, pas de paiement.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Une heure qui ne figure pas à votre horaire et qui n’a pas été déclarée comme remplacement ne sera pas payée.</w:t>
            </w:r>
          </w:p>
        </w:tc>
      </w:tr>
    </w:tbl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Ponctualité, présences, League Cup et rassemblements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Arriver 15 minutes en avance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pas à l’heure : le cours commence à l’heure dite, pas au moment où vous ouvrez le kot.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League Cup et rassemblements du samedi : les deux moniteurs doivent être présents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ou prévenir en cas d’absence. C’est non négociable.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En stage, force est de constater que les horaires ne sont pas respectés. </w:t>
      </w: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Si cela ne s’améliore pas, des sanctions seront prises à l’avenir.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7.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règles de base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Sur 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Téléphone :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rangé, hors de vue, pas d’utilisation pendant le cours ou le stage. Sauf urgence réelle.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Ne pas quitter le terrain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pendant un cours, sauf pour aller aux toilettes : les enfants ne restent jamais seuls.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Commencer et terminer à l’heure.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Un cours qui déborde décale tout le monde.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Entre les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pauses restent courtes : le cours suivant commence à l’heure prévue.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Cigarettes : jamais devant les élèves, jamais sur les terrains, jamais en tenue de moniteur à l’entrée du club.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Après le cours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Rangez votre matériel aux endroits prévus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ne le laissez pas dans les paniers.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Fermez le kot en partant.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Chaque moniteur reçoit sa propre clé cette saison : plus de boîtier, plus de clé à remettre en place. En contrepartie, la clé est nominative — l’état du kot engage celui qui l’a fermé.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8.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Formations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club rembourse la formation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si elle est réussie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 La hausse salariale suit l’obtention du niveau, une fois la formation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entièrement terminée — donc après le stage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Question posée à chacun : qui s’engage à faire son niveau 1 cette saison ?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9.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Tenue vestimentaire et savoir-être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La tenue suivante est OBLIGATOIRE à chaque cours.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Tenue Babolat ou vêtements à l’effigie du club. Pas d’exception, pas d’oubli.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Comme pour le respect du matériel, des sanctions sont prévues à l’avenir en cas de non-respect.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Les raquettes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raquettes qui se trouvent dans le kot sont réservées aux élèves. Elles ne sont pas là pour vous dépanner.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savoir-être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Vocabulaire et attitude corrects avec les élèves, les parents et les membres du club.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Vous représentez le club dès que vous franchissez la grille, pas seulement pendant votre heure de cours.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10.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Esprit d’équipe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se soutient : un collègue en difficulté sur un groupe, on l’aide.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On partage ce qui fonctionne : exercices, jeux, façons de gérer un groupe difficile.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désaccords se règlent entre nous, jamais devant les élèves ou les parents.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 groupe WhatsApp est utilisé à cet effet.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11.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 kot : ordre et accès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Rangement après chaque cours : paniers, cônes, filets, plots. Le kot se rend dans l’état où on l’a trouvé.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Pas d’affaires personnelles laissées sur place.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Chaque moniteur reçoit sa propre clé pour la saison.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Elle est nominative et se restitue en fin de saison.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 matériel commun reste sous la responsabilité de tous : on le range après chaque cours.</w:t>
      </w:r>
    </w:p>
    <w:p>
      <w:pPr>
        <w:spacing w:after="1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Un avertissement, pas encore une sanction.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Le rangement du kot est le point qui a le plus dérapé ces dernières saisons. Si rien ne change, nous mettrons en place un système de constats : rappel nominatif, puis retenue forfaitaire sur facture, puis retrait de la clé.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Rien de cela n’est appliqué aujourd’hui. C’est à nous tous de faire que ce ne soit jamais nécessaire.</w:t>
            </w:r>
          </w:p>
        </w:tc>
      </w:tr>
    </w:tbl>
    <w:p>
      <w:pPr>
        <w:spacing w:after="14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12.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Les cours privés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Lorsqu’une demande de cours privé arrive au club, je transmets aux parents vos tarifs, votre niveau de formation et vos années d’expérience. Le choix leur revient ensuite.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Le terrain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C0392B"/>
          <w:sz w:val="21"/>
          <w:szCs w:val="21"/>
        </w:rPr>
        <w:t xml:space="preserve">15 € de l’heure, en plus de votre tarif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: l’élève paie votre tarif + 15 € de terrain.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Ces 15 € sont à remettre en cash, sous enveloppe, à Marc à la fin du mois.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L’enveloppe porte votre nom et le nombre d’heures jouées.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La réservation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Réservation de terrain : chez Marc. 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Au printemps, précisez s’il s’agit d’un membre ou d’un non-membre.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color w:val="8A9E28"/>
          <w:sz w:val="21"/>
          <w:szCs w:val="21"/>
        </w:rPr>
        <w:t xml:space="preserve">Vos tarifs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Chacun communique son tarif horaire pour la saison sur la fiche </w:t>
      </w: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« Cours privés — liste des moniteurs »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, à compléter aujourd’hui.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13.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Assurances et responsabilité</w:t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Point resté ouvert l’an dernier. Nous le clôturons cette année.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Vérification de la responsabilité civile de chaque moniteur.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assurance individuelle est-elle obligatoire, ou la couverture du club suffit-elle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2E2E2E"/>
          <w:sz w:val="21"/>
          <w:szCs w:val="21"/>
        </w:rPr>
        <w:t xml:space="preserve">Qui a la responsabilité des enfants lorsque le cours se termine ?</w:t>
      </w:r>
      <w:r>
        <w:rPr>
          <w:rFonts w:ascii="Calibri" w:cs="Calibri" w:eastAsia="Calibri" w:hAnsi="Calibri"/>
          <w:color w:val="2E2E2E"/>
          <w:sz w:val="21"/>
          <w:szCs w:val="21"/>
        </w:rPr>
        <w:t xml:space="preserve"> Jusqu’à quel moment, et jusqu’où 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réponse obtenue auprès de la fédération / de l’assureur du club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document à faire signer par chaque moniteur, le cas échéant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14.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 pédagogique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Nous parcourons ensemble le document « Thèmes des cours », qui donne la trame pédagogique de la saison par niveau.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joindre le document « Thèmes des cours » en annexe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15.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Remarques, suggestions, tour de table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parole est à vous. Questions, propositions, difficultés rencontrées l’an dernier : c’est le moment.</w:t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8A9E28"/>
          <w:sz w:val="26"/>
          <w:szCs w:val="26"/>
        </w:rPr>
        <w:t xml:space="preserve">16. </w:t>
      </w: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Programmes, terrains et listes d’élèves</w:t>
      </w:r>
    </w:p>
    <w:tbl>
      <w:tblPr>
        <w:tblW w:type="dxa" w:w="9637"/>
        <w:tblBorders>
          <w:top w:val="single" w:color="8A9E28" w:sz="6"/>
          <w:left w:val="single" w:color="C0392B" w:sz="24"/>
          <w:bottom w:val="single" w:color="8A9E28" w:sz="6"/>
          <w:right w:val="single" w:color="8A9E28" w:sz="6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22"/>
                <w:szCs w:val="22"/>
              </w:rPr>
              <w:t xml:space="preserve">ATTENTION – LES TERRAINS ONT CHANGÉ.</w:t>
            </w:r>
          </w:p>
          <w:p>
            <w:pPr>
              <w:spacing w:after="8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>Vérifiez votre affectation avant chaque cours : ce n’est plus celle de l’an dernier.</w:t>
            </w:r>
          </w:p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1"/>
                <w:szCs w:val="21"/>
              </w:rPr>
              <w:t xml:space="preserve">N’utilisez QUE la dernière version du programme que je vous envoie.</w:t>
            </w:r>
          </w:p>
        </w:tc>
      </w:tr>
    </w:tbl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listes d’élèves peuvent encore bouger jusqu’au dernier moment : arrivées, départs, changements de groupe.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mise à jour est envoyée chaque matin, avant le début des cours.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Une ancienne version = un élève qui attend sur le mauvais terrain. Supprimez les anciennes.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À compléter : préciser le canal d’envoi des mises à jour (e-mail, WhatsApp, autre)</w:t>
      </w:r>
    </w:p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Et pour finir : le repas</w:t>
      </w:r>
    </w:p>
    <w:p>
      <w:pPr>
        <w:spacing w:after="12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La réunion se termine autour d’un repas. Bonne saison à toutes et à tous !</w:t>
      </w:r>
    </w:p>
    <w:p>
      <w:r>
        <w:br w:type="page"/>
      </w:r>
    </w:p>
    <w:p>
      <w:pPr>
        <w:keepNext/>
        <w:pBdr>
          <w:bottom w:val="single" w:color="8A9E28" w:sz="8" w:space="4"/>
        </w:pBdr>
        <w:spacing w:after="140" w:before="320"/>
      </w:pPr>
      <w:r>
        <w:rPr>
          <w:rFonts w:ascii="Calibri" w:cs="Calibri" w:eastAsia="Calibri" w:hAnsi="Calibri"/>
          <w:b/>
          <w:bCs/>
          <w:color w:val="C0392B"/>
          <w:sz w:val="26"/>
          <w:szCs w:val="26"/>
        </w:rPr>
        <w:t xml:space="preserve">Pour accord</w:t>
      </w:r>
    </w:p>
    <w:p>
      <w:pPr>
        <w:spacing w:after="16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>Les règles reprises dans ce document s’appliquent à l’ensemble des moniteurs de l’école de tennis pour la saison 2026-2027. Certaines d’entre elles prévoient des retenues sur facture, notamment au point 4 pour les balles et le matériel. Elles ne peuvent s’appliquer qu’avec votre accord écrit.</w:t>
      </w:r>
    </w:p>
    <w:p>
      <w:pPr>
        <w:spacing w:after="260" w:before="0" w:line="276"/>
      </w:pPr>
      <w:r>
        <w:rPr>
          <w:rFonts w:ascii="Calibri" w:cs="Calibri" w:eastAsia="Calibri" w:hAnsi="Calibri"/>
          <w:i/>
          <w:iCs/>
          <w:color w:val="6E6E6E"/>
          <w:sz w:val="20"/>
          <w:szCs w:val="20"/>
        </w:rPr>
        <w:t xml:space="preserve">Merci de compléter et de signer ce cadre, puis de remettre cette page à Thibault.</w:t>
      </w:r>
    </w:p>
    <w:tbl>
      <w:tblPr>
        <w:tblW w:type="dxa" w:w="9637"/>
        <w:tblBorders>
          <w:top w:val="single" w:color="8A9E28" w:sz="6"/>
          <w:left w:val="single" w:color="8A9E28" w:sz="6"/>
          <w:bottom w:val="single" w:color="8A9E28" w:sz="6"/>
          <w:right w:val="single" w:color="8A9E28" w:sz="6"/>
          <w:insideH w:val="single" w:color="CCCCCC" w:sz="4"/>
          <w:insideV w:val="single" w:color="CCCCCC" w:sz="4"/>
        </w:tblBorders>
      </w:tblPr>
      <w:tblGrid>
        <w:gridCol w:w="3118"/>
        <w:gridCol w:w="6519"/>
      </w:tblGrid>
      <w:tr>
        <w:tc>
          <w:tcPr>
            <w:tcW w:type="dxa" w:w="9637"/>
            <w:gridSpan w:val="2"/>
            <w:shd w:fill="F4F6EA" w:color="auto" w:val="clear"/>
            <w:tcMar>
              <w:top w:type="dxa" w:w="170"/>
              <w:left w:type="dxa" w:w="226"/>
              <w:bottom w:type="dxa" w:w="170"/>
              <w:right w:type="dxa" w:w="226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color w:val="2E2E2E"/>
                <w:sz w:val="20"/>
                <w:szCs w:val="20"/>
              </w:rPr>
              <w:t xml:space="preserve">Je soussigné(e) déclare avoir pris connaissance des règles reprises dans ce document pour la saison 2026-2027 et en accepter les modalités, en ce compris les retenues sur facture qui y sont prévues.</w:t>
            </w:r>
          </w:p>
        </w:tc>
      </w:tr>
      <w:tr>
        <w:trPr>
          <w:trHeight w:val="680" w:hRule="atLeast"/>
        </w:trPr>
        <w:tc>
          <w:tcPr>
            <w:tcW w:type="dxa" w:w="3118"/>
            <w:shd w:fill="F7F7F5" w:color="auto" w:val="clear"/>
            <w:tcMar>
              <w:top w:type="dxa" w:w="170"/>
              <w:left w:type="dxa" w:w="226"/>
              <w:bottom w:type="dxa" w:w="170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0"/>
                <w:szCs w:val="20"/>
              </w:rPr>
              <w:t xml:space="preserve">Nom et prénom</w:t>
            </w:r>
          </w:p>
        </w:tc>
        <w:tc>
          <w:tcPr>
            <w:tcW w:type="dxa" w:w="6519"/>
            <w:tcMar>
              <w:top w:type="dxa" w:w="170"/>
              <w:left w:type="dxa" w:w="226"/>
              <w:bottom w:type="dxa" w:w="170"/>
              <w:right w:type="dxa" w:w="170"/>
            </w:tcMar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/>
            </w:r>
          </w:p>
        </w:tc>
      </w:tr>
      <w:tr>
        <w:trPr>
          <w:trHeight w:val="680" w:hRule="atLeast"/>
        </w:trPr>
        <w:tc>
          <w:tcPr>
            <w:tcW w:type="dxa" w:w="3118"/>
            <w:shd w:fill="F7F7F5" w:color="auto" w:val="clear"/>
            <w:tcMar>
              <w:top w:type="dxa" w:w="170"/>
              <w:left w:type="dxa" w:w="226"/>
              <w:bottom w:type="dxa" w:w="170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0"/>
                <w:szCs w:val="20"/>
              </w:rPr>
              <w:t xml:space="preserve">Date</w:t>
            </w:r>
          </w:p>
        </w:tc>
        <w:tc>
          <w:tcPr>
            <w:tcW w:type="dxa" w:w="6519"/>
            <w:tcMar>
              <w:top w:type="dxa" w:w="170"/>
              <w:left w:type="dxa" w:w="226"/>
              <w:bottom w:type="dxa" w:w="170"/>
              <w:right w:type="dxa" w:w="170"/>
            </w:tcMar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/>
            </w:r>
          </w:p>
        </w:tc>
      </w:tr>
      <w:tr>
        <w:trPr>
          <w:trHeight w:val="1474" w:hRule="atLeast"/>
        </w:trPr>
        <w:tc>
          <w:tcPr>
            <w:tcW w:type="dxa" w:w="3118"/>
            <w:shd w:fill="F7F7F5" w:color="auto" w:val="clear"/>
            <w:tcMar>
              <w:top w:type="dxa" w:w="170"/>
              <w:left w:type="dxa" w:w="226"/>
              <w:bottom w:type="dxa" w:w="170"/>
              <w:right w:type="dxa" w:w="170"/>
            </w:tcMar>
            <w:vAlign w:val="center"/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b/>
                <w:bCs/>
                <w:color w:val="2E2E2E"/>
                <w:sz w:val="20"/>
                <w:szCs w:val="20"/>
              </w:rPr>
              <w:t xml:space="preserve">Signature</w:t>
            </w:r>
          </w:p>
        </w:tc>
        <w:tc>
          <w:tcPr>
            <w:tcW w:type="dxa" w:w="6519"/>
            <w:tcMar>
              <w:top w:type="dxa" w:w="170"/>
              <w:left w:type="dxa" w:w="226"/>
              <w:bottom w:type="dxa" w:w="170"/>
              <w:right w:type="dxa" w:w="170"/>
            </w:tcMar>
          </w:tcPr>
          <w:p>
            <w:pPr>
              <w:spacing w:after="120" w:before="0" w:line="276"/>
            </w:pPr>
            <w:r>
              <w:rPr>
                <w:rFonts w:ascii="Calibri" w:cs="Calibri" w:eastAsia="Calibri" w:hAnsi="Calibri"/>
                <w:color w:val="2E2E2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9637"/>
            <w:gridSpan w:val="2"/>
            <w:tcMar>
              <w:top w:type="dxa" w:w="113"/>
              <w:left w:type="dxa" w:w="226"/>
              <w:bottom w:type="dxa" w:w="113"/>
              <w:right w:type="dxa" w:w="226"/>
            </w:tcMar>
          </w:tcPr>
          <w:p>
            <w:pPr>
              <w:spacing w:after="0" w:before="0" w:line="276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7"/>
                <w:szCs w:val="17"/>
              </w:rPr>
              <w:t xml:space="preserve">Signature à faire précéder de la mention manuscrite « lu et approuvé ».</w:t>
            </w:r>
          </w:p>
        </w:tc>
      </w:tr>
    </w:tbl>
    <w:p>
      <w:pPr>
        <w:spacing w:after="200" w:before="0" w:line="276"/>
      </w:pPr>
      <w:r>
        <w:rPr>
          <w:rFonts w:ascii="Calibri" w:cs="Calibri" w:eastAsia="Calibri" w:hAnsi="Calibri"/>
          <w:color w:val="2E2E2E"/>
          <w:sz w:val="21"/>
          <w:szCs w:val="21"/>
        </w:rPr>
        <w:t xml:space="preserve"/>
      </w:r>
    </w:p>
    <w:p>
      <w:pPr>
        <w:spacing w:after="120" w:before="0" w:line="276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Un exemplaire signé est conservé par l’école. Vous pouvez en demander une copie à tout moment.</w:t>
      </w:r>
    </w:p>
    <w:sectPr>
      <w:footerReference w:type="default" r:id="rId7"/>
      <w:pgSz w:w="11906" w:h="16838" w:orient="portrait"/>
      <w:pgMar w:top="1020" w:right="1133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6"/>
        <w:szCs w:val="16"/>
      </w:rPr>
      <w:t xml:space="preserve">Lambermont Royal Tennis Club &amp; School  ·  Réunion des moniteurs  ·  21 septembre 2026  ·  </w:t>
    </w:r>
    <w:r>
      <w:rPr>
        <w:rFonts w:ascii="Calibri" w:cs="Calibri" w:eastAsia="Calibri" w:hAnsi="Calibri"/>
        <w:color w:val="6E6E6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453" w:hanging="226"/>
      </w:pPr>
      <w:rPr>
        <w:color w:val="8A9E28"/>
        <w:sz w:val="16"/>
        <w:szCs w:val="16"/>
      </w:rPr>
    </w:lvl>
    <w:lvl w:ilvl="1" w15:tentative="1">
      <w:start w:val="1"/>
      <w:numFmt w:val="bullet"/>
      <w:lvlText w:val="○"/>
      <w:lvlJc w:val="left"/>
      <w:pPr>
        <w:ind w:left="907" w:hanging="226"/>
      </w:pPr>
      <w:rPr>
        <w:color w:val="8A9E28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Réunion annuelle des moniteurs – Saison 2026-2027</dc:title>
  <dc:creator>Lambermont Royal Tennis Club &amp; School</dc:creator>
  <dc:description>Support de réunion</dc:description>
  <cp:lastModifiedBy>Un-named</cp:lastModifiedBy>
  <cp:revision>1</cp:revision>
  <dcterms:created xsi:type="dcterms:W3CDTF">2026-09-16T17:25:45.405Z</dcterms:created>
  <dcterms:modified xsi:type="dcterms:W3CDTF">2026-09-16T17:25:45.406Z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