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43815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 w:line="276"/>
        <w:jc w:val="center"/>
      </w:pPr>
      <w:r>
        <w:rPr>
          <w:rFonts w:ascii="Calibri" w:cs="Calibri" w:eastAsia="Calibri" w:hAnsi="Calibri"/>
          <w:b/>
          <w:bCs/>
          <w:color w:val="C0392B"/>
          <w:sz w:val="38"/>
          <w:szCs w:val="38"/>
        </w:rPr>
        <w:t xml:space="preserve">RÉUNION ANNUELLE DES MONITEURS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Saison 2026 – 2027</w:t>
      </w:r>
    </w:p>
    <w:p>
      <w:pPr>
        <w:spacing w:after="40" w:before="0" w:line="276"/>
        <w:jc w:val="center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Lundi 21 septembre 2026</w:t>
      </w:r>
    </w:p>
    <w:p>
      <w:pPr>
        <w:pBdr>
          <w:bottom w:val="single" w:color="8A9E28" w:sz="8" w:space="10"/>
        </w:pBdr>
        <w:spacing w:after="480" w:before="0" w:line="276"/>
        <w:jc w:val="center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Lambermont Royal Tennis Club &amp; School – Bruxelles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Ordre du jour</w:t>
      </w:r>
    </w:p>
    <w:p>
      <w:pPr>
        <w:spacing w:after="2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Ce document reprend l’ensemble des points abordés lors de la réunion. Gardez-le : il sert de référence pour toute la saison.</w:t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DDDD" w:sz="2"/>
          <w:insideV w:val="none" w:color="FFFFFF" w:sz="0"/>
        </w:tblBorders>
      </w:tblPr>
      <w:tblGrid>
        <w:gridCol w:w="680"/>
        <w:gridCol w:w="8957"/>
      </w:tblGrid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Bilan de la saison 2025-2026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inscriptions 2026-2027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Calendrier des cours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Balles et matériel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Vacances et remplacements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Ponctualité, présences, League Cup et rassemblements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7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règles de base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8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Formations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9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vestimentaire et savoir-être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10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Esprit d’équipe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 kot : ordre et accès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cours privés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Assurances et responsabilité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 pédagogique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Remarques, suggestions, tour de table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Programmes, terrains et listes d’élèves</w:t>
            </w:r>
          </w:p>
        </w:tc>
      </w:tr>
    </w:tbl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Bilan de la saison 2025-2026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Tour de table sur la saison écoulée, cours et stages confondus : ce qui a bien fonctionné et ce que nous voulons améliorer.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points de vigilance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Surveillance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présence active sur le terrain du début à la fin des rotations et des cours. La sécurité des enfants passe avant tout le reste.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Pédagogie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des exercices préparés, variés et adaptés au niveau réel du groupe. On ne s’improvise pas en arrivant sur le terrain.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Usage du 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c’est le point qui revient le plus dans les retours des parents. Voir le point 7.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Implication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montrer une envie, une motivation d’être avec les enfants et de les faire progresser.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Organisation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document vous sera remis avant le début de chaque stage.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Obligation de le relire chaque semaine !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positifs à souligner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Bonne affluence, et de bons retours des parents en général.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à améliorer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semaine qui a suivi mon retour de vacances a été la pire de toute l’année.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Pour quelle raison ? Un relâchement pendant mon absence ? Vos suggestions ?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inscriptions 2026-2027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Nombre d’inscrits constant, avec un taux de réinscription supérieur à 80 %.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j’ai essayé de constituer les groupes les plus homogènes possibles. Il faudra voir si des changements s’imposent après le premier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N’attendez pas des semaines avant de me prévenir qu’il y a des soucis dans un groupe !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Calendrier des cours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nous suivons le calendrier des vacances scolaires francophones.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Remise du calendrier à chacun.</w:t>
      </w:r>
    </w:p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Balles et matériel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color w:val="2E2E2E"/>
          <w:sz w:val="22"/>
          <w:szCs w:val="22"/>
        </w:rPr>
        <w:t xml:space="preserve">Le système mis en place l’an dernier est un échec.</w:t>
      </w:r>
    </w:p>
    <w:p>
      <w:pPr>
        <w:spacing w:after="70" w:before="0" w:line="276"/>
      </w:pPr>
      <w:r>
        <w:rPr>
          <w:rFonts w:ascii="Calibri" w:cs="Calibri" w:eastAsia="Calibri" w:hAnsi="Calibri"/>
          <w:b/>
          <w:bCs/>
          <w:color w:val="6E6E6E"/>
          <w:sz w:val="16"/>
          <w:szCs w:val="16"/>
        </w:rPr>
        <w:t xml:space="preserve">CE QUI AVAIT ÉTÉ DÉCIDÉ L’AN DERNIER</w:t>
      </w:r>
    </w:p>
    <w:tbl>
      <w:tblPr>
        <w:tblW w:type="dxa" w:w="9637"/>
        <w:tblBorders>
          <w:top w:val="none" w:color="FFFFFF" w:sz="0"/>
          <w:left w:val="single" w:color="BBBBBB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7F7F5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« Une cagnotte démarre à 2 500 € en début de saison et sert à vous récompenser en fin d’année. Elle diminue à chaque négligence constatée :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1 €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par balle retrouvée traînant sur ou autour des terrains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5 €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par matériel retrouvé dehors ou non rangé dans le kot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5 €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si le moniteur n’est pas en tenue Babolat ou à l’effigie du club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Le solde restant en fin de saison est réparti entre les moniteurs. Si le budget de 2 500 € venait à être dépassé, nous passerions à un système où les balles deviennent payantes pour vous. »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spacing w:after="300" w:before="0" w:line="276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Résultat : toujours la même négligence. Le système ne fonctionne pas.</w:t>
      </w:r>
    </w:p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 nouveau système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Fini la cagnotte collective. Chacun est désormais responsable de ses propres balles, et une balle perdue se paie.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paniers</w:t>
      </w:r>
    </w:p>
    <w:tbl>
      <w:tblPr>
        <w:tblW w:type="dxa" w:w="9637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87"/>
        <w:gridCol w:w="5669"/>
        <w:gridCol w:w="2381"/>
      </w:tblGrid>
      <w:tr>
        <w:trPr>
          <w:tblHeader/>
        </w:trPr>
        <w:tc>
          <w:tcPr>
            <w:tcW w:type="dxa" w:w="1587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Marquage</w:t>
            </w:r>
          </w:p>
        </w:tc>
        <w:tc>
          <w:tcPr>
            <w:tcW w:type="dxa" w:w="5669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Panier de</w:t>
            </w:r>
          </w:p>
        </w:tc>
        <w:tc>
          <w:tcPr>
            <w:tcW w:type="dxa" w:w="2381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Contenu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Y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Yassine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E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Elias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T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Taha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J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Julien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M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Mario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A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Les autres moniteurs</w:t>
            </w: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 — deux paniers communs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 chacun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balles sont marquées de la première lettre de votre prénom. Une balle qui traîne dit immédiatement à qui elle appartient.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Votre panier est le vôtre : vous le gérez, vous le rangez, vous le retrouvez complet.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moniteurs sans panier personnel utilisent les deux paniers « A ».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comptage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Quatre comptages sur la saison, à la fin de chaque période.</w:t>
      </w:r>
    </w:p>
    <w:tbl>
      <w:tblPr>
        <w:tblW w:type="dxa" w:w="623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51"/>
        <w:gridCol w:w="3685"/>
      </w:tblGrid>
      <w:tr>
        <w:trPr>
          <w:tblHeader/>
        </w:trPr>
        <w:tc>
          <w:tcPr>
            <w:tcW w:type="dxa" w:w="2551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Période</w:t>
            </w:r>
          </w:p>
        </w:tc>
        <w:tc>
          <w:tcPr>
            <w:tcW w:type="dxa" w:w="3685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Durée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1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7 semaines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2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7 semaines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3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 semaines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4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8 semaines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À chaque comptage, on compte les balles restantes dans votre panier. Chaque balle manquante est déduite du salaire à </w:t>
      </w: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1,95 €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soit le prix coûtant d’une balle.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club ne gagne rien sur ce système : il responsabilise davantage la gestion des balles par les moniteurs.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Paniers « A »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le montant manquant est réparti entre les moniteurs concernés, au prorata du nombre d’heures pendant lesquelles chacun a utilisé ces paniers.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balles rouges, oranges et vertes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Pas de panier personnel pour ces balles : tout le monde est dans le même système.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Comptage à la fin de chaque période également. Chaque balle manquante est déduite à </w:t>
      </w: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1 €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réparti entre les moniteurs au prorata de l’utilisation que chacun fait de ces balles.</w:t>
      </w:r>
    </w:p>
    <w:p>
      <w:pPr>
        <w:spacing w:after="1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Le réflexe qui change tout : le tour du terrain.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Après chaque cours : fond de court, abords du filet, derrière les bâches, terrains voisins. Une balle laissée aujourd’hui est une balle manquante au comptage — et 1,95 € de votre poche.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Vacances et remplacements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fichier partagé de l’an dernier n’était pas rempli, et la raison est simple : on demandait au moniteur absent de l’encoder, alors que cette heure-là, il ne la facture pas. Cette saison, la déclaration passe à celui qui est payé.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Prévenir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Prévenez le plus tôt possible, et toujours par écrit, dans le groupe WhatsApp des profs.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Proposez vous-même un remplaçant au sein de l’équipe : c’est à vous de trouver la solution, pas au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 remplacement n’est effectif qu’une fois confirmé par Thibault.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remplaçant doit recevoir le programme du cours et la liste des élèves.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Déclarer : c’est le remplaçant qui encode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remplaçant encode lui-même sa ligne dans le fichier Excel partagé, le jour même :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date, heure, terrain, groupe, et le nom du moniteur remplacé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moniteur remplacé ne facture pas cette heure. Elle apparaît uniquement sur la facture du remplaçant, avec la mention « en remplacement de… 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remplacements sont vérifiés à la fin de chaque mois, à la réception des factures.</w:t>
      </w:r>
    </w:p>
    <w:p>
      <w:pPr>
        <w:spacing w:after="1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Pas de ligne dans l’Excel, pas de paiement.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Une heure qui ne figure pas à votre horaire et qui n’a pas été déclarée comme remplacement ne sera pas payée.</w:t>
            </w:r>
          </w:p>
        </w:tc>
      </w:tr>
    </w:tbl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Ponctualité, présences, League Cup et rassemblements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Arriver 15 minutes en avance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pas à l’heure : le cours commence à l’heure dite, pas au moment où vous ouvrez le kot.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League Cup et rassemblements du samedi : les deux moniteurs doivent être présents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ou prévenir en cas d’absence. C’est non négociable.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En stage, force est de constater que les horaires ne sont pas respectés. </w:t>
      </w: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Si cela ne s’améliore pas, des sanctions seront prises à l’avenir.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7.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règles de base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Sur 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rangé, hors de vue, pas d’utilisation pendant le cours ou le stage. Sauf urgence réelle.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Ne pas quitter le terrain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pendant un cours, sauf pour aller aux toilettes : les enfants ne restent jamais seuls.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Commencer et terminer à l’heure.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cours qui déborde décale tout le monde.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Entre les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pauses restent courtes : le cours suivant commence à l’heure prévue.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Cigarettes : jamais devant les élèves, jamais sur les terrains, jamais en tenue de moniteur à l’entrée du club.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Après le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Rangez votre matériel aux endroits prévus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ne le laissez pas dans les paniers.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Fermez le kot en partant.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Chaque moniteur reçoit sa propre clé cette saison : plus de boîtier, plus de clé à remettre en place. En contrepartie, la clé est nominative — l’état du kot engage celui qui l’a fermé.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8.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Formations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club rembourse la formation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si elle est réussie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. La hausse salariale suit l’obtention du niveau, une fois la formation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entièrement terminée — donc après le stage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Question posée à chacun : qui s’engage à faire son niveau 1 cette saison ?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9.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Tenue vestimentaire et savoir-être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La tenue suivante est OBLIGATOIRE à chaque cours.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Babolat ou vêtements à l’effigie du club. Pas d’exception, pas d’oubli.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Comme pour le respect du matériel, des sanctions sont prévues à l’avenir en cas de non-respect.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raquettes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raquettes qui se trouvent dans le kot sont réservées aux élèves. Elles ne sont pas là pour vous dépanner.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savoir-être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Vocabulaire et attitude corrects avec les élèves, les parents et les membres du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Vous représentez le club dès que vous franchissez la grille, pas seulement pendant votre heure de cours.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10.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Esprit d’équipe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se soutient : un collègue en difficulté sur un groupe, on l’aide.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partage ce qui fonctionne : exercices, jeux, façons de gérer un groupe difficile.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désaccords se règlent entre nous, jamais devant les élèves ou les parents.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 groupe WhatsApp est utilisé à cet effet.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 kot : ordre et accès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Rangement après chaque cours : paniers, cônes, filets, plots. Le kot se rend dans l’état où on l’a trouvé.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Pas d’affaires personnelles laissées sur place.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Chaque moniteur reçoit sa propre clé pour la saison.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Elle est nominative et se restitue en fin de saison.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matériel commun reste sous la responsabilité de tous : on le range après chaque cours.</w:t>
      </w:r>
    </w:p>
    <w:p>
      <w:pPr>
        <w:spacing w:after="1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Un avertissement, pas encore une sanction.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 rangement du kot est le point qui a le plus dérapé ces dernières saisons. Si rien ne change, nous mettrons en place un système de constats : rappel nominatif, puis retenue forfaitaire sur facture, puis retrait de la clé.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Rien de cela n’est appliqué aujourd’hui. C’est à nous tous de faire que ce ne soit jamais nécessaire.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cours privés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Lorsqu’une demande de cours privé arrive au club, je transmets aux parents vos tarifs, votre niveau de formation et vos années d’expérience. Le choix leur revient ensuite.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15 € de l’heure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à remettre en cash, sous enveloppe, à Marc à la fin du mois.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L’enveloppe porte votre nom et le nombre d’heures jouées.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La réservation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Réservation de terrain : chez Marc.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Au printemps, précisez s’il s’agit d’un membre ou d’un non-membre.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Vos tarifs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Chacun communique son tarif horaire pour la saison sur la fiche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« Cours privés — liste des moniteurs »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à compléter aujourd’hui.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Assurances et responsabilité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Point resté ouvert l’an dernier. Nous le clôturons cette année.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Vérification de la responsabilité civile de chaque moniteur.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assurance individuelle est-elle obligatoire, ou la couverture du club suffit-elle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Qui a la responsabilité des enfants lorsque le cours se termine ?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 Jusqu’à quel moment, et jusqu’où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réponse obtenue auprès de la fédération / de l’assureur du club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document à faire signer par chaque moniteur, le cas échéant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 pédagogique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Nous parcourons ensemble le document « Thèmes des cours », qui donne la trame pédagogique de la saison par niveau.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joindre le document « Thèmes des cours » en annexe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Remarques, suggestions, tour de table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parole est à vous. Questions, propositions, difficultés rencontrées l’an dernier : c’est le moment.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Programmes, terrains et listes d’élèves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ATTENTION – LES TERRAINS ONT CHANGÉ.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Vérifiez votre affectation avant chaque cours : ce n’est plus celle de l’an dernier.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N’utilisez QUE la dernière version du programme que je vous envoie.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listes d’élèves peuvent encore bouger jusqu’au dernier moment : arrivées, départs, changements de groupe.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mise à jour est envoyée chaque matin, avant le début des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ancienne version = un élève qui attend sur le mauvais terrain. Supprimez les anciennes.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préciser le canal d’envoi des mises à jour (e-mail, WhatsApp, autre)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Et pour finir : le repas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réunion se termine autour d’un repas. Bonne saison à toutes et à tous !</w:t>
      </w:r>
    </w:p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Pour accord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règles reprises dans ce document s’appliquent à l’ensemble des moniteurs de l’école de tennis pour la saison 2026-2027. Certaines d’entre elles prévoient des retenues sur facture, notamment au point 4 pour les balles et le matériel. Elles ne peuvent s’appliquer qu’avec votre accord écrit.</w:t>
      </w:r>
    </w:p>
    <w:p>
      <w:pPr>
        <w:spacing w:after="26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Merci de compléter et de signer ce cadre, puis de remettre cette page à Thibault.</w:t>
      </w:r>
    </w:p>
    <w:tbl>
      <w:tblPr>
        <w:tblW w:type="dxa" w:w="963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CCCCC" w:sz="4"/>
          <w:insideV w:val="single" w:color="CCCCCC" w:sz="4"/>
        </w:tblBorders>
      </w:tblPr>
      <w:tblGrid>
        <w:gridCol w:w="3118"/>
        <w:gridCol w:w="6519"/>
      </w:tblGrid>
      <w:tr>
        <w:tc>
          <w:tcPr>
            <w:tcW w:type="dxa" w:w="9637"/>
            <w:gridSpan w:val="2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>Je soussigné(e) déclare avoir pris connaissance des règles reprises dans ce document pour la saison 2026-2027 et en accepter les modalités, en ce compris les retenues sur facture qui y sont prévues.</w:t>
            </w:r>
          </w:p>
        </w:tc>
      </w:tr>
      <w:tr>
        <w:trPr>
          <w:trHeight w:val="680" w:hRule="atLeast"/>
        </w:trPr>
        <w:tc>
          <w:tcPr>
            <w:tcW w:type="dxa" w:w="3118"/>
            <w:shd w:fill="F7F7F5" w:color="auto" w:val="clear"/>
            <w:tcMar>
              <w:top w:type="dxa" w:w="170"/>
              <w:left w:type="dxa" w:w="226"/>
              <w:bottom w:type="dxa" w:w="170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0"/>
                <w:szCs w:val="20"/>
              </w:rPr>
              <w:t xml:space="preserve">Nom et prénom</w:t>
            </w:r>
          </w:p>
        </w:tc>
        <w:tc>
          <w:tcPr>
            <w:tcW w:type="dxa" w:w="6519"/>
            <w:tcMar>
              <w:top w:type="dxa" w:w="170"/>
              <w:left w:type="dxa" w:w="226"/>
              <w:bottom w:type="dxa" w:w="170"/>
              <w:right w:type="dxa" w:w="170"/>
            </w:tcMar>
          </w:tcPr>
          <w:p>
            <w:pPr>
              <w:spacing w:after="12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/>
            </w:r>
          </w:p>
        </w:tc>
      </w:tr>
      <w:tr>
        <w:trPr>
          <w:trHeight w:val="680" w:hRule="atLeast"/>
        </w:trPr>
        <w:tc>
          <w:tcPr>
            <w:tcW w:type="dxa" w:w="3118"/>
            <w:shd w:fill="F7F7F5" w:color="auto" w:val="clear"/>
            <w:tcMar>
              <w:top w:type="dxa" w:w="170"/>
              <w:left w:type="dxa" w:w="226"/>
              <w:bottom w:type="dxa" w:w="170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0"/>
                <w:szCs w:val="20"/>
              </w:rPr>
              <w:t xml:space="preserve">Date</w:t>
            </w:r>
          </w:p>
        </w:tc>
        <w:tc>
          <w:tcPr>
            <w:tcW w:type="dxa" w:w="6519"/>
            <w:tcMar>
              <w:top w:type="dxa" w:w="170"/>
              <w:left w:type="dxa" w:w="226"/>
              <w:bottom w:type="dxa" w:w="170"/>
              <w:right w:type="dxa" w:w="170"/>
            </w:tcMar>
          </w:tcPr>
          <w:p>
            <w:pPr>
              <w:spacing w:after="12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/>
            </w:r>
          </w:p>
        </w:tc>
      </w:tr>
      <w:tr>
        <w:trPr>
          <w:trHeight w:val="1474" w:hRule="atLeast"/>
        </w:trPr>
        <w:tc>
          <w:tcPr>
            <w:tcW w:type="dxa" w:w="3118"/>
            <w:shd w:fill="F7F7F5" w:color="auto" w:val="clear"/>
            <w:tcMar>
              <w:top w:type="dxa" w:w="170"/>
              <w:left w:type="dxa" w:w="226"/>
              <w:bottom w:type="dxa" w:w="170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0"/>
                <w:szCs w:val="20"/>
              </w:rPr>
              <w:t xml:space="preserve">Signature</w:t>
            </w:r>
          </w:p>
        </w:tc>
        <w:tc>
          <w:tcPr>
            <w:tcW w:type="dxa" w:w="6519"/>
            <w:tcMar>
              <w:top w:type="dxa" w:w="170"/>
              <w:left w:type="dxa" w:w="226"/>
              <w:bottom w:type="dxa" w:w="170"/>
              <w:right w:type="dxa" w:w="170"/>
            </w:tcMar>
          </w:tcPr>
          <w:p>
            <w:pPr>
              <w:spacing w:after="12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9637"/>
            <w:gridSpan w:val="2"/>
            <w:tcMar>
              <w:top w:type="dxa" w:w="113"/>
              <w:left w:type="dxa" w:w="226"/>
              <w:bottom w:type="dxa" w:w="113"/>
              <w:right w:type="dxa" w:w="226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7"/>
                <w:szCs w:val="17"/>
              </w:rPr>
              <w:t xml:space="preserve">Signature à faire précéder de la mention manuscrite « lu et approuvé ».</w:t>
            </w:r>
          </w:p>
        </w:tc>
      </w:tr>
    </w:tbl>
    <w:p>
      <w:pPr>
        <w:spacing w:after="2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Un exemplaire signé est conservé par l’école. Vous pouvez en demander une copie à tout moment.</w:t>
      </w:r>
    </w:p>
    <w:sectPr>
      <w:footerReference w:type="default" r:id="rId7"/>
      <w:pgSz w:w="11906" w:h="16838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6"/>
        <w:szCs w:val="16"/>
      </w:rPr>
      <w:t xml:space="preserve">Lambermont Royal Tennis Club &amp; School  ·  Réunion des moniteurs  ·  21 septembre 2026  ·  </w:t>
    </w:r>
    <w:r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53" w:hanging="226"/>
      </w:pPr>
      <w:rPr>
        <w:color w:val="8A9E28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907" w:hanging="226"/>
      </w:pPr>
      <w:rPr>
        <w:color w:val="8A9E28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Réunion annuelle des moniteurs – Saison 2026-2027</dc:title>
  <dc:creator>Lambermont Royal Tennis Club &amp; School</dc:creator>
  <dc:description>Support de réunion</dc:description>
  <cp:lastModifiedBy>Un-named</cp:lastModifiedBy>
  <cp:revision>1</cp:revision>
  <dcterms:created xsi:type="dcterms:W3CDTF">2026-09-16T17:15:37.785Z</dcterms:created>
  <dcterms:modified xsi:type="dcterms:W3CDTF">2026-09-16T17:15:37.786Z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