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81"/>
        <w:gridCol w:w="6122"/>
      </w:tblGrid>
      <w:tr>
        <w:tc>
          <w:tcPr>
            <w:tcW w:type="dxa" w:w="4081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38300" cy="466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2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25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9"/>
                <w:szCs w:val="29"/>
              </w:rPr>
              <w:t xml:space="preserve">INVENTAIRE DES BALLES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   ·   28 septembre 2026</w:t>
            </w:r>
          </w:p>
        </w:tc>
      </w:tr>
    </w:tbl>
    <w:p>
      <w:pPr>
        <w:pBdr>
          <w:bottom w:val="single" w:color="8A9E28" w:sz="8" w:space="4"/>
        </w:pBdr>
        <w:spacing w:after="100" w:before="0" w:line="23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p>
      <w:pPr>
        <w:spacing w:after="60" w:before="0" w:line="240"/>
      </w:pPr>
      <w:r>
        <w:rPr>
          <w:rFonts w:ascii="Calibri" w:cs="Calibri" w:eastAsia="Calibri" w:hAnsi="Calibri"/>
          <w:color w:val="2E2E2E"/>
          <w:sz w:val="19"/>
          <w:szCs w:val="19"/>
        </w:rPr>
        <w:t xml:space="preserve">État des paniers et des seaux au début de la saison. Ce relevé sert d’état de référence : c’est à partir de ces quantités que sont comptées les balles manquantes à la fin de chaque période.</w:t>
      </w:r>
    </w:p>
    <w:p>
      <w:pPr>
        <w:spacing w:after="90" w:before="220" w:line="240"/>
      </w:pPr>
      <w:r>
        <w:rPr>
          <w:rFonts w:ascii="Calibri" w:cs="Calibri" w:eastAsia="Calibri" w:hAnsi="Calibri"/>
          <w:b/>
          <w:bCs/>
          <w:color w:val="C0392B"/>
          <w:sz w:val="23"/>
          <w:szCs w:val="23"/>
        </w:rPr>
        <w:t xml:space="preserve">Balles dures — paniers individuels</w:t>
      </w:r>
    </w:p>
    <w:tbl>
      <w:tblPr>
        <w:tblW w:type="dxa" w:w="10202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D5D5D5" w:sz="4"/>
          <w:insideV w:val="single" w:color="D5D5D5" w:sz="4"/>
        </w:tblBorders>
      </w:tblPr>
      <w:tblGrid>
        <w:gridCol w:w="1700"/>
        <w:gridCol w:w="3514"/>
        <w:gridCol w:w="2607"/>
        <w:gridCol w:w="2381"/>
      </w:tblGrid>
      <w:tr>
        <w:trPr>
          <w:tblHeader/>
          <w:trHeight w:val="510" w:hRule="atLeast"/>
        </w:trPr>
        <w:tc>
          <w:tcPr>
            <w:tcW w:type="dxa" w:w="1700"/>
            <w:shd w:fill="8A9E28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Marquage</w:t>
            </w:r>
          </w:p>
        </w:tc>
        <w:tc>
          <w:tcPr>
            <w:tcW w:type="dxa" w:w="3514"/>
            <w:shd w:fill="8A9E28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Panier de</w:t>
            </w:r>
          </w:p>
        </w:tc>
        <w:tc>
          <w:tcPr>
            <w:tcW w:type="dxa" w:w="2607"/>
            <w:shd w:fill="8A9E28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Type de balles</w:t>
            </w:r>
          </w:p>
        </w:tc>
        <w:tc>
          <w:tcPr>
            <w:tcW w:type="dxa" w:w="2381"/>
            <w:shd w:fill="8A9E28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Nombre</w:t>
            </w:r>
          </w:p>
        </w:tc>
      </w:tr>
      <w:tr>
        <w:trPr>
          <w:cantSplit/>
          <w:trHeight w:val="453" w:hRule="atLeast"/>
        </w:trPr>
        <w:tc>
          <w:tcPr>
            <w:tcW w:type="dxa" w:w="1700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E</w:t>
            </w:r>
          </w:p>
        </w:tc>
        <w:tc>
          <w:tcPr>
            <w:tcW w:type="dxa" w:w="3514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Elias Taieb</w:t>
            </w:r>
          </w:p>
        </w:tc>
        <w:tc>
          <w:tcPr>
            <w:tcW w:type="dxa" w:w="2607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Balles dures</w:t>
            </w:r>
          </w:p>
        </w:tc>
        <w:tc>
          <w:tcPr>
            <w:tcW w:type="dxa" w:w="2381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9"/>
                <w:szCs w:val="19"/>
              </w:rPr>
              <w:t xml:space="preserve">60</w:t>
            </w:r>
          </w:p>
        </w:tc>
      </w:tr>
      <w:tr>
        <w:trPr>
          <w:cantSplit/>
          <w:trHeight w:val="453" w:hRule="atLeast"/>
        </w:trPr>
        <w:tc>
          <w:tcPr>
            <w:tcW w:type="dxa" w:w="1700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T</w:t>
            </w:r>
          </w:p>
        </w:tc>
        <w:tc>
          <w:tcPr>
            <w:tcW w:type="dxa" w:w="3514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Taha Yassine</w:t>
            </w:r>
          </w:p>
        </w:tc>
        <w:tc>
          <w:tcPr>
            <w:tcW w:type="dxa" w:w="2607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Balles dures</w:t>
            </w:r>
          </w:p>
        </w:tc>
        <w:tc>
          <w:tcPr>
            <w:tcW w:type="dxa" w:w="2381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9"/>
                <w:szCs w:val="19"/>
              </w:rPr>
              <w:t xml:space="preserve">60</w:t>
            </w:r>
          </w:p>
        </w:tc>
      </w:tr>
      <w:tr>
        <w:trPr>
          <w:cantSplit/>
          <w:trHeight w:val="453" w:hRule="atLeast"/>
        </w:trPr>
        <w:tc>
          <w:tcPr>
            <w:tcW w:type="dxa" w:w="1700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Y</w:t>
            </w:r>
          </w:p>
        </w:tc>
        <w:tc>
          <w:tcPr>
            <w:tcW w:type="dxa" w:w="3514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Yassine Cherqi</w:t>
            </w:r>
          </w:p>
        </w:tc>
        <w:tc>
          <w:tcPr>
            <w:tcW w:type="dxa" w:w="2607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Balles dures</w:t>
            </w:r>
          </w:p>
        </w:tc>
        <w:tc>
          <w:tcPr>
            <w:tcW w:type="dxa" w:w="2381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9"/>
                <w:szCs w:val="19"/>
              </w:rPr>
              <w:t xml:space="preserve">60</w:t>
            </w:r>
          </w:p>
        </w:tc>
      </w:tr>
      <w:tr>
        <w:trPr>
          <w:cantSplit/>
          <w:trHeight w:val="453" w:hRule="atLeast"/>
        </w:trPr>
        <w:tc>
          <w:tcPr>
            <w:tcW w:type="dxa" w:w="1700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M</w:t>
            </w:r>
          </w:p>
        </w:tc>
        <w:tc>
          <w:tcPr>
            <w:tcW w:type="dxa" w:w="3514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Mario Loyo</w:t>
            </w:r>
          </w:p>
        </w:tc>
        <w:tc>
          <w:tcPr>
            <w:tcW w:type="dxa" w:w="2607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Balles dures</w:t>
            </w:r>
          </w:p>
        </w:tc>
        <w:tc>
          <w:tcPr>
            <w:tcW w:type="dxa" w:w="2381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9"/>
                <w:szCs w:val="19"/>
              </w:rPr>
              <w:t xml:space="preserve">60</w:t>
            </w:r>
          </w:p>
        </w:tc>
      </w:tr>
      <w:tr>
        <w:trPr>
          <w:cantSplit/>
          <w:trHeight w:val="453" w:hRule="atLeast"/>
        </w:trPr>
        <w:tc>
          <w:tcPr>
            <w:tcW w:type="dxa" w:w="1700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J</w:t>
            </w:r>
          </w:p>
        </w:tc>
        <w:tc>
          <w:tcPr>
            <w:tcW w:type="dxa" w:w="3514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Julien Chibli</w:t>
            </w:r>
          </w:p>
        </w:tc>
        <w:tc>
          <w:tcPr>
            <w:tcW w:type="dxa" w:w="2607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Balles dures</w:t>
            </w:r>
          </w:p>
        </w:tc>
        <w:tc>
          <w:tcPr>
            <w:tcW w:type="dxa" w:w="2381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9"/>
                <w:szCs w:val="19"/>
              </w:rPr>
              <w:t xml:space="preserve">60</w:t>
            </w:r>
          </w:p>
        </w:tc>
      </w:tr>
      <w:tr>
        <w:trPr>
          <w:cantSplit/>
          <w:trHeight w:val="453" w:hRule="atLeast"/>
        </w:trPr>
        <w:tc>
          <w:tcPr>
            <w:tcW w:type="dxa" w:w="1700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T</w:t>
            </w:r>
          </w:p>
        </w:tc>
        <w:tc>
          <w:tcPr>
            <w:tcW w:type="dxa" w:w="3514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Thibault Duchêne</w:t>
            </w:r>
          </w:p>
        </w:tc>
        <w:tc>
          <w:tcPr>
            <w:tcW w:type="dxa" w:w="2607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Balles dures</w:t>
            </w:r>
          </w:p>
        </w:tc>
        <w:tc>
          <w:tcPr>
            <w:tcW w:type="dxa" w:w="2381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9"/>
                <w:szCs w:val="19"/>
              </w:rPr>
              <w:t xml:space="preserve">60</w:t>
            </w:r>
          </w:p>
        </w:tc>
      </w:tr>
      <w:tr>
        <w:trPr>
          <w:cantSplit/>
          <w:trHeight w:val="453" w:hRule="atLeast"/>
        </w:trPr>
        <w:tc>
          <w:tcPr>
            <w:tcW w:type="dxa" w:w="1700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A</w:t>
            </w:r>
          </w:p>
        </w:tc>
        <w:tc>
          <w:tcPr>
            <w:tcW w:type="dxa" w:w="3514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Panier commun « A »</w:t>
            </w:r>
          </w:p>
        </w:tc>
        <w:tc>
          <w:tcPr>
            <w:tcW w:type="dxa" w:w="2607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Balles dures</w:t>
            </w:r>
          </w:p>
        </w:tc>
        <w:tc>
          <w:tcPr>
            <w:tcW w:type="dxa" w:w="2381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9"/>
                <w:szCs w:val="19"/>
              </w:rPr>
              <w:t xml:space="preserve">60</w:t>
            </w:r>
          </w:p>
        </w:tc>
      </w:tr>
      <w:tr>
        <w:trPr>
          <w:cantSplit/>
          <w:trHeight w:val="453" w:hRule="atLeast"/>
        </w:trPr>
        <w:tc>
          <w:tcPr>
            <w:tcW w:type="dxa" w:w="1700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A</w:t>
            </w:r>
          </w:p>
        </w:tc>
        <w:tc>
          <w:tcPr>
            <w:tcW w:type="dxa" w:w="3514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Panier commun « A »</w:t>
            </w:r>
          </w:p>
        </w:tc>
        <w:tc>
          <w:tcPr>
            <w:tcW w:type="dxa" w:w="2607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Balles dures</w:t>
            </w:r>
          </w:p>
        </w:tc>
        <w:tc>
          <w:tcPr>
            <w:tcW w:type="dxa" w:w="2381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9"/>
                <w:szCs w:val="19"/>
              </w:rPr>
              <w:t xml:space="preserve">60</w:t>
            </w:r>
          </w:p>
        </w:tc>
      </w:tr>
      <w:tr>
        <w:trPr>
          <w:cantSplit/>
          <w:trHeight w:val="510" w:hRule="atLeast"/>
        </w:trPr>
        <w:tc>
          <w:tcPr>
            <w:tcW w:type="dxa" w:w="7821"/>
            <w:gridSpan w:val="3"/>
            <w:shd w:fill="F0F2E0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9"/>
                <w:szCs w:val="19"/>
              </w:rPr>
              <w:t xml:space="preserve">Total balles dures — 8 paniers</w:t>
            </w:r>
          </w:p>
        </w:tc>
        <w:tc>
          <w:tcPr>
            <w:tcW w:type="dxa" w:w="2381"/>
            <w:shd w:fill="F0F2E0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480</w:t>
            </w:r>
          </w:p>
        </w:tc>
      </w:tr>
    </w:tbl>
    <w:p>
      <w:pPr>
        <w:spacing w:after="0" w:before="70" w:line="230"/>
      </w:pPr>
      <w:r>
        <w:rPr>
          <w:rFonts w:ascii="Calibri" w:cs="Calibri" w:eastAsia="Calibri" w:hAnsi="Calibri"/>
          <w:color w:val="6E6E6E"/>
          <w:sz w:val="17"/>
          <w:szCs w:val="17"/>
        </w:rPr>
        <w:t xml:space="preserve">Chaque panier contient 60 balles neuves, marquées de la lettre du panier. Les deux paniers « A » sont communs aux moniteurs qui n’ont pas de panier individuel. </w:t>
      </w:r>
      <w:r>
        <w:rPr>
          <w:rFonts w:ascii="Calibri" w:cs="Calibri" w:eastAsia="Calibri" w:hAnsi="Calibri"/>
          <w:b/>
          <w:bCs/>
          <w:color w:val="C0392B"/>
          <w:sz w:val="17"/>
          <w:szCs w:val="17"/>
        </w:rPr>
        <w:t xml:space="preserve">Attention : la lettre T est actuellement portée par deux paniers (Taha et Thibault) — à distinguer avant le premier comptage.</w:t>
      </w:r>
    </w:p>
    <w:p>
      <w:pPr>
        <w:spacing w:after="90" w:before="220" w:line="240"/>
      </w:pPr>
      <w:r>
        <w:rPr>
          <w:rFonts w:ascii="Calibri" w:cs="Calibri" w:eastAsia="Calibri" w:hAnsi="Calibri"/>
          <w:b/>
          <w:bCs/>
          <w:color w:val="C0392B"/>
          <w:sz w:val="23"/>
          <w:szCs w:val="23"/>
        </w:rPr>
        <w:t xml:space="preserve">Balles rouges, oranges et vertes — contenants communs</w:t>
      </w:r>
    </w:p>
    <w:tbl>
      <w:tblPr>
        <w:tblW w:type="dxa" w:w="10202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D5D5D5" w:sz="4"/>
          <w:insideV w:val="single" w:color="D5D5D5" w:sz="4"/>
        </w:tblBorders>
      </w:tblPr>
      <w:tblGrid>
        <w:gridCol w:w="1700"/>
        <w:gridCol w:w="3514"/>
        <w:gridCol w:w="2607"/>
        <w:gridCol w:w="2381"/>
      </w:tblGrid>
      <w:tr>
        <w:trPr>
          <w:tblHeader/>
          <w:trHeight w:val="510" w:hRule="atLeast"/>
        </w:trPr>
        <w:tc>
          <w:tcPr>
            <w:tcW w:type="dxa" w:w="1700"/>
            <w:shd w:fill="8A9E28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Qté</w:t>
            </w:r>
          </w:p>
        </w:tc>
        <w:tc>
          <w:tcPr>
            <w:tcW w:type="dxa" w:w="3514"/>
            <w:shd w:fill="8A9E28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Contenant</w:t>
            </w:r>
          </w:p>
        </w:tc>
        <w:tc>
          <w:tcPr>
            <w:tcW w:type="dxa" w:w="2607"/>
            <w:shd w:fill="8A9E28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Type de balles</w:t>
            </w:r>
          </w:p>
        </w:tc>
        <w:tc>
          <w:tcPr>
            <w:tcW w:type="dxa" w:w="2381"/>
            <w:shd w:fill="8A9E28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Nombre</w:t>
            </w:r>
          </w:p>
        </w:tc>
      </w:tr>
      <w:tr>
        <w:trPr>
          <w:cantSplit/>
          <w:trHeight w:val="453" w:hRule="atLeast"/>
        </w:trPr>
        <w:tc>
          <w:tcPr>
            <w:tcW w:type="dxa" w:w="1700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3</w:t>
            </w:r>
          </w:p>
        </w:tc>
        <w:tc>
          <w:tcPr>
            <w:tcW w:type="dxa" w:w="3514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Seaux de 40 balles</w:t>
            </w:r>
          </w:p>
        </w:tc>
        <w:tc>
          <w:tcPr>
            <w:tcW w:type="dxa" w:w="2607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Balles rouges</w:t>
            </w:r>
          </w:p>
        </w:tc>
        <w:tc>
          <w:tcPr>
            <w:tcW w:type="dxa" w:w="2381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9"/>
                <w:szCs w:val="19"/>
              </w:rPr>
              <w:t xml:space="preserve">120</w:t>
            </w:r>
          </w:p>
        </w:tc>
      </w:tr>
      <w:tr>
        <w:trPr>
          <w:cantSplit/>
          <w:trHeight w:val="453" w:hRule="atLeast"/>
        </w:trPr>
        <w:tc>
          <w:tcPr>
            <w:tcW w:type="dxa" w:w="1700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2</w:t>
            </w:r>
          </w:p>
        </w:tc>
        <w:tc>
          <w:tcPr>
            <w:tcW w:type="dxa" w:w="3514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Paniers de 60 balles</w:t>
            </w:r>
          </w:p>
        </w:tc>
        <w:tc>
          <w:tcPr>
            <w:tcW w:type="dxa" w:w="2607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Balles oranges</w:t>
            </w:r>
          </w:p>
        </w:tc>
        <w:tc>
          <w:tcPr>
            <w:tcW w:type="dxa" w:w="2381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9"/>
                <w:szCs w:val="19"/>
              </w:rPr>
              <w:t xml:space="preserve">120</w:t>
            </w:r>
          </w:p>
        </w:tc>
      </w:tr>
      <w:tr>
        <w:trPr>
          <w:cantSplit/>
          <w:trHeight w:val="453" w:hRule="atLeast"/>
        </w:trPr>
        <w:tc>
          <w:tcPr>
            <w:tcW w:type="dxa" w:w="1700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3</w:t>
            </w:r>
          </w:p>
        </w:tc>
        <w:tc>
          <w:tcPr>
            <w:tcW w:type="dxa" w:w="3514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Paniers de 60 balles</w:t>
            </w:r>
          </w:p>
        </w:tc>
        <w:tc>
          <w:tcPr>
            <w:tcW w:type="dxa" w:w="2607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Balles vertes</w:t>
            </w:r>
          </w:p>
        </w:tc>
        <w:tc>
          <w:tcPr>
            <w:tcW w:type="dxa" w:w="2381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9"/>
                <w:szCs w:val="19"/>
              </w:rPr>
              <w:t xml:space="preserve">180</w:t>
            </w:r>
          </w:p>
        </w:tc>
      </w:tr>
      <w:tr>
        <w:trPr>
          <w:cantSplit/>
          <w:trHeight w:val="510" w:hRule="atLeast"/>
        </w:trPr>
        <w:tc>
          <w:tcPr>
            <w:tcW w:type="dxa" w:w="7821"/>
            <w:gridSpan w:val="3"/>
            <w:shd w:fill="F0F2E0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9"/>
                <w:szCs w:val="19"/>
              </w:rPr>
              <w:t xml:space="preserve">Total balles rouges, oranges et vertes — 8 contenants</w:t>
            </w:r>
          </w:p>
        </w:tc>
        <w:tc>
          <w:tcPr>
            <w:tcW w:type="dxa" w:w="2381"/>
            <w:shd w:fill="F0F2E0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420</w:t>
            </w:r>
          </w:p>
        </w:tc>
      </w:tr>
    </w:tbl>
    <w:p>
      <w:pPr>
        <w:spacing w:after="0" w:before="70" w:line="230"/>
      </w:pPr>
      <w:r>
        <w:rPr>
          <w:rFonts w:ascii="Calibri" w:cs="Calibri" w:eastAsia="Calibri" w:hAnsi="Calibri"/>
          <w:color w:val="6E6E6E"/>
          <w:sz w:val="17"/>
          <w:szCs w:val="17"/>
        </w:rPr>
        <w:t xml:space="preserve">Pas de contenant individuel pour ces balles : tous les moniteurs puisent dans les mêmes paniers et seaux. Le manquant est réparti entre les moniteurs au prorata de l’utilisation.</w:t>
      </w:r>
    </w:p>
    <w:p>
      <w:pPr>
        <w:spacing w:after="90" w:before="220" w:line="240"/>
      </w:pPr>
      <w:r>
        <w:rPr>
          <w:rFonts w:ascii="Calibri" w:cs="Calibri" w:eastAsia="Calibri" w:hAnsi="Calibri"/>
          <w:b/>
          <w:bCs/>
          <w:color w:val="C0392B"/>
          <w:sz w:val="23"/>
          <w:szCs w:val="23"/>
        </w:rPr>
        <w:t xml:space="preserve">Récapitulatif</w:t>
      </w:r>
    </w:p>
    <w:tbl>
      <w:tblPr>
        <w:tblW w:type="dxa" w:w="10202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D5D5D5" w:sz="4"/>
          <w:insideV w:val="single" w:color="D5D5D5" w:sz="4"/>
        </w:tblBorders>
      </w:tblPr>
      <w:tblGrid>
        <w:gridCol w:w="1700"/>
        <w:gridCol w:w="3514"/>
        <w:gridCol w:w="2607"/>
        <w:gridCol w:w="2381"/>
      </w:tblGrid>
      <w:tr>
        <w:trPr>
          <w:tblHeader/>
          <w:trHeight w:val="510" w:hRule="atLeast"/>
        </w:trPr>
        <w:tc>
          <w:tcPr>
            <w:tcW w:type="dxa" w:w="1700"/>
            <w:shd w:fill="8A9E28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Qté</w:t>
            </w:r>
          </w:p>
        </w:tc>
        <w:tc>
          <w:tcPr>
            <w:tcW w:type="dxa" w:w="3514"/>
            <w:shd w:fill="8A9E28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Contenant</w:t>
            </w:r>
          </w:p>
        </w:tc>
        <w:tc>
          <w:tcPr>
            <w:tcW w:type="dxa" w:w="2607"/>
            <w:shd w:fill="8A9E28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Type de balles</w:t>
            </w:r>
          </w:p>
        </w:tc>
        <w:tc>
          <w:tcPr>
            <w:tcW w:type="dxa" w:w="2381"/>
            <w:shd w:fill="8A9E28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Nombre</w:t>
            </w:r>
          </w:p>
        </w:tc>
      </w:tr>
      <w:tr>
        <w:trPr>
          <w:cantSplit/>
          <w:trHeight w:val="453" w:hRule="atLeast"/>
        </w:trPr>
        <w:tc>
          <w:tcPr>
            <w:tcW w:type="dxa" w:w="1700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8</w:t>
            </w:r>
          </w:p>
        </w:tc>
        <w:tc>
          <w:tcPr>
            <w:tcW w:type="dxa" w:w="3514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paniers de 60</w:t>
            </w:r>
          </w:p>
        </w:tc>
        <w:tc>
          <w:tcPr>
            <w:tcW w:type="dxa" w:w="2607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Balles dures</w:t>
            </w:r>
          </w:p>
        </w:tc>
        <w:tc>
          <w:tcPr>
            <w:tcW w:type="dxa" w:w="2381"/>
            <w:shd w:fill="FFFFFF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9"/>
                <w:szCs w:val="19"/>
              </w:rPr>
              <w:t xml:space="preserve">480</w:t>
            </w:r>
          </w:p>
        </w:tc>
      </w:tr>
      <w:tr>
        <w:trPr>
          <w:cantSplit/>
          <w:trHeight w:val="453" w:hRule="atLeast"/>
        </w:trPr>
        <w:tc>
          <w:tcPr>
            <w:tcW w:type="dxa" w:w="1700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8</w:t>
            </w:r>
          </w:p>
        </w:tc>
        <w:tc>
          <w:tcPr>
            <w:tcW w:type="dxa" w:w="3514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paniers et seaux</w:t>
            </w:r>
          </w:p>
        </w:tc>
        <w:tc>
          <w:tcPr>
            <w:tcW w:type="dxa" w:w="2607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9"/>
                <w:szCs w:val="19"/>
              </w:rPr>
              <w:t xml:space="preserve">Rouges, oranges, vertes</w:t>
            </w:r>
          </w:p>
        </w:tc>
        <w:tc>
          <w:tcPr>
            <w:tcW w:type="dxa" w:w="2381"/>
            <w:shd w:fill="FAFAF6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9"/>
                <w:szCs w:val="19"/>
              </w:rPr>
              <w:t xml:space="preserve">420</w:t>
            </w:r>
          </w:p>
        </w:tc>
      </w:tr>
      <w:tr>
        <w:trPr>
          <w:cantSplit/>
          <w:trHeight w:val="510" w:hRule="atLeast"/>
        </w:trPr>
        <w:tc>
          <w:tcPr>
            <w:tcW w:type="dxa" w:w="7821"/>
            <w:gridSpan w:val="3"/>
            <w:shd w:fill="F0F2E0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9"/>
                <w:szCs w:val="19"/>
              </w:rPr>
              <w:t xml:space="preserve">Total des balles en circulation</w:t>
            </w:r>
          </w:p>
        </w:tc>
        <w:tc>
          <w:tcPr>
            <w:tcW w:type="dxa" w:w="2381"/>
            <w:shd w:fill="F0F2E0" w:color="auto" w:val="clear"/>
            <w:tcMar>
              <w:top w:type="dxa" w:w="73"/>
              <w:left w:type="dxa" w:w="141"/>
              <w:bottom w:type="dxa" w:w="73"/>
              <w:right w:type="dxa" w:w="141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900</w:t>
            </w:r>
          </w:p>
        </w:tc>
      </w:tr>
    </w:tbl>
    <w:p>
      <w:pPr>
        <w:spacing w:after="0" w:before="100" w:line="235"/>
      </w:pPr>
      <w:r>
        <w:rPr>
          <w:rFonts w:ascii="Calibri" w:cs="Calibri" w:eastAsia="Calibri" w:hAnsi="Calibri"/>
          <w:b/>
          <w:bCs/>
          <w:color w:val="2E2E2E"/>
          <w:sz w:val="18"/>
          <w:szCs w:val="18"/>
        </w:rPr>
        <w:t xml:space="preserve">Valeur de remplacement : </w:t>
      </w:r>
      <w:r>
        <w:rPr>
          <w:rFonts w:ascii="Calibri" w:cs="Calibri" w:eastAsia="Calibri" w:hAnsi="Calibri"/>
          <w:color w:val="2E2E2E"/>
          <w:sz w:val="18"/>
          <w:szCs w:val="18"/>
        </w:rPr>
        <w:t xml:space="preserve">balles dures </w:t>
      </w:r>
      <w:r>
        <w:rPr>
          <w:rFonts w:ascii="Calibri" w:cs="Calibri" w:eastAsia="Calibri" w:hAnsi="Calibri"/>
          <w:b/>
          <w:bCs/>
          <w:color w:val="C0392B"/>
          <w:sz w:val="18"/>
          <w:szCs w:val="18"/>
        </w:rPr>
        <w:t xml:space="preserve">936,00 €</w:t>
      </w:r>
      <w:r>
        <w:rPr>
          <w:rFonts w:ascii="Calibri" w:cs="Calibri" w:eastAsia="Calibri" w:hAnsi="Calibri"/>
          <w:color w:val="2E2E2E"/>
          <w:sz w:val="18"/>
          <w:szCs w:val="18"/>
        </w:rPr>
        <w:t xml:space="preserve">   ·   rouges, oranges et vertes </w:t>
      </w:r>
      <w:r>
        <w:rPr>
          <w:rFonts w:ascii="Calibri" w:cs="Calibri" w:eastAsia="Calibri" w:hAnsi="Calibri"/>
          <w:b/>
          <w:bCs/>
          <w:color w:val="C0392B"/>
          <w:sz w:val="18"/>
          <w:szCs w:val="18"/>
        </w:rPr>
        <w:t xml:space="preserve">420 €</w:t>
      </w:r>
    </w:p>
    <w:p>
      <w:pPr>
        <w:spacing w:after="0" w:before="30" w:line="230"/>
      </w:pPr>
      <w:r>
        <w:rPr>
          <w:rFonts w:ascii="Calibri" w:cs="Calibri" w:eastAsia="Calibri" w:hAnsi="Calibri"/>
          <w:color w:val="6E6E6E"/>
          <w:sz w:val="17"/>
          <w:szCs w:val="17"/>
        </w:rPr>
        <w:t xml:space="preserve">Calculée au prix coûtant : 1,95 € la balle dure, 1 € la balle rouge, orange ou verte.</w:t>
      </w:r>
    </w:p>
    <w:p>
      <w:pPr>
        <w:spacing w:after="0" w:before="120" w:line="230"/>
      </w:pPr>
      <w:r>
        <w:rPr>
          <w:rFonts w:ascii="Calibri" w:cs="Calibri" w:eastAsia="Calibri" w:hAnsi="Calibri"/>
          <w:i/>
          <w:iCs/>
          <w:color w:val="6E6E6E"/>
          <w:sz w:val="16"/>
          <w:szCs w:val="16"/>
        </w:rPr>
        <w:t xml:space="preserve">Inventaire réalisé par Thibault Duchêne. Prochain comptage à la fin de la période 1 (7 semaines).</w:t>
      </w:r>
    </w:p>
    <w:sectPr>
      <w:footerReference w:type="default" r:id="rId7"/>
      <w:pgSz w:w="11906" w:h="16838" w:orient="portrait"/>
      <w:pgMar w:top="680" w:right="850" w:bottom="566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Lambermont Royal Tennis Club &amp; School  ·  Inventaire des balles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Inventaire des balles — saison 2026-2027</dc:title>
  <dc:creator>Lambermont Royal Tennis Club &amp; School</dc:creator>
  <cp:lastModifiedBy>Un-named</cp:lastModifiedBy>
  <cp:revision>1</cp:revision>
  <dcterms:created xsi:type="dcterms:W3CDTF">2026-09-28T12:24:54.682Z</dcterms:created>
  <dcterms:modified xsi:type="dcterms:W3CDTF">2026-09-28T12:24:54.682Z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