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4381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color w:val="C0392B"/>
          <w:sz w:val="38"/>
          <w:szCs w:val="38"/>
        </w:rPr>
        <w:t xml:space="preserve">RÉUNION ANNUELLE DES MONITEURS</w:t>
      </w:r>
    </w:p>
    <w:p>
      <w:pPr>
        <w:spacing w:after="60" w:before="0" w:line="276"/>
        <w:jc w:val="center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Saison 2026 – 2027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color w:val="2E2E2E"/>
          <w:sz w:val="22"/>
          <w:szCs w:val="22"/>
        </w:rPr>
        <w:t xml:space="preserve">Lundi 21 septembre 2026</w:t>
      </w:r>
    </w:p>
    <w:p>
      <w:pPr>
        <w:pBdr>
          <w:bottom w:val="single" w:color="8A9E28" w:sz="8" w:space="10"/>
        </w:pBdr>
        <w:spacing w:after="480" w:before="0" w:line="276"/>
        <w:jc w:val="center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Lambermont Royal Tennis Club &amp; School – Bruxelles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Ordre du jour</w:t>
      </w:r>
    </w:p>
    <w:p>
      <w:pPr>
        <w:spacing w:after="220" w:before="0" w:line="276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Ce document reprend l’ensemble des points abordés lors de la réunion. Gardez-le : il sert de référence pour toute la saison.</w:t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DDD" w:sz="2"/>
          <w:insideV w:val="none" w:color="FFFFFF" w:sz="0"/>
        </w:tblBorders>
      </w:tblPr>
      <w:tblGrid>
        <w:gridCol w:w="680"/>
        <w:gridCol w:w="8957"/>
      </w:tblGrid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Bilan de la saison 2025-2026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2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Les inscriptions 2026-2027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3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Calendrier des cours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4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Balles et matériel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5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Vacances et remplacements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6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Ponctualité, présences, League Cup et rassemblements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7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Les règles de base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8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Formations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9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Tenue vestimentaire et savoir-être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10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Esprit d’équipe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11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Le kot : ordre et accès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12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Les cours privés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13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Assurances et responsabilité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14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Programme pédagogique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15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Remarques, suggestions, tour de table</w:t>
            </w:r>
          </w:p>
        </w:tc>
      </w:tr>
      <w:tr>
        <w:tc>
          <w:tcPr>
            <w:tcW w:type="dxa" w:w="680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21"/>
                <w:szCs w:val="21"/>
              </w:rPr>
              <w:t xml:space="preserve">16</w:t>
            </w:r>
          </w:p>
        </w:tc>
        <w:tc>
          <w:tcPr>
            <w:tcW w:type="dxa" w:w="8957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Programmes, terrains et listes d’élèves</w:t>
            </w:r>
          </w:p>
        </w:tc>
      </w:tr>
    </w:tbl>
    <w:p>
      <w:r>
        <w:br w:type="page"/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Bilan de la saison 2025-2026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Tour de table sur la saison écoulée, cours et stages confondus : ce qui a bien fonctionné et ce que nous voulons améliorer.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Les points de vigilance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Surveillance :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présence active sur le terrain du début à la fin des rotations et des cours. La sécurité des enfants passe avant tout le reste.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Pédagogie :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des exercices préparés, variés et adaptés au niveau réel du groupe. On ne s’improvise pas en arrivant sur le terrain.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Usage du téléphone :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c’est le point qui revient le plus dans les retours des parents. Voir le point 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Implication :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montrer une envie, une motivation d’être avec les enfants et de les faire progresser.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Organisation :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un document vous sera remis avant le début de chaque stage. </w:t>
      </w: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Obligation de le relire chaque semaine !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Points positifs à souligner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Bonne affluence, et de bons retours des parents en général.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Points à améliorer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La semaine qui a suivi mon retour de vacances a été la pire de toute l’année. </w:t>
      </w: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Pour quelle raison ? Un relâchement pendant mon absence ? Vos suggestions ?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Les inscriptions 2026-2027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Nombre d’inscrits constant, avec un taux de réinscription supérieur à 80 %.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Comme chaque année, j’ai essayé de constituer les groupes les plus homogènes possibles. Il faudra voir si des changements s’imposent après le premier cours.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N’attendez pas des semaines avant de me prévenir qu’il y a des soucis dans un groupe !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Calendrier des cours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Comme chaque année, nous suivons le calendrier des vacances scolaires francophones.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Remise du calendrier à chacun.</w:t>
      </w:r>
    </w:p>
    <w:p>
      <w:r>
        <w:br w:type="page"/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Balles et matériel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Le système mis en place l’an dernier est un échec.</w:t>
      </w:r>
    </w:p>
    <w:p>
      <w:pPr>
        <w:spacing w:after="70" w:before="0" w:line="276"/>
      </w:pPr>
      <w:r>
        <w:rPr>
          <w:rFonts w:ascii="Calibri" w:cs="Calibri" w:eastAsia="Calibri" w:hAnsi="Calibri"/>
          <w:b/>
          <w:bCs/>
          <w:color w:val="6E6E6E"/>
          <w:sz w:val="16"/>
          <w:szCs w:val="16"/>
        </w:rPr>
        <w:t xml:space="preserve">CE QUI AVAIT ÉTÉ DÉCIDÉ L’AN DERNIER</w:t>
      </w:r>
    </w:p>
    <w:tbl>
      <w:tblPr>
        <w:tblW w:type="dxa" w:w="9637"/>
        <w:tblBorders>
          <w:top w:val="none" w:color="FFFFFF" w:sz="0"/>
          <w:left w:val="single" w:color="BBBBBB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F7F7F5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21"/>
                <w:szCs w:val="21"/>
              </w:rPr>
              <w:t xml:space="preserve">« Une cagnotte démarre à 2 500 € en début de saison et sert à vous récompenser en fin d’année. Elle diminue à chaque négligence constatée :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E6E6E"/>
                <w:sz w:val="21"/>
                <w:szCs w:val="21"/>
              </w:rPr>
              <w:t xml:space="preserve">– 1 € </w:t>
            </w:r>
            <w:r>
              <w:rPr>
                <w:rFonts w:ascii="Calibri" w:cs="Calibri" w:eastAsia="Calibri" w:hAnsi="Calibri"/>
                <w:i/>
                <w:iCs/>
                <w:color w:val="6E6E6E"/>
                <w:sz w:val="21"/>
                <w:szCs w:val="21"/>
              </w:rPr>
              <w:t xml:space="preserve">par balle retrouvée traînant sur ou autour des terrains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E6E6E"/>
                <w:sz w:val="21"/>
                <w:szCs w:val="21"/>
              </w:rPr>
              <w:t xml:space="preserve">– 5 € </w:t>
            </w:r>
            <w:r>
              <w:rPr>
                <w:rFonts w:ascii="Calibri" w:cs="Calibri" w:eastAsia="Calibri" w:hAnsi="Calibri"/>
                <w:i/>
                <w:iCs/>
                <w:color w:val="6E6E6E"/>
                <w:sz w:val="21"/>
                <w:szCs w:val="21"/>
              </w:rPr>
              <w:t xml:space="preserve">par matériel retrouvé dehors ou non rangé dans le kot</w:t>
            </w:r>
          </w:p>
          <w:p>
            <w:pPr>
              <w:spacing w:after="70" w:before="0" w:line="276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6E6E6E"/>
                <w:sz w:val="21"/>
                <w:szCs w:val="21"/>
              </w:rPr>
              <w:t xml:space="preserve">– 5 € </w:t>
            </w:r>
            <w:r>
              <w:rPr>
                <w:rFonts w:ascii="Calibri" w:cs="Calibri" w:eastAsia="Calibri" w:hAnsi="Calibri"/>
                <w:i/>
                <w:iCs/>
                <w:color w:val="6E6E6E"/>
                <w:sz w:val="21"/>
                <w:szCs w:val="21"/>
              </w:rPr>
              <w:t xml:space="preserve">si le moniteur n’est pas en tenue Babolat ou à l’effigie du club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21"/>
                <w:szCs w:val="21"/>
              </w:rPr>
              <w:t xml:space="preserve">Le solde restant en fin de saison est réparti entre les moniteurs. Si le budget de 2 500 € venait à être dépassé, nous passerions à un système où les balles deviennent payantes pour vous. »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spacing w:after="300" w:before="0" w:line="276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Résultat : toujours la même négligence. Le système ne fonctionne pas.</w:t>
      </w:r>
    </w:p>
    <w:p>
      <w:r>
        <w:br w:type="page"/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Le nouveau système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Fini la cagnotte collective. Chacun est désormais responsable de ses propres balles, et une balle perdue se paie.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Les paniers</w:t>
      </w:r>
    </w:p>
    <w:tbl>
      <w:tblPr>
        <w:tblW w:type="dxa" w:w="9637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87"/>
        <w:gridCol w:w="5669"/>
        <w:gridCol w:w="2381"/>
      </w:tblGrid>
      <w:tr>
        <w:trPr>
          <w:tblHeader/>
        </w:trPr>
        <w:tc>
          <w:tcPr>
            <w:tcW w:type="dxa" w:w="1587"/>
            <w:shd w:fill="8A9E28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Marquage</w:t>
            </w:r>
          </w:p>
        </w:tc>
        <w:tc>
          <w:tcPr>
            <w:tcW w:type="dxa" w:w="5669"/>
            <w:shd w:fill="8A9E28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Panier de</w:t>
            </w:r>
          </w:p>
        </w:tc>
        <w:tc>
          <w:tcPr>
            <w:tcW w:type="dxa" w:w="2381"/>
            <w:shd w:fill="8A9E28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Contenu</w:t>
            </w:r>
          </w:p>
        </w:tc>
      </w:tr>
      <w:tr>
        <w:tc>
          <w:tcPr>
            <w:tcW w:type="dxa" w:w="1587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Y</w:t>
            </w:r>
          </w:p>
        </w:tc>
        <w:tc>
          <w:tcPr>
            <w:tcW w:type="dxa" w:w="5669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Yassine</w:t>
            </w:r>
          </w:p>
        </w:tc>
        <w:tc>
          <w:tcPr>
            <w:tcW w:type="dxa" w:w="2381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60 balles</w:t>
            </w:r>
          </w:p>
        </w:tc>
      </w:tr>
      <w:tr>
        <w:tc>
          <w:tcPr>
            <w:tcW w:type="dxa" w:w="1587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E</w:t>
            </w:r>
          </w:p>
        </w:tc>
        <w:tc>
          <w:tcPr>
            <w:tcW w:type="dxa" w:w="5669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Elias</w:t>
            </w:r>
          </w:p>
        </w:tc>
        <w:tc>
          <w:tcPr>
            <w:tcW w:type="dxa" w:w="2381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60 balles</w:t>
            </w:r>
          </w:p>
        </w:tc>
      </w:tr>
      <w:tr>
        <w:tc>
          <w:tcPr>
            <w:tcW w:type="dxa" w:w="1587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T</w:t>
            </w:r>
          </w:p>
        </w:tc>
        <w:tc>
          <w:tcPr>
            <w:tcW w:type="dxa" w:w="5669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Taha</w:t>
            </w:r>
          </w:p>
        </w:tc>
        <w:tc>
          <w:tcPr>
            <w:tcW w:type="dxa" w:w="2381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60 balles</w:t>
            </w:r>
          </w:p>
        </w:tc>
      </w:tr>
      <w:tr>
        <w:tc>
          <w:tcPr>
            <w:tcW w:type="dxa" w:w="1587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J</w:t>
            </w:r>
          </w:p>
        </w:tc>
        <w:tc>
          <w:tcPr>
            <w:tcW w:type="dxa" w:w="5669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Julien</w:t>
            </w:r>
          </w:p>
        </w:tc>
        <w:tc>
          <w:tcPr>
            <w:tcW w:type="dxa" w:w="2381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60 balles</w:t>
            </w:r>
          </w:p>
        </w:tc>
      </w:tr>
      <w:tr>
        <w:tc>
          <w:tcPr>
            <w:tcW w:type="dxa" w:w="1587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M</w:t>
            </w:r>
          </w:p>
        </w:tc>
        <w:tc>
          <w:tcPr>
            <w:tcW w:type="dxa" w:w="5669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Mario</w:t>
            </w:r>
          </w:p>
        </w:tc>
        <w:tc>
          <w:tcPr>
            <w:tcW w:type="dxa" w:w="2381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60 balles</w:t>
            </w:r>
          </w:p>
        </w:tc>
      </w:tr>
      <w:tr>
        <w:tc>
          <w:tcPr>
            <w:tcW w:type="dxa" w:w="1587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A</w:t>
            </w:r>
          </w:p>
        </w:tc>
        <w:tc>
          <w:tcPr>
            <w:tcW w:type="dxa" w:w="5669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21"/>
                <w:szCs w:val="21"/>
              </w:rPr>
              <w:t xml:space="preserve">Les autres moniteurs</w:t>
            </w: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 — deux paniers communs</w:t>
            </w:r>
          </w:p>
        </w:tc>
        <w:tc>
          <w:tcPr>
            <w:tcW w:type="dxa" w:w="2381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60 balles chacun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balles sont marquées de la première lettre de votre prénom. Une balle qui traîne dit immédiatement à qui elle appartient.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Votre panier est le vôtre : vous le gérez, vous le rangez, vous le retrouvez complet.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moniteurs sans panier personnel utilisent les deux paniers « A ».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Le comptage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Quatre comptages sur la saison, à la fin de chaque période.</w:t>
      </w:r>
    </w:p>
    <w:tbl>
      <w:tblPr>
        <w:tblW w:type="dxa" w:w="623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51"/>
        <w:gridCol w:w="3685"/>
      </w:tblGrid>
      <w:tr>
        <w:trPr>
          <w:tblHeader/>
        </w:trPr>
        <w:tc>
          <w:tcPr>
            <w:tcW w:type="dxa" w:w="2551"/>
            <w:shd w:fill="8A9E28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Période</w:t>
            </w:r>
          </w:p>
        </w:tc>
        <w:tc>
          <w:tcPr>
            <w:tcW w:type="dxa" w:w="3685"/>
            <w:shd w:fill="8A9E28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Durée</w:t>
            </w:r>
          </w:p>
        </w:tc>
      </w:tr>
      <w:tr>
        <w:tc>
          <w:tcPr>
            <w:tcW w:type="dxa" w:w="2551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1</w:t>
            </w:r>
          </w:p>
        </w:tc>
        <w:tc>
          <w:tcPr>
            <w:tcW w:type="dxa" w:w="3685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7 semaines</w:t>
            </w:r>
          </w:p>
        </w:tc>
      </w:tr>
      <w:tr>
        <w:tc>
          <w:tcPr>
            <w:tcW w:type="dxa" w:w="2551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2</w:t>
            </w:r>
          </w:p>
        </w:tc>
        <w:tc>
          <w:tcPr>
            <w:tcW w:type="dxa" w:w="3685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7 semaines</w:t>
            </w:r>
          </w:p>
        </w:tc>
      </w:tr>
      <w:tr>
        <w:tc>
          <w:tcPr>
            <w:tcW w:type="dxa" w:w="2551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3</w:t>
            </w:r>
          </w:p>
        </w:tc>
        <w:tc>
          <w:tcPr>
            <w:tcW w:type="dxa" w:w="3685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6 semaines</w:t>
            </w:r>
          </w:p>
        </w:tc>
      </w:tr>
      <w:tr>
        <w:tc>
          <w:tcPr>
            <w:tcW w:type="dxa" w:w="2551"/>
            <w:shd w:fill="FAFAF5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4</w:t>
            </w:r>
          </w:p>
        </w:tc>
        <w:tc>
          <w:tcPr>
            <w:tcW w:type="dxa" w:w="3685"/>
            <w:shd w:fill="FFFFFF" w:color="auto" w:val="clear"/>
            <w:tcMar>
              <w:top w:type="dxa" w:w="113"/>
              <w:left w:type="dxa" w:w="170"/>
              <w:bottom w:type="dxa" w:w="113"/>
              <w:right w:type="dxa" w:w="17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8 semaines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À chaque comptage, on compte les balles restantes dans votre panier. Chaque balle manquante est déduite du salaire à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1,95 €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, soit le prix coûtant d’une balle.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 club ne gagne rien sur ce système : il responsabilise davantage la gestion des balles par les moniteurs.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Paniers « A » :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le montant manquant est réparti entre les moniteurs concernés, au prorata du nombre d’heures pendant lesquelles chacun a utilisé ces paniers.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Les balles rouges, oranges et vertes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Pas de panier personnel pour ces balles : tout le monde est dans le même système.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Comptage à la fin de chaque période également. Chaque balle manquante est déduite à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1 €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, réparti entre les moniteurs au prorata de l’utilisation que chacun fait de ces balles.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tbl>
      <w:tblPr>
        <w:tblW w:type="dxa" w:w="9637"/>
        <w:tblBorders>
          <w:top w:val="single" w:color="8A9E28" w:sz="6"/>
          <w:left w:val="single" w:color="C0392B" w:sz="24"/>
          <w:bottom w:val="single" w:color="8A9E28" w:sz="6"/>
          <w:right w:val="single" w:color="8A9E28" w:sz="6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F4F6E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Le réflexe qui change tout : le tour du terrain.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Après chaque cours : fond de court, abords du filet, derrière les bâches, terrains voisins. Une balle laissée aujourd’hui est une balle manquante au comptage — et 1,95 € de votre poche.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Vacances et remplacements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 fichier partagé de l’an dernier n’était pas rempli, et la raison est simple : on demandait au moniteur absent de l’encoder, alors que cette heure-là, il ne la facture pas. Cette saison, la déclaration passe à celui qui est payé.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Prévenir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Prévenez le plus tôt possible, et toujours par écrit, dans le groupe WhatsApp des profs.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Proposez vous-même un remplaçant au sein de l’équipe : c’est à vous de trouver la solution, pas au club.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Un remplacement n’est effectif qu’une fois confirmé par Thibault.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 remplaçant doit recevoir le programme du cours et la liste des élèves.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Déclarer : c’est le remplaçant qui encode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 remplaçant encode lui-même sa ligne dans le fichier Excel partagé, le jour même : </w:t>
      </w: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date, heure, terrain, groupe, et le nom du moniteur remplacé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 moniteur remplacé ne facture pas cette heure. Elle apparaît uniquement sur la facture du remplaçant, avec la mention « en remplacement de… 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remplacements sont vérifiés à la fin de chaque mois, à la réception des factures.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tbl>
      <w:tblPr>
        <w:tblW w:type="dxa" w:w="9637"/>
        <w:tblBorders>
          <w:top w:val="single" w:color="8A9E28" w:sz="6"/>
          <w:left w:val="single" w:color="C0392B" w:sz="24"/>
          <w:bottom w:val="single" w:color="8A9E28" w:sz="6"/>
          <w:right w:val="single" w:color="8A9E28" w:sz="6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F4F6E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Pas de ligne dans l’Excel, pas de paiement.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Une heure qui ne figure pas à votre horaire et qui n’a pas été déclarée comme remplacement ne sera pas payée.</w:t>
            </w:r>
          </w:p>
        </w:tc>
      </w:tr>
    </w:tbl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Ponctualité, présences, League Cup et rassemblements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Arriver 15 minutes en avance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, pas à l’heure : le cours commence à l’heure dite, pas au moment où vous ouvrez le kot.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League Cup et rassemblements du samedi : les deux moniteurs doivent être présents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, ou prévenir en cas d’absence. C’est non négociable.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En stage, force est de constater que les horaires ne sont pas respectés.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Si cela ne s’améliore pas, des sanctions seront prises à l’avenir.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Les règles de base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Sur le terrain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Téléphone :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rangé, hors de vue, pas d’utilisation pendant le cours ou le stage. Sauf urgence réelle.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Ne pas quitter le terrain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pendant un cours, sauf pour aller aux toilettes : les enfants ne restent jamais seuls.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Commencer et terminer à l’heure.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Un cours qui déborde décale tout le monde.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Entre les cours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pauses restent courtes : le cours suivant commence à l’heure prévue.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Cigarettes : jamais devant les élèves, jamais sur les terrains, jamais en tenue de moniteur à l’entrée du club.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Après le cours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Rangez votre matériel aux endroits prévus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, ne le laissez pas dans les paniers.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Fermez le kot en partant.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Chaque moniteur reçoit sa propre clé cette saison : plus de boîtier, plus de clé à remettre en place. En contrepartie, la clé est nominative — l’état du kot engage celui qui l’a fermé.</w:t>
      </w:r>
    </w:p>
    <w:p>
      <w:pPr>
        <w:spacing w:after="10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tbl>
      <w:tblPr>
        <w:tblW w:type="dxa" w:w="9637"/>
        <w:tblBorders>
          <w:top w:val="single" w:color="8A9E28" w:sz="6"/>
          <w:left w:val="single" w:color="C0392B" w:sz="24"/>
          <w:bottom w:val="single" w:color="8A9E28" w:sz="6"/>
          <w:right w:val="single" w:color="8A9E28" w:sz="6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F4F6E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Un avertissement, pas encore une sanction.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Le rangement du kot est le point qui a le plus dérapé ces dernières saisons. Si rien ne change, nous mettrons en place un système de constats : rappel nominatif, puis retenue forfaitaire sur facture, puis retrait de la clé.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21"/>
                <w:szCs w:val="21"/>
              </w:rPr>
              <w:t xml:space="preserve">Rien de cela n’est appliqué aujourd’hui. C’est à nous tous de faire que ce ne soit jamais nécessaire.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8.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Formations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 club rembourse la formation et une hausse salariale suit l’obtention du niveau.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Question posée à chacun : qui s’engage à faire son niveau 1 cette saison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conditions exactes du remboursement (avance, remboursement après réussite, engagement de durée)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barème salarial par niveau de formation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dates et lieux des sessions de formation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9.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Tenue vestimentaire et savoir-être</w:t>
      </w:r>
    </w:p>
    <w:tbl>
      <w:tblPr>
        <w:tblW w:type="dxa" w:w="9637"/>
        <w:tblBorders>
          <w:top w:val="single" w:color="8A9E28" w:sz="6"/>
          <w:left w:val="single" w:color="C0392B" w:sz="24"/>
          <w:bottom w:val="single" w:color="8A9E28" w:sz="6"/>
          <w:right w:val="single" w:color="8A9E28" w:sz="6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F4F6E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La tenue est OBLIGATOIRE à chaque cours.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Tenue Babolat ou vêtements à l’effigie du club. Pas d’exception, pas d’oubli.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Les raquettes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raquettes qui se trouvent dans le kot sont réservées aux élèves. Elles ne sont pas là pour vous dépanner.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Le savoir-être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Vocabulaire et attitude corrects avec les élèves, les parents et les membres du club.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Vous représentez le club dès que vous franchissez la grille, pas seulement pendant votre heure de cours.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10.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Esprit d’équipe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On se soutient : un collègue en difficulté sur un groupe, on l’aide.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On partage ce qui fonctionne : exercices, jeux, façons de gérer un groupe difficile.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désaccords se règlent entre nous, jamais devant les élèves ou les parents.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canal de communication de l’équipe pour la saison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11.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Le kot : ordre et accès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Rangement après chaque cours : paniers, cônes, filets, plots. Le kot se rend dans l’état où on l’a trouvé.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Pas d’affaires personnelles laissées sur place.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Chaque moniteur reçoit sa propre clé pour la saison. 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Elle est nominative et se restitue en fin de saison.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 matériel commun reste sous la responsabilité de tous : on le range après chaque cours.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12.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Les cours privés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Lorsqu’une demande de cours privé arrive au club, je transmets aux parents vos tarifs, votre niveau de formation et vos années d’expérience. Le choix leur revient ensuite.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color w:val="8A9E28"/>
          <w:sz w:val="21"/>
          <w:szCs w:val="21"/>
        </w:rPr>
        <w:t xml:space="preserve">Le terrain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15 € de l’heure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, à remettre en cash, sous enveloppe, à Marc à la fin du mois.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L’enveloppe porte votre nom et le nombre d’heures jouées.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procédure de réservation des terrains pour les cours privés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chacun communique son tarif horaire pour la saison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13.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Assurances et responsabilité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Point resté ouvert l’an dernier. Nous le clôturons cette année.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Vérification de la responsabilité civile de chaque moniteur.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Une assurance individuelle est-elle obligatoire, ou la couverture du club suffit-elle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2E2E"/>
          <w:sz w:val="21"/>
          <w:szCs w:val="21"/>
        </w:rPr>
        <w:t xml:space="preserve">Qui a la responsabilité des enfants lorsque le cours se termine ?</w:t>
      </w:r>
      <w:r>
        <w:rPr>
          <w:rFonts w:ascii="Calibri" w:cs="Calibri" w:eastAsia="Calibri" w:hAnsi="Calibri"/>
          <w:color w:val="2E2E2E"/>
          <w:sz w:val="21"/>
          <w:szCs w:val="21"/>
        </w:rPr>
        <w:t xml:space="preserve"> Jusqu’à quel moment, et jusqu’où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réponse obtenue auprès de la fédération / de l’assureur du club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document à faire signer par chaque moniteur, le cas échéant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14.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Programme pédagogique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Nous parcourons ensemble le document « Thèmes des cours », qui donne la trame pédagogique de la saison par niveau.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joindre le document « Thèmes des cours » en annexe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15.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Remarques, suggestions, tour de table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La parole est à vous. Questions, propositions, difficultés rencontrées l’an dernier : c’est le moment.</w:t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8A9E28"/>
          <w:sz w:val="26"/>
          <w:szCs w:val="26"/>
        </w:rPr>
        <w:t xml:space="preserve">16. </w:t>
      </w: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Programmes, terrains et listes d’élèves</w:t>
      </w:r>
    </w:p>
    <w:tbl>
      <w:tblPr>
        <w:tblW w:type="dxa" w:w="9637"/>
        <w:tblBorders>
          <w:top w:val="single" w:color="8A9E28" w:sz="6"/>
          <w:left w:val="single" w:color="C0392B" w:sz="24"/>
          <w:bottom w:val="single" w:color="8A9E28" w:sz="6"/>
          <w:right w:val="single" w:color="8A9E28" w:sz="6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F4F6E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ATTENTION – LES TERRAINS ONT CHANGÉ.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>Vérifiez votre affectation avant chaque cours : ce n’est plus celle de l’an dernier.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21"/>
                <w:szCs w:val="21"/>
              </w:rPr>
              <w:t xml:space="preserve">N’utilisez QUE la dernière version du programme que je vous envoie.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listes d’élèves peuvent encore bouger jusqu’au dernier moment : arrivées, départs, changements de groupe.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Une mise à jour est envoyée chaque matin, avant le début des cours.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Une ancienne version = un élève qui attend sur le mauvais terrain. Supprimez les anciennes.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À compléter : préciser le canal d’envoi des mises à jour (e-mail, WhatsApp, autre)</w:t>
      </w:r>
    </w:p>
    <w:p>
      <w:pPr>
        <w:spacing w:after="20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Et pour finir : le repas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La réunion se termine autour d’un repas. Bonne saison à toutes et à tous !</w:t>
      </w:r>
    </w:p>
    <w:p>
      <w:r>
        <w:br w:type="page"/>
      </w:r>
    </w:p>
    <w:p>
      <w:pPr>
        <w:keepNext/>
        <w:pBdr>
          <w:bottom w:val="single" w:color="8A9E2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C0392B"/>
          <w:sz w:val="26"/>
          <w:szCs w:val="26"/>
        </w:rPr>
        <w:t xml:space="preserve">Pour accord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>Les règles reprises dans ce document s’appliquent à l’ensemble des moniteurs de l’école de tennis pour la saison 2026-2027. Certaines d’entre elles prévoient des retenues sur facture, notamment au point 4 pour les balles et le matériel. Elles ne peuvent s’appliquer qu’avec votre accord écrit.</w:t>
      </w:r>
    </w:p>
    <w:p>
      <w:pPr>
        <w:spacing w:after="260" w:before="0" w:line="276"/>
      </w:pPr>
      <w:r>
        <w:rPr>
          <w:rFonts w:ascii="Calibri" w:cs="Calibri" w:eastAsia="Calibri" w:hAnsi="Calibri"/>
          <w:i/>
          <w:iCs/>
          <w:color w:val="6E6E6E"/>
          <w:sz w:val="20"/>
          <w:szCs w:val="20"/>
        </w:rPr>
        <w:t xml:space="preserve">Merci de compléter et de signer ce cadre, puis de remettre cette page à Thibault.</w:t>
      </w:r>
    </w:p>
    <w:tbl>
      <w:tblPr>
        <w:tblW w:type="dxa" w:w="9637"/>
        <w:tblBorders>
          <w:top w:val="single" w:color="8A9E28" w:sz="6"/>
          <w:left w:val="single" w:color="8A9E28" w:sz="6"/>
          <w:bottom w:val="single" w:color="8A9E28" w:sz="6"/>
          <w:right w:val="single" w:color="8A9E28" w:sz="6"/>
          <w:insideH w:val="single" w:color="CCCCCC" w:sz="4"/>
          <w:insideV w:val="single" w:color="CCCCCC" w:sz="4"/>
        </w:tblBorders>
      </w:tblPr>
      <w:tblGrid>
        <w:gridCol w:w="3118"/>
        <w:gridCol w:w="6519"/>
      </w:tblGrid>
      <w:tr>
        <w:tc>
          <w:tcPr>
            <w:tcW w:type="dxa" w:w="9637"/>
            <w:gridSpan w:val="2"/>
            <w:shd w:fill="F4F6EA" w:color="auto" w:val="clear"/>
            <w:tcMar>
              <w:top w:type="dxa" w:w="170"/>
              <w:left w:type="dxa" w:w="226"/>
              <w:bottom w:type="dxa" w:w="170"/>
              <w:right w:type="dxa" w:w="226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E2E2E"/>
                <w:sz w:val="20"/>
                <w:szCs w:val="20"/>
              </w:rPr>
              <w:t xml:space="preserve">Je soussigné(e) déclare avoir pris connaissance des règles reprises dans ce document pour la saison 2026-2027 et en accepter les modalités, en ce compris les retenues sur facture qui y sont prévues.</w:t>
            </w:r>
          </w:p>
        </w:tc>
      </w:tr>
      <w:tr>
        <w:trPr>
          <w:trHeight w:val="680" w:hRule="atLeast"/>
        </w:trPr>
        <w:tc>
          <w:tcPr>
            <w:tcW w:type="dxa" w:w="3118"/>
            <w:shd w:fill="F7F7F5" w:color="auto" w:val="clear"/>
            <w:tcMar>
              <w:top w:type="dxa" w:w="170"/>
              <w:left w:type="dxa" w:w="226"/>
              <w:bottom w:type="dxa" w:w="170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20"/>
                <w:szCs w:val="20"/>
              </w:rPr>
              <w:t xml:space="preserve">Nom et prénom</w:t>
            </w:r>
          </w:p>
        </w:tc>
        <w:tc>
          <w:tcPr>
            <w:tcW w:type="dxa" w:w="6519"/>
            <w:tcMar>
              <w:top w:type="dxa" w:w="170"/>
              <w:left w:type="dxa" w:w="226"/>
              <w:bottom w:type="dxa" w:w="170"/>
              <w:right w:type="dxa" w:w="170"/>
            </w:tcMar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/>
            </w:r>
          </w:p>
        </w:tc>
      </w:tr>
      <w:tr>
        <w:trPr>
          <w:trHeight w:val="680" w:hRule="atLeast"/>
        </w:trPr>
        <w:tc>
          <w:tcPr>
            <w:tcW w:type="dxa" w:w="3118"/>
            <w:shd w:fill="F7F7F5" w:color="auto" w:val="clear"/>
            <w:tcMar>
              <w:top w:type="dxa" w:w="170"/>
              <w:left w:type="dxa" w:w="226"/>
              <w:bottom w:type="dxa" w:w="170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20"/>
                <w:szCs w:val="20"/>
              </w:rPr>
              <w:t xml:space="preserve">Date</w:t>
            </w:r>
          </w:p>
        </w:tc>
        <w:tc>
          <w:tcPr>
            <w:tcW w:type="dxa" w:w="6519"/>
            <w:tcMar>
              <w:top w:type="dxa" w:w="170"/>
              <w:left w:type="dxa" w:w="226"/>
              <w:bottom w:type="dxa" w:w="170"/>
              <w:right w:type="dxa" w:w="170"/>
            </w:tcMar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/>
            </w:r>
          </w:p>
        </w:tc>
      </w:tr>
      <w:tr>
        <w:trPr>
          <w:trHeight w:val="1474" w:hRule="atLeast"/>
        </w:trPr>
        <w:tc>
          <w:tcPr>
            <w:tcW w:type="dxa" w:w="3118"/>
            <w:shd w:fill="F7F7F5" w:color="auto" w:val="clear"/>
            <w:tcMar>
              <w:top w:type="dxa" w:w="170"/>
              <w:left w:type="dxa" w:w="226"/>
              <w:bottom w:type="dxa" w:w="170"/>
              <w:right w:type="dxa" w:w="170"/>
            </w:tcMar>
            <w:vAlign w:val="cente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E2E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6519"/>
            <w:tcMar>
              <w:top w:type="dxa" w:w="170"/>
              <w:left w:type="dxa" w:w="226"/>
              <w:bottom w:type="dxa" w:w="170"/>
              <w:right w:type="dxa" w:w="170"/>
            </w:tcMar>
          </w:tcPr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color w:val="2E2E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637"/>
            <w:gridSpan w:val="2"/>
            <w:tcMar>
              <w:top w:type="dxa" w:w="113"/>
              <w:left w:type="dxa" w:w="226"/>
              <w:bottom w:type="dxa" w:w="113"/>
              <w:right w:type="dxa" w:w="226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7"/>
                <w:szCs w:val="17"/>
              </w:rPr>
              <w:t xml:space="preserve">Signature à faire précéder de la mention manuscrite « lu et approuvé ».</w:t>
            </w:r>
          </w:p>
        </w:tc>
      </w:tr>
    </w:tbl>
    <w:p>
      <w:pPr>
        <w:spacing w:after="200" w:before="0" w:line="276"/>
      </w:pPr>
      <w:r>
        <w:rPr>
          <w:rFonts w:ascii="Calibri" w:cs="Calibri" w:eastAsia="Calibri" w:hAnsi="Calibri"/>
          <w:color w:val="2E2E2E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Un exemplaire signé est conservé par l’école. Vous pouvez en demander une copie à tout moment.</w:t>
      </w:r>
    </w:p>
    <w:sectPr>
      <w:footerReference w:type="default" r:id="rId7"/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6"/>
        <w:szCs w:val="16"/>
      </w:rPr>
      <w:t xml:space="preserve">Lambermont Royal Tennis Club &amp; School  ·  Réunion des moniteurs  ·  21 septembre 2026  ·  </w:t>
    </w:r>
    <w:r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53" w:hanging="226"/>
      </w:pPr>
      <w:rPr>
        <w:color w:val="8A9E28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7" w:hanging="226"/>
      </w:pPr>
      <w:rPr>
        <w:color w:val="8A9E28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Réunion annuelle des moniteurs – Saison 2026-2027</dc:title>
  <dc:creator>Lambermont Royal Tennis Club &amp; School</dc:creator>
  <dc:description>Support de réunion</dc:description>
  <cp:lastModifiedBy>Un-named</cp:lastModifiedBy>
  <cp:revision>1</cp:revision>
  <dcterms:created xsi:type="dcterms:W3CDTF">2026-09-16T16:54:52.370Z</dcterms:created>
  <dcterms:modified xsi:type="dcterms:W3CDTF">2026-09-16T16:54:52.382Z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