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60"/>
        <w:jc w:val="center"/>
      </w:pPr>
      <w:r>
        <w:rPr>
          <w:rFonts w:ascii="Times New Roman" w:hAnsi="Times New Roman"/>
          <w:b/>
          <w:color w:val="000000"/>
          <w:sz w:val="30"/>
        </w:rPr>
        <w:t>BÁO CÁO TIẾN ĐỘ THỰC HIỆN ĐỀ TÀI GR2</w:t>
        <w:br/>
      </w:r>
      <w:r>
        <w:rPr>
          <w:rFonts w:ascii="Times New Roman" w:hAnsi="Times New Roman"/>
          <w:b/>
          <w:color w:val="000000"/>
          <w:sz w:val="24"/>
        </w:rPr>
        <w:t>Đề tài: Xây dựng trợ lý AI sử dụng kiến trúc AI Agent hỗ trợ khách hàng ngân hàng</w:t>
        <w:br/>
      </w:r>
      <w:r>
        <w:rPr>
          <w:rFonts w:ascii="Times New Roman" w:hAnsi="Times New Roman"/>
          <w:i/>
          <w:color w:val="000000"/>
          <w:sz w:val="22"/>
        </w:rPr>
        <w:t>(AI Banking Assistant)</w:t>
      </w:r>
    </w:p>
    <w:p>
      <w:pPr>
        <w:spacing w:before="200" w:after="200" w:line="288" w:lineRule="auto"/>
        <w:jc w:val="left"/>
      </w:pPr>
      <w:r>
        <w:rPr>
          <w:rFonts w:ascii="Times New Roman" w:hAnsi="Times New Roman"/>
          <w:b/>
          <w:color w:val="000000"/>
          <w:sz w:val="21"/>
        </w:rPr>
        <w:t xml:space="preserve">• Ngày báo cáo: </w:t>
      </w:r>
      <w:r>
        <w:rPr>
          <w:rFonts w:ascii="Times New Roman" w:hAnsi="Times New Roman"/>
          <w:color w:val="000000"/>
          <w:sz w:val="21"/>
        </w:rPr>
        <w:t>12/10/2026 (Tuần từ 05/10/2026 đến 12/10/2026)</w:t>
        <w:br/>
      </w:r>
      <w:r>
        <w:rPr>
          <w:rFonts w:ascii="Times New Roman" w:hAnsi="Times New Roman"/>
          <w:b/>
          <w:color w:val="000000"/>
          <w:sz w:val="21"/>
        </w:rPr>
        <w:t xml:space="preserve">• Giai đoạn: </w:t>
      </w:r>
      <w:r>
        <w:rPr>
          <w:rFonts w:ascii="Times New Roman" w:hAnsi="Times New Roman"/>
          <w:color w:val="000000"/>
          <w:sz w:val="21"/>
        </w:rPr>
        <w:t>Giai đoạn 1 — Xây dựng cơ sở tri thức và hệ thống RAG</w:t>
        <w:br/>
      </w:r>
      <w:r>
        <w:rPr>
          <w:rFonts w:ascii="Times New Roman" w:hAnsi="Times New Roman"/>
          <w:b/>
          <w:color w:val="000000"/>
          <w:sz w:val="21"/>
        </w:rPr>
        <w:t xml:space="preserve">• Phiên bản: </w:t>
      </w:r>
      <w:r>
        <w:rPr>
          <w:rFonts w:ascii="Times New Roman" w:hAnsi="Times New Roman"/>
          <w:color w:val="000000"/>
          <w:sz w:val="21"/>
        </w:rPr>
        <w:t>1.0</w:t>
      </w:r>
    </w:p>
    <w:p>
      <w:pPr>
        <w:keepNext/>
        <w:spacing w:before="280" w:after="80"/>
      </w:pPr>
      <w:r>
        <w:rPr>
          <w:rFonts w:ascii="Times New Roman" w:hAnsi="Times New Roman"/>
          <w:b/>
          <w:color w:val="000000"/>
          <w:sz w:val="26"/>
        </w:rPr>
        <w:t>1. Kết quả đạt được trong tuần này (05/10/2026 – 12/10/2026)</w:t>
      </w:r>
    </w:p>
    <w:p>
      <w:pPr>
        <w:spacing w:before="0" w:after="80" w:line="288" w:lineRule="auto"/>
      </w:pPr>
      <w:r>
        <w:rPr>
          <w:rFonts w:ascii="Times New Roman" w:hAnsi="Times New Roman"/>
          <w:i w:val="0"/>
          <w:color w:val="000000"/>
          <w:sz w:val="22"/>
        </w:rPr>
        <w:t>Trong tuần làm việc vừa qua, tôi đã hoàn thành hai nhiệm vụ kỹ thuật cốt lõi:</w:t>
      </w:r>
    </w:p>
    <w:p>
      <w:pPr>
        <w:pStyle w:val="ListBullet"/>
        <w:spacing w:before="0" w:after="60" w:line="276" w:lineRule="auto"/>
      </w:pPr>
      <w:r>
        <w:rPr>
          <w:rFonts w:ascii="Times New Roman" w:hAnsi="Times New Roman"/>
          <w:b/>
          <w:color w:val="000000"/>
          <w:sz w:val="22"/>
        </w:rPr>
        <w:t xml:space="preserve">Nhiệm vụ 1: </w:t>
      </w:r>
      <w:r>
        <w:rPr>
          <w:rFonts w:ascii="Times New Roman" w:hAnsi="Times New Roman"/>
          <w:color w:val="000000"/>
          <w:sz w:val="22"/>
        </w:rPr>
        <w:t>Crawl được trọn bộ cơ sở dữ liệu tri thức trực tiếp từ ngân hàng Vietcombank phục vụ cho RAG.</w:t>
      </w:r>
    </w:p>
    <w:p>
      <w:pPr>
        <w:pStyle w:val="ListBullet"/>
        <w:spacing w:before="0" w:after="60" w:line="276" w:lineRule="auto"/>
      </w:pPr>
      <w:r>
        <w:rPr>
          <w:rFonts w:ascii="Times New Roman" w:hAnsi="Times New Roman"/>
          <w:b/>
          <w:color w:val="000000"/>
          <w:sz w:val="22"/>
        </w:rPr>
        <w:t xml:space="preserve">Nhiệm vụ 2: </w:t>
      </w:r>
      <w:r>
        <w:rPr>
          <w:rFonts w:ascii="Times New Roman" w:hAnsi="Times New Roman"/>
          <w:color w:val="000000"/>
          <w:sz w:val="22"/>
        </w:rPr>
        <w:t>Xây dựng hoàn chỉnh một hệ thống RAG bản v1.0 và đã chạy thử nghiệm thành công End-to-End.</w:t>
      </w:r>
    </w:p>
    <w:p>
      <w:pPr>
        <w:keepNext/>
        <w:spacing w:before="200" w:after="60"/>
      </w:pPr>
      <w:r>
        <w:rPr>
          <w:rFonts w:ascii="Times New Roman" w:hAnsi="Times New Roman"/>
          <w:b/>
          <w:color w:val="000000"/>
          <w:sz w:val="23"/>
        </w:rPr>
        <w:t>1.1. Thu thập bộ dữ liệu từ ngân hàng Vietcombank</w:t>
      </w:r>
    </w:p>
    <w:p>
      <w:pPr>
        <w:spacing w:before="0" w:after="80" w:line="288" w:lineRule="auto"/>
      </w:pPr>
      <w:r>
        <w:rPr>
          <w:rFonts w:ascii="Times New Roman" w:hAnsi="Times New Roman"/>
          <w:i w:val="0"/>
          <w:color w:val="000000"/>
          <w:sz w:val="22"/>
        </w:rPr>
        <w:t>Dữ liệu được thu thập trực tiếp từ cổng thông tin chính thức của Vietcombank (vietcombank.com.vn), bao gồm các quy định, biểu phí, cẩm nang sản phẩm và quy trình nghiệp vụ khách hàng cá nhân. Bộ dữ liệu sau khi crawl đã được làm sạch và phân loại chuẩn hóa:</w:t>
      </w:r>
    </w:p>
    <w:p>
      <w:pPr>
        <w:pStyle w:val="ListBullet"/>
        <w:spacing w:before="0" w:after="60" w:line="276" w:lineRule="auto"/>
      </w:pPr>
      <w:r>
        <w:rPr>
          <w:rFonts w:ascii="Times New Roman" w:hAnsi="Times New Roman"/>
          <w:color w:val="000000"/>
          <w:sz w:val="22"/>
        </w:rPr>
        <w:t>62 tệp Markdown (.md) chuẩn hóa theo 11 nhóm nghiệp vụ bán lẻ cốt lõi (tài khoản, thẻ, tiết kiệm, vay vốn, ngân hàng số, bảo hiểm, bảo mật...).</w:t>
      </w:r>
    </w:p>
    <w:p>
      <w:pPr>
        <w:pStyle w:val="ListBullet"/>
        <w:spacing w:before="0" w:after="60" w:line="276" w:lineRule="auto"/>
      </w:pPr>
      <w:r>
        <w:rPr>
          <w:rFonts w:ascii="Times New Roman" w:hAnsi="Times New Roman"/>
          <w:color w:val="000000"/>
          <w:sz w:val="22"/>
        </w:rPr>
        <w:t>19 tệp PDF gốc lưu trữ các điều khoản mở tài khoản trực tuyến, quy chế phát hành thẻ quốc tế và biểu phí.</w:t>
      </w:r>
    </w:p>
    <w:p>
      <w:pPr>
        <w:pStyle w:val="ListBullet"/>
        <w:spacing w:before="0" w:after="60" w:line="276" w:lineRule="auto"/>
      </w:pPr>
      <w:r>
        <w:rPr>
          <w:rFonts w:ascii="Times New Roman" w:hAnsi="Times New Roman"/>
          <w:color w:val="000000"/>
          <w:sz w:val="22"/>
        </w:rPr>
        <w:t>7 tệp Word (.docx) chuyên sâu về biểu lãi suất, tỷ giá, cẩm nang thẻ và phòng chống gian lận.</w:t>
      </w:r>
    </w:p>
    <w:p>
      <w:pPr>
        <w:pStyle w:val="ListBullet"/>
        <w:spacing w:before="0" w:after="60" w:line="276" w:lineRule="auto"/>
      </w:pPr>
      <w:r>
        <w:rPr>
          <w:rFonts w:ascii="Times New Roman" w:hAnsi="Times New Roman"/>
          <w:color w:val="000000"/>
          <w:sz w:val="22"/>
        </w:rPr>
        <w:t>Bộ dataset benchmark tổng hợp gồm 110 tệp (50 PDF, 50 MD, 10 Excel biểu phí/lãi suất) dùng để đánh giá định lượng thuật toán.</w:t>
      </w:r>
    </w:p>
    <w:p>
      <w:pPr>
        <w:keepNext/>
        <w:spacing w:before="200" w:after="60"/>
      </w:pPr>
      <w:r>
        <w:rPr>
          <w:rFonts w:ascii="Times New Roman" w:hAnsi="Times New Roman"/>
          <w:b/>
          <w:color w:val="000000"/>
          <w:sz w:val="23"/>
        </w:rPr>
        <w:t>1.2. Xây dựng và chạy End-to-End hệ thống RAG bản v1.0</w:t>
      </w:r>
    </w:p>
    <w:p>
      <w:pPr>
        <w:spacing w:before="0" w:after="80" w:line="288" w:lineRule="auto"/>
      </w:pPr>
      <w:r>
        <w:rPr>
          <w:rFonts w:ascii="Times New Roman" w:hAnsi="Times New Roman"/>
          <w:i w:val="0"/>
          <w:color w:val="000000"/>
          <w:sz w:val="22"/>
        </w:rPr>
        <w:t>Tôi đã hoàn thành xây dựng hệ thống Modular RAG Pipeline v1.0 với quy trình xử lý khép kín, từ lúc nhận câu hỏi của người dùng cho đến khi sinh câu trả lời có kèm căn cứ trích dẫn nguồn:</w:t>
      </w:r>
    </w:p>
    <w:p>
      <w:pPr>
        <w:pStyle w:val="ListBullet"/>
        <w:spacing w:before="0" w:after="60" w:line="276" w:lineRule="auto"/>
      </w:pPr>
      <w:r>
        <w:rPr>
          <w:rFonts w:ascii="Times New Roman" w:hAnsi="Times New Roman"/>
          <w:b/>
          <w:color w:val="000000"/>
          <w:sz w:val="22"/>
        </w:rPr>
        <w:t xml:space="preserve">Pha Ingestion &amp; Dual-Indexing: </w:t>
      </w:r>
      <w:r>
        <w:rPr>
          <w:rFonts w:ascii="Times New Roman" w:hAnsi="Times New Roman"/>
          <w:color w:val="000000"/>
          <w:sz w:val="22"/>
        </w:rPr>
        <w:t>Tài liệu được phân đoạn bảo toàn breadcrumbs Chương/Điều (Hierarchy Metadata) và cặp hỏi đáp (FAQ Pair). Lập chỉ mục kép song song: Sparse BM25 (Okapi BM25) và Dense Vector Store (Cosine HNSW 1024 chiều).</w:t>
      </w:r>
    </w:p>
    <w:p>
      <w:pPr>
        <w:pStyle w:val="ListBullet"/>
        <w:spacing w:before="0" w:after="60" w:line="276" w:lineRule="auto"/>
      </w:pPr>
      <w:r>
        <w:rPr>
          <w:rFonts w:ascii="Times New Roman" w:hAnsi="Times New Roman"/>
          <w:b/>
          <w:color w:val="000000"/>
          <w:sz w:val="22"/>
        </w:rPr>
        <w:t xml:space="preserve">Bước 1 (Query Parser): </w:t>
      </w:r>
      <w:r>
        <w:rPr>
          <w:rFonts w:ascii="Times New Roman" w:hAnsi="Times New Roman"/>
          <w:color w:val="000000"/>
          <w:sz w:val="22"/>
        </w:rPr>
        <w:t>Chuẩn hóa các từ viết tắt chuyên ngành (eKYC, TKTT, Smart OTP, VCB Digibank) và trích xuất từ khóa.</w:t>
      </w:r>
    </w:p>
    <w:p>
      <w:pPr>
        <w:pStyle w:val="ListBullet"/>
        <w:spacing w:before="0" w:after="60" w:line="276" w:lineRule="auto"/>
      </w:pPr>
      <w:r>
        <w:rPr>
          <w:rFonts w:ascii="Times New Roman" w:hAnsi="Times New Roman"/>
          <w:b/>
          <w:color w:val="000000"/>
          <w:sz w:val="22"/>
        </w:rPr>
        <w:t xml:space="preserve">Bước 2 (Hybrid Retrieval): </w:t>
      </w:r>
      <w:r>
        <w:rPr>
          <w:rFonts w:ascii="Times New Roman" w:hAnsi="Times New Roman"/>
          <w:color w:val="000000"/>
          <w:sz w:val="22"/>
        </w:rPr>
        <w:t>Truy vấn đồng thời trên Dense Vector và BM25, sau đó hợp nhất danh sách bằng thuật toán Reciprocal Rank Fusion (RRF k=60) để lấy ra Top-5 ứng viên.</w:t>
      </w:r>
    </w:p>
    <w:p>
      <w:pPr>
        <w:pStyle w:val="ListBullet"/>
        <w:spacing w:before="0" w:after="60" w:line="276" w:lineRule="auto"/>
      </w:pPr>
      <w:r>
        <w:rPr>
          <w:rFonts w:ascii="Times New Roman" w:hAnsi="Times New Roman"/>
          <w:b/>
          <w:color w:val="000000"/>
          <w:sz w:val="22"/>
        </w:rPr>
        <w:t xml:space="preserve">Bước 3 (Reranking): </w:t>
      </w:r>
      <w:r>
        <w:rPr>
          <w:rFonts w:ascii="Times New Roman" w:hAnsi="Times New Roman"/>
          <w:color w:val="000000"/>
          <w:sz w:val="22"/>
        </w:rPr>
        <w:t>So khớp câu hỏi với các câu hỏi chuẩn (Golden Questions) và độ trùng lặp từ vựng để tinh lọc ra Top-3 chunks chính xác nhất.</w:t>
      </w:r>
    </w:p>
    <w:p>
      <w:pPr>
        <w:pStyle w:val="ListBullet"/>
        <w:spacing w:before="0" w:after="60" w:line="276" w:lineRule="auto"/>
      </w:pPr>
      <w:r>
        <w:rPr>
          <w:rFonts w:ascii="Times New Roman" w:hAnsi="Times New Roman"/>
          <w:b/>
          <w:color w:val="000000"/>
          <w:sz w:val="22"/>
        </w:rPr>
        <w:t xml:space="preserve">Bước 4 (Context Synthesizer): </w:t>
      </w:r>
      <w:r>
        <w:rPr>
          <w:rFonts w:ascii="Times New Roman" w:hAnsi="Times New Roman"/>
          <w:color w:val="000000"/>
          <w:sz w:val="22"/>
        </w:rPr>
        <w:t>Đóng gói ngữ cảnh Markdown, gắn thẻ nguồn tham chiếu pháp lý [Điều X, Khoản Y] và kiểm soát giới hạn token.</w:t>
      </w:r>
    </w:p>
    <w:p>
      <w:pPr>
        <w:pStyle w:val="ListBullet"/>
        <w:spacing w:before="0" w:after="60" w:line="276" w:lineRule="auto"/>
      </w:pPr>
      <w:r>
        <w:rPr>
          <w:rFonts w:ascii="Times New Roman" w:hAnsi="Times New Roman"/>
          <w:b/>
          <w:color w:val="000000"/>
          <w:sz w:val="22"/>
        </w:rPr>
        <w:t xml:space="preserve">Bước 5 (LLM Serving): </w:t>
      </w:r>
      <w:r>
        <w:rPr>
          <w:rFonts w:ascii="Times New Roman" w:hAnsi="Times New Roman"/>
          <w:color w:val="000000"/>
          <w:sz w:val="22"/>
        </w:rPr>
        <w:t>Truyền ngữ cảnh kèm System Guardrails ngân hàng vào LLM (DeepSeek / Gemini) để sinh câu trả lời chính xác, tránh bịa đặt số liệu.</w:t>
      </w:r>
    </w:p>
    <w:p>
      <w:pPr>
        <w:keepNext/>
        <w:spacing w:before="200" w:after="60"/>
      </w:pPr>
      <w:r>
        <w:rPr>
          <w:rFonts w:ascii="Times New Roman" w:hAnsi="Times New Roman"/>
          <w:b/>
          <w:color w:val="000000"/>
          <w:sz w:val="23"/>
        </w:rPr>
        <w:t>1.3. Sơ đồ kiến trúc RAG v1.0 (Draw.io Flow Diagram)</w:t>
      </w:r>
    </w:p>
    <w:p>
      <w:pPr>
        <w:spacing w:before="0" w:after="80" w:line="288" w:lineRule="auto"/>
      </w:pPr>
      <w:r>
        <w:rPr>
          <w:rFonts w:ascii="Times New Roman" w:hAnsi="Times New Roman"/>
          <w:i w:val="0"/>
          <w:color w:val="000000"/>
          <w:sz w:val="22"/>
        </w:rPr>
        <w:t>Toàn bộ luồng dữ liệu và các phân hệ của bản v1.0 đã được thiết kế chi tiết trên Draw.io, lưu tại thư mục docs/flow diagram/rag pipeline/v1/rag_modular_pipeline_v1.drawio:</w:t>
      </w:r>
    </w:p>
    <w:p>
      <w:pPr>
        <w:spacing w:before="120" w:after="80"/>
        <w:jc w:val="center"/>
      </w:pPr>
      <w:r>
        <w:drawing>
          <wp:inline xmlns:a="http://schemas.openxmlformats.org/drawingml/2006/main" xmlns:pic="http://schemas.openxmlformats.org/drawingml/2006/picture">
            <wp:extent cx="5669280" cy="13381167"/>
            <wp:docPr id="1" name="Picture 1"/>
            <wp:cNvGraphicFramePr>
              <a:graphicFrameLocks noChangeAspect="1"/>
            </wp:cNvGraphicFramePr>
            <a:graphic>
              <a:graphicData uri="http://schemas.openxmlformats.org/drawingml/2006/picture">
                <pic:pic>
                  <pic:nvPicPr>
                    <pic:cNvPr id="0" name="rag_modular_pipeline_v1.png"/>
                    <pic:cNvPicPr/>
                  </pic:nvPicPr>
                  <pic:blipFill>
                    <a:blip r:embed="rId11"/>
                    <a:stretch>
                      <a:fillRect/>
                    </a:stretch>
                  </pic:blipFill>
                  <pic:spPr>
                    <a:xfrm>
                      <a:off x="0" y="0"/>
                      <a:ext cx="5669280" cy="13381167"/>
                    </a:xfrm>
                    <a:prstGeom prst="rect"/>
                  </pic:spPr>
                </pic:pic>
              </a:graphicData>
            </a:graphic>
          </wp:inline>
        </w:drawing>
      </w:r>
    </w:p>
    <w:p>
      <w:pPr>
        <w:spacing w:before="0" w:after="200"/>
        <w:jc w:val="center"/>
      </w:pPr>
      <w:r>
        <w:rPr>
          <w:rFonts w:ascii="Times New Roman" w:hAnsi="Times New Roman"/>
          <w:i/>
          <w:color w:val="000000"/>
          <w:sz w:val="19"/>
        </w:rPr>
        <w:t>Hình 1: Sơ đồ luồng xử lý hệ thống Modular RAG Pipeline v1.0 (Bản vẽ Draw.io)</w:t>
      </w:r>
    </w:p>
    <w:p>
      <w:pPr>
        <w:keepNext/>
        <w:spacing w:before="200" w:after="60"/>
      </w:pPr>
      <w:r>
        <w:rPr>
          <w:rFonts w:ascii="Times New Roman" w:hAnsi="Times New Roman"/>
          <w:b/>
          <w:color w:val="000000"/>
          <w:sz w:val="23"/>
        </w:rPr>
        <w:t>1.4. Kết quả kiểm thử End-to-End và độ trễ thực tế</w:t>
      </w:r>
    </w:p>
    <w:p>
      <w:pPr>
        <w:spacing w:before="0" w:after="80" w:line="288" w:lineRule="auto"/>
      </w:pPr>
      <w:r>
        <w:rPr>
          <w:rFonts w:ascii="Times New Roman" w:hAnsi="Times New Roman"/>
          <w:i w:val="0"/>
          <w:color w:val="000000"/>
          <w:sz w:val="22"/>
        </w:rPr>
        <w:t>Thử nghiệm thực tế với câu hỏi nghiệp vụ: "Hạn mức mở tài khoản eKYC tối đa bao nhiêu 1 ngày?"</w:t>
      </w:r>
    </w:p>
    <w:p>
      <w:pPr>
        <w:spacing w:before="0" w:after="80" w:line="288" w:lineRule="auto"/>
      </w:pPr>
      <w:r>
        <w:rPr>
          <w:rFonts w:ascii="Times New Roman" w:hAnsi="Times New Roman"/>
          <w:b/>
          <w:color w:val="000000"/>
          <w:sz w:val="22"/>
        </w:rPr>
        <w:t xml:space="preserve">• Câu trả lời sinh ra: </w:t>
      </w:r>
      <w:r>
        <w:rPr>
          <w:rFonts w:ascii="Times New Roman" w:hAnsi="Times New Roman"/>
          <w:i w:val="0"/>
          <w:color w:val="000000"/>
          <w:sz w:val="22"/>
        </w:rPr>
        <w:t>"Theo quy định mở tài khoản thanh toán trực tuyến (eKYC) của Vietcombank: (1) Hạn mức thông thường: Giao dịch tối đa 100.000.000 VNĐ/ngày (và 100.000.000 VNĐ/tháng). (2) Hạn mức nâng cao: Sau khi hoàn tất xác thực sinh trắc học CCCD gắn chip qua NFC theo Quyết định 2345/QĐ-NHNN, hạn mức được nâng lên tối đa 400.000.000 VNĐ/ngày (và 1.000.000.000 VNĐ/tháng). Giao dịch từ 10.000.000 VNĐ/lần trở lên bắt buộc phải xác thực khuôn mặt."</w:t>
      </w:r>
    </w:p>
    <w:p>
      <w:pPr>
        <w:spacing w:before="0" w:after="80" w:line="288" w:lineRule="auto"/>
      </w:pPr>
      <w:r>
        <w:rPr>
          <w:rFonts w:ascii="Times New Roman" w:hAnsi="Times New Roman"/>
          <w:b/>
          <w:color w:val="000000"/>
          <w:sz w:val="22"/>
        </w:rPr>
        <w:t xml:space="preserve">• Dẫn chứng nguồn (Citations): </w:t>
      </w:r>
      <w:r>
        <w:rPr>
          <w:rFonts w:ascii="Times New Roman" w:hAnsi="Times New Roman"/>
          <w:i w:val="0"/>
          <w:color w:val="000000"/>
          <w:sz w:val="22"/>
        </w:rPr>
        <w:t>[Quy chế eKYC Vietcombank - Điều 12, Khoản 2; Quyết định 2345/QĐ-NHNN]</w:t>
      </w:r>
    </w:p>
    <w:p>
      <w:pPr>
        <w:spacing w:before="0" w:after="80" w:line="288" w:lineRule="auto"/>
      </w:pPr>
      <w:r>
        <w:rPr>
          <w:rFonts w:ascii="Times New Roman" w:hAnsi="Times New Roman"/>
          <w:b/>
          <w:color w:val="000000"/>
          <w:sz w:val="22"/>
        </w:rPr>
        <w:t xml:space="preserve">Bảng 1: </w:t>
      </w:r>
      <w:r>
        <w:rPr>
          <w:rFonts w:ascii="Times New Roman" w:hAnsi="Times New Roman"/>
          <w:i w:val="0"/>
          <w:color w:val="000000"/>
          <w:sz w:val="22"/>
        </w:rPr>
        <w:t>Đo lường thời gian trễ chi tiết từng module (Latency breakdown):</w:t>
      </w:r>
    </w:p>
    <w:tbl>
      <w:tblPr>
        <w:tblW w:type="auto" w:w="0"/>
        <w:jc w:val="center"/>
        <w:tblLook w:firstColumn="1" w:firstRow="1" w:lastColumn="0" w:lastRow="0" w:noHBand="0" w:noVBand="1" w:val="04A0"/>
      </w:tblPr>
      <w:tblGrid>
        <w:gridCol w:w="2340"/>
        <w:gridCol w:w="2340"/>
        <w:gridCol w:w="2340"/>
        <w:gridCol w:w="2340"/>
      </w:tblGrid>
      <w:tr>
        <w:tc>
          <w:tcPr>
            <w:tcW w:type="dxa" w:w="3168"/>
            <w:shd w:fill="EEEEEE"/>
            <w:tcMar>
              <w:top w:w="120" w:type="dxa"/>
              <w:bottom w:w="120" w:type="dxa"/>
              <w:left w:w="140" w:type="dxa"/>
              <w:right w:w="140" w:type="dxa"/>
            </w:tcMar>
            <w:tcBorders>
              <w:top w:val="single" w:sz="6" w:space="0" w:color="444444"/>
              <w:left w:val="single" w:sz="6" w:space="0" w:color="444444"/>
              <w:bottom w:val="single" w:sz="6" w:space="0" w:color="444444"/>
              <w:right w:val="single" w:sz="6" w:space="0" w:color="444444"/>
            </w:tcBorders>
          </w:tcPr>
          <w:p>
            <w:pPr>
              <w:jc w:val="left"/>
            </w:pPr>
            <w:r>
              <w:rPr>
                <w:rFonts w:ascii="Times New Roman" w:hAnsi="Times New Roman"/>
                <w:b/>
                <w:color w:val="000000"/>
                <w:sz w:val="20"/>
              </w:rPr>
              <w:t>Phân hệ xử lý</w:t>
            </w:r>
          </w:p>
        </w:tc>
        <w:tc>
          <w:tcPr>
            <w:tcW w:type="dxa" w:w="1728"/>
            <w:shd w:fill="EEEEEE"/>
            <w:tcMar>
              <w:top w:w="120" w:type="dxa"/>
              <w:bottom w:w="120" w:type="dxa"/>
              <w:left w:w="140" w:type="dxa"/>
              <w:right w:w="140" w:type="dxa"/>
            </w:tcMar>
            <w:tcBorders>
              <w:top w:val="single" w:sz="6" w:space="0" w:color="444444"/>
              <w:left w:val="single" w:sz="6" w:space="0" w:color="444444"/>
              <w:bottom w:val="single" w:sz="6" w:space="0" w:color="444444"/>
              <w:right w:val="single" w:sz="6" w:space="0" w:color="444444"/>
            </w:tcBorders>
          </w:tcPr>
          <w:p>
            <w:pPr>
              <w:jc w:val="right"/>
            </w:pPr>
            <w:r>
              <w:rPr>
                <w:rFonts w:ascii="Times New Roman" w:hAnsi="Times New Roman"/>
                <w:b/>
                <w:color w:val="000000"/>
                <w:sz w:val="20"/>
              </w:rPr>
              <w:t>Thời gian (ms)</w:t>
            </w:r>
          </w:p>
        </w:tc>
        <w:tc>
          <w:tcPr>
            <w:tcW w:type="dxa" w:w="1584"/>
            <w:shd w:fill="EEEEEE"/>
            <w:tcMar>
              <w:top w:w="120" w:type="dxa"/>
              <w:bottom w:w="120" w:type="dxa"/>
              <w:left w:w="140" w:type="dxa"/>
              <w:right w:w="140" w:type="dxa"/>
            </w:tcMar>
            <w:tcBorders>
              <w:top w:val="single" w:sz="6" w:space="0" w:color="444444"/>
              <w:left w:val="single" w:sz="6" w:space="0" w:color="444444"/>
              <w:bottom w:val="single" w:sz="6" w:space="0" w:color="444444"/>
              <w:right w:val="single" w:sz="6" w:space="0" w:color="444444"/>
            </w:tcBorders>
          </w:tcPr>
          <w:p>
            <w:pPr>
              <w:jc w:val="right"/>
            </w:pPr>
            <w:r>
              <w:rPr>
                <w:rFonts w:ascii="Times New Roman" w:hAnsi="Times New Roman"/>
                <w:b/>
                <w:color w:val="000000"/>
                <w:sz w:val="20"/>
              </w:rPr>
              <w:t>Tỷ trọng (%)</w:t>
            </w:r>
          </w:p>
        </w:tc>
        <w:tc>
          <w:tcPr>
            <w:tcW w:type="dxa" w:w="2880"/>
            <w:shd w:fill="EEEEEE"/>
            <w:tcMar>
              <w:top w:w="120" w:type="dxa"/>
              <w:bottom w:w="120" w:type="dxa"/>
              <w:left w:w="140" w:type="dxa"/>
              <w:right w:w="140" w:type="dxa"/>
            </w:tcMar>
            <w:tcBorders>
              <w:top w:val="single" w:sz="6" w:space="0" w:color="444444"/>
              <w:left w:val="single" w:sz="6" w:space="0" w:color="444444"/>
              <w:bottom w:val="single" w:sz="6" w:space="0" w:color="444444"/>
              <w:right w:val="single" w:sz="6" w:space="0" w:color="444444"/>
            </w:tcBorders>
          </w:tcPr>
          <w:p>
            <w:pPr>
              <w:jc w:val="left"/>
            </w:pPr>
            <w:r>
              <w:rPr>
                <w:rFonts w:ascii="Times New Roman" w:hAnsi="Times New Roman"/>
                <w:b/>
                <w:color w:val="000000"/>
                <w:sz w:val="20"/>
              </w:rPr>
              <w:t>Đánh giá hiệu năng</w:t>
            </w:r>
          </w:p>
        </w:tc>
      </w:tr>
      <w:tr>
        <w:tc>
          <w:tcPr>
            <w:tcW w:type="dxa" w:w="3168"/>
            <w:shd w:fill="FFFFFF"/>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left"/>
            </w:pPr>
            <w:r>
              <w:rPr>
                <w:rFonts w:ascii="Times New Roman" w:hAnsi="Times New Roman"/>
                <w:color w:val="000000"/>
                <w:sz w:val="19"/>
              </w:rPr>
              <w:t>1. Query Parsing</w:t>
            </w:r>
          </w:p>
        </w:tc>
        <w:tc>
          <w:tcPr>
            <w:tcW w:type="dxa" w:w="1728"/>
            <w:shd w:fill="FFFFFF"/>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right"/>
            </w:pPr>
            <w:r>
              <w:rPr>
                <w:rFonts w:ascii="Times New Roman" w:hAnsi="Times New Roman"/>
                <w:color w:val="000000"/>
                <w:sz w:val="19"/>
              </w:rPr>
              <w:t>1.2 ms</w:t>
            </w:r>
          </w:p>
        </w:tc>
        <w:tc>
          <w:tcPr>
            <w:tcW w:type="dxa" w:w="1584"/>
            <w:shd w:fill="FFFFFF"/>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right"/>
            </w:pPr>
            <w:r>
              <w:rPr>
                <w:rFonts w:ascii="Times New Roman" w:hAnsi="Times New Roman"/>
                <w:color w:val="000000"/>
                <w:sz w:val="19"/>
              </w:rPr>
              <w:t>0.14%</w:t>
            </w:r>
          </w:p>
        </w:tc>
        <w:tc>
          <w:tcPr>
            <w:tcW w:type="dxa" w:w="2880"/>
            <w:shd w:fill="FFFFFF"/>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left"/>
            </w:pPr>
            <w:r>
              <w:rPr>
                <w:rFonts w:ascii="Times New Roman" w:hAnsi="Times New Roman"/>
                <w:color w:val="000000"/>
                <w:sz w:val="19"/>
              </w:rPr>
              <w:t>Chuẩn hóa từ viết tắt &amp; trích keyword</w:t>
            </w:r>
          </w:p>
        </w:tc>
      </w:tr>
      <w:tr>
        <w:tc>
          <w:tcPr>
            <w:tcW w:type="dxa" w:w="3168"/>
            <w:shd w:fill="F9F9F9"/>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left"/>
            </w:pPr>
            <w:r>
              <w:rPr>
                <w:rFonts w:ascii="Times New Roman" w:hAnsi="Times New Roman"/>
                <w:color w:val="000000"/>
                <w:sz w:val="19"/>
              </w:rPr>
              <w:t>2. Hybrid Retrieval (RRF)</w:t>
            </w:r>
          </w:p>
        </w:tc>
        <w:tc>
          <w:tcPr>
            <w:tcW w:type="dxa" w:w="1728"/>
            <w:shd w:fill="F9F9F9"/>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right"/>
            </w:pPr>
            <w:r>
              <w:rPr>
                <w:rFonts w:ascii="Times New Roman" w:hAnsi="Times New Roman"/>
                <w:color w:val="000000"/>
                <w:sz w:val="19"/>
              </w:rPr>
              <w:t>8.5 ms</w:t>
            </w:r>
          </w:p>
        </w:tc>
        <w:tc>
          <w:tcPr>
            <w:tcW w:type="dxa" w:w="1584"/>
            <w:shd w:fill="F9F9F9"/>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right"/>
            </w:pPr>
            <w:r>
              <w:rPr>
                <w:rFonts w:ascii="Times New Roman" w:hAnsi="Times New Roman"/>
                <w:color w:val="000000"/>
                <w:sz w:val="19"/>
              </w:rPr>
              <w:t>1.02%</w:t>
            </w:r>
          </w:p>
        </w:tc>
        <w:tc>
          <w:tcPr>
            <w:tcW w:type="dxa" w:w="2880"/>
            <w:shd w:fill="F9F9F9"/>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left"/>
            </w:pPr>
            <w:r>
              <w:rPr>
                <w:rFonts w:ascii="Times New Roman" w:hAnsi="Times New Roman"/>
                <w:color w:val="000000"/>
                <w:sz w:val="19"/>
              </w:rPr>
              <w:t>Truy xuất song song Dense + Sparse</w:t>
            </w:r>
          </w:p>
        </w:tc>
      </w:tr>
      <w:tr>
        <w:tc>
          <w:tcPr>
            <w:tcW w:type="dxa" w:w="3168"/>
            <w:shd w:fill="FFFFFF"/>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left"/>
            </w:pPr>
            <w:r>
              <w:rPr>
                <w:rFonts w:ascii="Times New Roman" w:hAnsi="Times New Roman"/>
                <w:color w:val="000000"/>
                <w:sz w:val="19"/>
              </w:rPr>
              <w:t>3. Reranking</w:t>
            </w:r>
          </w:p>
        </w:tc>
        <w:tc>
          <w:tcPr>
            <w:tcW w:type="dxa" w:w="1728"/>
            <w:shd w:fill="FFFFFF"/>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right"/>
            </w:pPr>
            <w:r>
              <w:rPr>
                <w:rFonts w:ascii="Times New Roman" w:hAnsi="Times New Roman"/>
                <w:color w:val="000000"/>
                <w:sz w:val="19"/>
              </w:rPr>
              <w:t>3.1 ms</w:t>
            </w:r>
          </w:p>
        </w:tc>
        <w:tc>
          <w:tcPr>
            <w:tcW w:type="dxa" w:w="1584"/>
            <w:shd w:fill="FFFFFF"/>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right"/>
            </w:pPr>
            <w:r>
              <w:rPr>
                <w:rFonts w:ascii="Times New Roman" w:hAnsi="Times New Roman"/>
                <w:color w:val="000000"/>
                <w:sz w:val="19"/>
              </w:rPr>
              <w:t>0.37%</w:t>
            </w:r>
          </w:p>
        </w:tc>
        <w:tc>
          <w:tcPr>
            <w:tcW w:type="dxa" w:w="2880"/>
            <w:shd w:fill="FFFFFF"/>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left"/>
            </w:pPr>
            <w:r>
              <w:rPr>
                <w:rFonts w:ascii="Times New Roman" w:hAnsi="Times New Roman"/>
                <w:color w:val="000000"/>
                <w:sz w:val="19"/>
              </w:rPr>
              <w:t>Golden Question Match &amp; lọc nhiễu</w:t>
            </w:r>
          </w:p>
        </w:tc>
      </w:tr>
      <w:tr>
        <w:tc>
          <w:tcPr>
            <w:tcW w:type="dxa" w:w="3168"/>
            <w:shd w:fill="F9F9F9"/>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left"/>
            </w:pPr>
            <w:r>
              <w:rPr>
                <w:rFonts w:ascii="Times New Roman" w:hAnsi="Times New Roman"/>
                <w:color w:val="000000"/>
                <w:sz w:val="19"/>
              </w:rPr>
              <w:t>4. Context Synthesizer</w:t>
            </w:r>
          </w:p>
        </w:tc>
        <w:tc>
          <w:tcPr>
            <w:tcW w:type="dxa" w:w="1728"/>
            <w:shd w:fill="F9F9F9"/>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right"/>
            </w:pPr>
            <w:r>
              <w:rPr>
                <w:rFonts w:ascii="Times New Roman" w:hAnsi="Times New Roman"/>
                <w:color w:val="000000"/>
                <w:sz w:val="19"/>
              </w:rPr>
              <w:t>0.8 ms</w:t>
            </w:r>
          </w:p>
        </w:tc>
        <w:tc>
          <w:tcPr>
            <w:tcW w:type="dxa" w:w="1584"/>
            <w:shd w:fill="F9F9F9"/>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right"/>
            </w:pPr>
            <w:r>
              <w:rPr>
                <w:rFonts w:ascii="Times New Roman" w:hAnsi="Times New Roman"/>
                <w:color w:val="000000"/>
                <w:sz w:val="19"/>
              </w:rPr>
              <w:t>0.10%</w:t>
            </w:r>
          </w:p>
        </w:tc>
        <w:tc>
          <w:tcPr>
            <w:tcW w:type="dxa" w:w="2880"/>
            <w:shd w:fill="F9F9F9"/>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left"/>
            </w:pPr>
            <w:r>
              <w:rPr>
                <w:rFonts w:ascii="Times New Roman" w:hAnsi="Times New Roman"/>
                <w:color w:val="000000"/>
                <w:sz w:val="19"/>
              </w:rPr>
              <w:t>Đóng gói Markdown &amp; gắn citations</w:t>
            </w:r>
          </w:p>
        </w:tc>
      </w:tr>
      <w:tr>
        <w:tc>
          <w:tcPr>
            <w:tcW w:type="dxa" w:w="3168"/>
            <w:shd w:fill="FFFFFF"/>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left"/>
            </w:pPr>
            <w:r>
              <w:rPr>
                <w:rFonts w:ascii="Times New Roman" w:hAnsi="Times New Roman"/>
                <w:color w:val="000000"/>
                <w:sz w:val="19"/>
              </w:rPr>
              <w:t>5. LLM Inference</w:t>
            </w:r>
          </w:p>
        </w:tc>
        <w:tc>
          <w:tcPr>
            <w:tcW w:type="dxa" w:w="1728"/>
            <w:shd w:fill="FFFFFF"/>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right"/>
            </w:pPr>
            <w:r>
              <w:rPr>
                <w:rFonts w:ascii="Times New Roman" w:hAnsi="Times New Roman"/>
                <w:color w:val="000000"/>
                <w:sz w:val="19"/>
              </w:rPr>
              <w:t>820.0 ms</w:t>
            </w:r>
          </w:p>
        </w:tc>
        <w:tc>
          <w:tcPr>
            <w:tcW w:type="dxa" w:w="1584"/>
            <w:shd w:fill="FFFFFF"/>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right"/>
            </w:pPr>
            <w:r>
              <w:rPr>
                <w:rFonts w:ascii="Times New Roman" w:hAnsi="Times New Roman"/>
                <w:color w:val="000000"/>
                <w:sz w:val="19"/>
              </w:rPr>
              <w:t>98.37%</w:t>
            </w:r>
          </w:p>
        </w:tc>
        <w:tc>
          <w:tcPr>
            <w:tcW w:type="dxa" w:w="2880"/>
            <w:shd w:fill="FFFFFF"/>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left"/>
            </w:pPr>
            <w:r>
              <w:rPr>
                <w:rFonts w:ascii="Times New Roman" w:hAnsi="Times New Roman"/>
                <w:color w:val="000000"/>
                <w:sz w:val="19"/>
              </w:rPr>
              <w:t>Sinh câu trả lời qua mô hình ngôn ngữ</w:t>
            </w:r>
          </w:p>
        </w:tc>
      </w:tr>
      <w:tr>
        <w:tc>
          <w:tcPr>
            <w:tcW w:type="dxa" w:w="3168"/>
            <w:shd w:fill="F0F0F0"/>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left"/>
            </w:pPr>
            <w:r>
              <w:rPr>
                <w:rFonts w:ascii="Times New Roman" w:hAnsi="Times New Roman"/>
                <w:b/>
                <w:color w:val="000000"/>
                <w:sz w:val="19"/>
              </w:rPr>
              <w:t>TỔNG CỘNG TOÀN TRÌNH</w:t>
            </w:r>
          </w:p>
        </w:tc>
        <w:tc>
          <w:tcPr>
            <w:tcW w:type="dxa" w:w="1728"/>
            <w:shd w:fill="F0F0F0"/>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right"/>
            </w:pPr>
            <w:r>
              <w:rPr>
                <w:rFonts w:ascii="Times New Roman" w:hAnsi="Times New Roman"/>
                <w:b/>
                <w:color w:val="000000"/>
                <w:sz w:val="19"/>
              </w:rPr>
              <w:t>833.6 ms</w:t>
            </w:r>
          </w:p>
        </w:tc>
        <w:tc>
          <w:tcPr>
            <w:tcW w:type="dxa" w:w="1584"/>
            <w:shd w:fill="F0F0F0"/>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right"/>
            </w:pPr>
            <w:r>
              <w:rPr>
                <w:rFonts w:ascii="Times New Roman" w:hAnsi="Times New Roman"/>
                <w:b/>
                <w:color w:val="000000"/>
                <w:sz w:val="19"/>
              </w:rPr>
              <w:t>100.0%</w:t>
            </w:r>
          </w:p>
        </w:tc>
        <w:tc>
          <w:tcPr>
            <w:tcW w:type="dxa" w:w="2880"/>
            <w:shd w:fill="F0F0F0"/>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left"/>
            </w:pPr>
            <w:r>
              <w:rPr>
                <w:rFonts w:ascii="Times New Roman" w:hAnsi="Times New Roman"/>
                <w:b/>
                <w:color w:val="000000"/>
                <w:sz w:val="19"/>
              </w:rPr>
              <w:t>Đạt tiêu chuẩn thời gian thực (&lt; 1.5s)</w:t>
            </w:r>
          </w:p>
        </w:tc>
      </w:tr>
    </w:tbl>
    <w:p>
      <w:pPr>
        <w:spacing w:before="0" w:after="120"/>
      </w:pPr>
    </w:p>
    <w:p>
      <w:pPr>
        <w:spacing w:before="0" w:after="80" w:line="288" w:lineRule="auto"/>
      </w:pPr>
      <w:r>
        <w:rPr>
          <w:rFonts w:ascii="Times New Roman" w:hAnsi="Times New Roman"/>
          <w:b/>
          <w:color w:val="000000"/>
          <w:sz w:val="22"/>
        </w:rPr>
        <w:t xml:space="preserve">Bảng 2: </w:t>
      </w:r>
      <w:r>
        <w:rPr>
          <w:rFonts w:ascii="Times New Roman" w:hAnsi="Times New Roman"/>
          <w:i w:val="0"/>
          <w:color w:val="000000"/>
          <w:sz w:val="22"/>
        </w:rPr>
        <w:t>Kết quả so sánh 4 cấu hình RAG trên tập câu hỏi kiểm thử:</w:t>
      </w:r>
    </w:p>
    <w:tbl>
      <w:tblPr>
        <w:tblW w:type="auto" w:w="0"/>
        <w:jc w:val="center"/>
        <w:tblLook w:firstColumn="1" w:firstRow="1" w:lastColumn="0" w:lastRow="0" w:noHBand="0" w:noVBand="1" w:val="04A0"/>
      </w:tblPr>
      <w:tblGrid>
        <w:gridCol w:w="2340"/>
        <w:gridCol w:w="2340"/>
        <w:gridCol w:w="2340"/>
        <w:gridCol w:w="2340"/>
      </w:tblGrid>
      <w:tr>
        <w:tc>
          <w:tcPr>
            <w:tcW w:type="dxa" w:w="2592"/>
            <w:shd w:fill="EEEEEE"/>
            <w:tcMar>
              <w:top w:w="120" w:type="dxa"/>
              <w:bottom w:w="120" w:type="dxa"/>
              <w:left w:w="140" w:type="dxa"/>
              <w:right w:w="140" w:type="dxa"/>
            </w:tcMar>
            <w:tcBorders>
              <w:top w:val="single" w:sz="6" w:space="0" w:color="444444"/>
              <w:left w:val="single" w:sz="6" w:space="0" w:color="444444"/>
              <w:bottom w:val="single" w:sz="6" w:space="0" w:color="444444"/>
              <w:right w:val="single" w:sz="6" w:space="0" w:color="444444"/>
            </w:tcBorders>
          </w:tcPr>
          <w:p>
            <w:pPr>
              <w:jc w:val="left"/>
            </w:pPr>
            <w:r>
              <w:rPr>
                <w:rFonts w:ascii="Times New Roman" w:hAnsi="Times New Roman"/>
                <w:b/>
                <w:color w:val="000000"/>
                <w:sz w:val="20"/>
              </w:rPr>
              <w:t>Cấu hình Pipeline</w:t>
            </w:r>
          </w:p>
        </w:tc>
        <w:tc>
          <w:tcPr>
            <w:tcW w:type="dxa" w:w="4464"/>
            <w:shd w:fill="EEEEEE"/>
            <w:tcMar>
              <w:top w:w="120" w:type="dxa"/>
              <w:bottom w:w="120" w:type="dxa"/>
              <w:left w:w="140" w:type="dxa"/>
              <w:right w:w="140" w:type="dxa"/>
            </w:tcMar>
            <w:tcBorders>
              <w:top w:val="single" w:sz="6" w:space="0" w:color="444444"/>
              <w:left w:val="single" w:sz="6" w:space="0" w:color="444444"/>
              <w:bottom w:val="single" w:sz="6" w:space="0" w:color="444444"/>
              <w:right w:val="single" w:sz="6" w:space="0" w:color="444444"/>
            </w:tcBorders>
          </w:tcPr>
          <w:p>
            <w:pPr>
              <w:jc w:val="left"/>
            </w:pPr>
            <w:r>
              <w:rPr>
                <w:rFonts w:ascii="Times New Roman" w:hAnsi="Times New Roman"/>
                <w:b/>
                <w:color w:val="000000"/>
                <w:sz w:val="20"/>
              </w:rPr>
              <w:t>Chiến lược Ingestion &amp; Retrieval</w:t>
            </w:r>
          </w:p>
        </w:tc>
        <w:tc>
          <w:tcPr>
            <w:tcW w:type="dxa" w:w="1152"/>
            <w:shd w:fill="EEEEEE"/>
            <w:tcMar>
              <w:top w:w="120" w:type="dxa"/>
              <w:bottom w:w="120" w:type="dxa"/>
              <w:left w:w="140" w:type="dxa"/>
              <w:right w:w="140" w:type="dxa"/>
            </w:tcMar>
            <w:tcBorders>
              <w:top w:val="single" w:sz="6" w:space="0" w:color="444444"/>
              <w:left w:val="single" w:sz="6" w:space="0" w:color="444444"/>
              <w:bottom w:val="single" w:sz="6" w:space="0" w:color="444444"/>
              <w:right w:val="single" w:sz="6" w:space="0" w:color="444444"/>
            </w:tcBorders>
          </w:tcPr>
          <w:p>
            <w:pPr>
              <w:jc w:val="right"/>
            </w:pPr>
            <w:r>
              <w:rPr>
                <w:rFonts w:ascii="Times New Roman" w:hAnsi="Times New Roman"/>
                <w:b/>
                <w:color w:val="000000"/>
                <w:sz w:val="20"/>
              </w:rPr>
              <w:t>Hit Rate@3</w:t>
            </w:r>
          </w:p>
        </w:tc>
        <w:tc>
          <w:tcPr>
            <w:tcW w:type="dxa" w:w="1152"/>
            <w:shd w:fill="EEEEEE"/>
            <w:tcMar>
              <w:top w:w="120" w:type="dxa"/>
              <w:bottom w:w="120" w:type="dxa"/>
              <w:left w:w="140" w:type="dxa"/>
              <w:right w:w="140" w:type="dxa"/>
            </w:tcMar>
            <w:tcBorders>
              <w:top w:val="single" w:sz="6" w:space="0" w:color="444444"/>
              <w:left w:val="single" w:sz="6" w:space="0" w:color="444444"/>
              <w:bottom w:val="single" w:sz="6" w:space="0" w:color="444444"/>
              <w:right w:val="single" w:sz="6" w:space="0" w:color="444444"/>
            </w:tcBorders>
          </w:tcPr>
          <w:p>
            <w:pPr>
              <w:jc w:val="right"/>
            </w:pPr>
            <w:r>
              <w:rPr>
                <w:rFonts w:ascii="Times New Roman" w:hAnsi="Times New Roman"/>
                <w:b/>
                <w:color w:val="000000"/>
                <w:sz w:val="20"/>
              </w:rPr>
              <w:t>MRR@3</w:t>
            </w:r>
          </w:p>
        </w:tc>
      </w:tr>
      <w:tr>
        <w:tc>
          <w:tcPr>
            <w:tcW w:type="dxa" w:w="2592"/>
            <w:shd w:fill="FFFFFF"/>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left"/>
            </w:pPr>
            <w:r>
              <w:rPr>
                <w:rFonts w:ascii="Times New Roman" w:hAnsi="Times New Roman"/>
                <w:color w:val="000000"/>
                <w:sz w:val="19"/>
              </w:rPr>
              <w:t>Pipeline 1</w:t>
            </w:r>
          </w:p>
        </w:tc>
        <w:tc>
          <w:tcPr>
            <w:tcW w:type="dxa" w:w="4464"/>
            <w:shd w:fill="FFFFFF"/>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left"/>
            </w:pPr>
            <w:r>
              <w:rPr>
                <w:rFonts w:ascii="Times New Roman" w:hAnsi="Times New Roman"/>
                <w:color w:val="000000"/>
                <w:sz w:val="19"/>
              </w:rPr>
              <w:t>FixedWindow + Dense Only (Cosine 1024d)</w:t>
            </w:r>
          </w:p>
        </w:tc>
        <w:tc>
          <w:tcPr>
            <w:tcW w:type="dxa" w:w="1152"/>
            <w:shd w:fill="FFFFFF"/>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right"/>
            </w:pPr>
            <w:r>
              <w:rPr>
                <w:rFonts w:ascii="Times New Roman" w:hAnsi="Times New Roman"/>
                <w:color w:val="000000"/>
                <w:sz w:val="19"/>
              </w:rPr>
              <w:t>72.0%</w:t>
            </w:r>
          </w:p>
        </w:tc>
        <w:tc>
          <w:tcPr>
            <w:tcW w:type="dxa" w:w="1152"/>
            <w:shd w:fill="FFFFFF"/>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right"/>
            </w:pPr>
            <w:r>
              <w:rPr>
                <w:rFonts w:ascii="Times New Roman" w:hAnsi="Times New Roman"/>
                <w:color w:val="000000"/>
                <w:sz w:val="19"/>
              </w:rPr>
              <w:t>0.65</w:t>
            </w:r>
          </w:p>
        </w:tc>
      </w:tr>
      <w:tr>
        <w:tc>
          <w:tcPr>
            <w:tcW w:type="dxa" w:w="2592"/>
            <w:shd w:fill="F9F9F9"/>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left"/>
            </w:pPr>
            <w:r>
              <w:rPr>
                <w:rFonts w:ascii="Times New Roman" w:hAnsi="Times New Roman"/>
                <w:color w:val="000000"/>
                <w:sz w:val="19"/>
              </w:rPr>
              <w:t>Pipeline 2</w:t>
            </w:r>
          </w:p>
        </w:tc>
        <w:tc>
          <w:tcPr>
            <w:tcW w:type="dxa" w:w="4464"/>
            <w:shd w:fill="F9F9F9"/>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left"/>
            </w:pPr>
            <w:r>
              <w:rPr>
                <w:rFonts w:ascii="Times New Roman" w:hAnsi="Times New Roman"/>
                <w:color w:val="000000"/>
                <w:sz w:val="19"/>
              </w:rPr>
              <w:t>FAQPair + Classic Okapi BM25</w:t>
            </w:r>
          </w:p>
        </w:tc>
        <w:tc>
          <w:tcPr>
            <w:tcW w:type="dxa" w:w="1152"/>
            <w:shd w:fill="F9F9F9"/>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right"/>
            </w:pPr>
            <w:r>
              <w:rPr>
                <w:rFonts w:ascii="Times New Roman" w:hAnsi="Times New Roman"/>
                <w:color w:val="000000"/>
                <w:sz w:val="19"/>
              </w:rPr>
              <w:t>84.5%</w:t>
            </w:r>
          </w:p>
        </w:tc>
        <w:tc>
          <w:tcPr>
            <w:tcW w:type="dxa" w:w="1152"/>
            <w:shd w:fill="F9F9F9"/>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right"/>
            </w:pPr>
            <w:r>
              <w:rPr>
                <w:rFonts w:ascii="Times New Roman" w:hAnsi="Times New Roman"/>
                <w:color w:val="000000"/>
                <w:sz w:val="19"/>
              </w:rPr>
              <w:t>0.78</w:t>
            </w:r>
          </w:p>
        </w:tc>
      </w:tr>
      <w:tr>
        <w:tc>
          <w:tcPr>
            <w:tcW w:type="dxa" w:w="2592"/>
            <w:shd w:fill="FFFFFF"/>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left"/>
            </w:pPr>
            <w:r>
              <w:rPr>
                <w:rFonts w:ascii="Times New Roman" w:hAnsi="Times New Roman"/>
                <w:color w:val="000000"/>
                <w:sz w:val="19"/>
              </w:rPr>
              <w:t>Pipeline 3</w:t>
            </w:r>
          </w:p>
        </w:tc>
        <w:tc>
          <w:tcPr>
            <w:tcW w:type="dxa" w:w="4464"/>
            <w:shd w:fill="FFFFFF"/>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left"/>
            </w:pPr>
            <w:r>
              <w:rPr>
                <w:rFonts w:ascii="Times New Roman" w:hAnsi="Times New Roman"/>
                <w:color w:val="000000"/>
                <w:sz w:val="19"/>
              </w:rPr>
              <w:t>HierarchyMetadata + Linear Hybrid (α=0.5)</w:t>
            </w:r>
          </w:p>
        </w:tc>
        <w:tc>
          <w:tcPr>
            <w:tcW w:type="dxa" w:w="1152"/>
            <w:shd w:fill="FFFFFF"/>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right"/>
            </w:pPr>
            <w:r>
              <w:rPr>
                <w:rFonts w:ascii="Times New Roman" w:hAnsi="Times New Roman"/>
                <w:color w:val="000000"/>
                <w:sz w:val="19"/>
              </w:rPr>
              <w:t>91.2%</w:t>
            </w:r>
          </w:p>
        </w:tc>
        <w:tc>
          <w:tcPr>
            <w:tcW w:type="dxa" w:w="1152"/>
            <w:shd w:fill="FFFFFF"/>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right"/>
            </w:pPr>
            <w:r>
              <w:rPr>
                <w:rFonts w:ascii="Times New Roman" w:hAnsi="Times New Roman"/>
                <w:color w:val="000000"/>
                <w:sz w:val="19"/>
              </w:rPr>
              <w:t>0.86</w:t>
            </w:r>
          </w:p>
        </w:tc>
      </w:tr>
      <w:tr>
        <w:tc>
          <w:tcPr>
            <w:tcW w:type="dxa" w:w="2592"/>
            <w:shd w:fill="F9F9F9"/>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left"/>
            </w:pPr>
            <w:r>
              <w:rPr>
                <w:rFonts w:ascii="Times New Roman" w:hAnsi="Times New Roman"/>
                <w:color w:val="000000"/>
                <w:sz w:val="19"/>
              </w:rPr>
              <w:t>Pipeline 4 (Bản v1.0)</w:t>
            </w:r>
          </w:p>
        </w:tc>
        <w:tc>
          <w:tcPr>
            <w:tcW w:type="dxa" w:w="4464"/>
            <w:shd w:fill="F9F9F9"/>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left"/>
            </w:pPr>
            <w:r>
              <w:rPr>
                <w:rFonts w:ascii="Times New Roman" w:hAnsi="Times New Roman"/>
                <w:color w:val="000000"/>
                <w:sz w:val="19"/>
              </w:rPr>
              <w:t>Multi-Strategy + Advanced RRF (k=60) + Rerank</w:t>
            </w:r>
          </w:p>
        </w:tc>
        <w:tc>
          <w:tcPr>
            <w:tcW w:type="dxa" w:w="1152"/>
            <w:shd w:fill="F9F9F9"/>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right"/>
            </w:pPr>
            <w:r>
              <w:rPr>
                <w:rFonts w:ascii="Times New Roman" w:hAnsi="Times New Roman"/>
                <w:color w:val="000000"/>
                <w:sz w:val="19"/>
              </w:rPr>
              <w:t>98.5%</w:t>
            </w:r>
          </w:p>
        </w:tc>
        <w:tc>
          <w:tcPr>
            <w:tcW w:type="dxa" w:w="1152"/>
            <w:shd w:fill="F9F9F9"/>
            <w:tcMar>
              <w:top w:w="80" w:type="dxa"/>
              <w:bottom w:w="80" w:type="dxa"/>
              <w:left w:w="130" w:type="dxa"/>
              <w:right w:w="130" w:type="dxa"/>
            </w:tcMar>
            <w:tcBorders>
              <w:top w:val="single" w:sz="4" w:space="0" w:color="999999"/>
              <w:left w:val="single" w:sz="4" w:space="0" w:color="999999"/>
              <w:bottom w:val="single" w:sz="4" w:space="0" w:color="999999"/>
              <w:right w:val="single" w:sz="4" w:space="0" w:color="999999"/>
            </w:tcBorders>
          </w:tcPr>
          <w:p>
            <w:pPr>
              <w:jc w:val="right"/>
            </w:pPr>
            <w:r>
              <w:rPr>
                <w:rFonts w:ascii="Times New Roman" w:hAnsi="Times New Roman"/>
                <w:color w:val="000000"/>
                <w:sz w:val="19"/>
              </w:rPr>
              <w:t>0.96</w:t>
            </w:r>
          </w:p>
        </w:tc>
      </w:tr>
    </w:tbl>
    <w:p>
      <w:pPr>
        <w:spacing w:before="0" w:after="120"/>
      </w:pPr>
    </w:p>
    <w:p>
      <w:pPr>
        <w:keepNext/>
        <w:spacing w:before="280" w:after="80"/>
      </w:pPr>
      <w:r>
        <w:rPr>
          <w:rFonts w:ascii="Times New Roman" w:hAnsi="Times New Roman"/>
          <w:b/>
          <w:color w:val="000000"/>
          <w:sz w:val="26"/>
        </w:rPr>
        <w:t>2. Định hướng tuần tới: Xây dựng hệ thống chunking DLA (Document Layout Awareness)</w:t>
      </w:r>
    </w:p>
    <w:p>
      <w:pPr>
        <w:spacing w:before="0" w:after="80" w:line="288" w:lineRule="auto"/>
      </w:pPr>
      <w:r>
        <w:rPr>
          <w:rFonts w:ascii="Times New Roman" w:hAnsi="Times New Roman"/>
          <w:i w:val="0"/>
          <w:color w:val="000000"/>
          <w:sz w:val="22"/>
        </w:rPr>
        <w:t>Định hướng trọng tâm của tuần tới là xây dựng hệ thống chunking theo hướng Document Layout Awareness (DLA). Mục tiêu là có thể tiếp nhận và xử lý các định dạng dữ liệu phức tạp ngoài Markdown như PDF và Excel, bảo toàn cấu trúc bảng biểu, hình ảnh và tích hợp OCR trích xuất nội dung.</w:t>
      </w:r>
    </w:p>
    <w:p>
      <w:pPr>
        <w:pStyle w:val="ListBullet"/>
        <w:spacing w:before="0" w:after="60" w:line="276" w:lineRule="auto"/>
      </w:pPr>
      <w:r>
        <w:rPr>
          <w:rFonts w:ascii="Times New Roman" w:hAnsi="Times New Roman"/>
          <w:b/>
          <w:color w:val="000000"/>
          <w:sz w:val="22"/>
        </w:rPr>
        <w:t xml:space="preserve">• Phân tích bố cục tài liệu (DLA Engine): </w:t>
      </w:r>
      <w:r>
        <w:rPr>
          <w:rFonts w:ascii="Times New Roman" w:hAnsi="Times New Roman"/>
          <w:color w:val="000000"/>
          <w:sz w:val="22"/>
        </w:rPr>
        <w:t>Nhận diện không gian hình học của trang tài liệu: phân biệt rõ vùng Tiêu đề (Headings), Đoạn văn (Paragraphs), Bảng biểu (Tables) và Hình ảnh (Figures) trước khi chia chunk.</w:t>
      </w:r>
    </w:p>
    <w:p>
      <w:pPr>
        <w:pStyle w:val="ListBullet"/>
        <w:spacing w:before="0" w:after="60" w:line="276" w:lineRule="auto"/>
      </w:pPr>
      <w:r>
        <w:rPr>
          <w:rFonts w:ascii="Times New Roman" w:hAnsi="Times New Roman"/>
          <w:b/>
          <w:color w:val="000000"/>
          <w:sz w:val="22"/>
        </w:rPr>
        <w:t xml:space="preserve">• Xử lý bảng biểu Excel &amp; PDF: </w:t>
      </w:r>
      <w:r>
        <w:rPr>
          <w:rFonts w:ascii="Times New Roman" w:hAnsi="Times New Roman"/>
          <w:color w:val="000000"/>
          <w:sz w:val="22"/>
        </w:rPr>
        <w:t>Thuật toán làm phẳng bảng (Table Flattening) cho Excel và PDF: tự động xử lý ô gộp, kế thừa tiêu đề đa cấp và chuyển đổi từng dòng dữ liệu thành một biểu diễn ngữ nghĩa hoàn chỉnh (Row-level Contextual Chunks).</w:t>
      </w:r>
    </w:p>
    <w:p>
      <w:pPr>
        <w:pStyle w:val="ListBullet"/>
        <w:spacing w:before="0" w:after="60" w:line="276" w:lineRule="auto"/>
      </w:pPr>
      <w:r>
        <w:rPr>
          <w:rFonts w:ascii="Times New Roman" w:hAnsi="Times New Roman"/>
          <w:b/>
          <w:color w:val="000000"/>
          <w:sz w:val="22"/>
        </w:rPr>
        <w:t xml:space="preserve">• Tích hợp OCR: </w:t>
      </w:r>
      <w:r>
        <w:rPr>
          <w:rFonts w:ascii="Times New Roman" w:hAnsi="Times New Roman"/>
          <w:color w:val="000000"/>
          <w:sz w:val="22"/>
        </w:rPr>
        <w:t>Tích hợp thư viện OCR (như RapidOCR chạy offline trên CPU) để trích xuất chữ tiếng Việt từ các tài liệu PDF scan và hình ảnh quy trình.</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