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color w:val="1F497D"/>
          <w:sz w:val="32"/>
        </w:rPr>
        <w:t>BÁO CÁO NGHIÊN CỨU CHUYÊN SÂU:</w:t>
        <w:br/>
        <w:t>KIẾN TRÚC HỆ THỐNG AI AGENT NGÂN HÀNG ĐA NGƯỜI DÙNG &amp; KHUNG BENCHMARK ĐÁNH GIÁ ĐỘNG DẠNG MÔ PHỎNG</w:t>
      </w:r>
    </w:p>
    <w:p>
      <w:pPr>
        <w:spacing w:before="0" w:after="360"/>
        <w:jc w:val="center"/>
      </w:pPr>
      <w:r>
        <w:rPr>
          <w:i/>
          <w:color w:val="595959"/>
          <w:sz w:val="22"/>
        </w:rPr>
        <w:t>Nâng cấp Đề tài GR2: Thiết kế Luồng Mũi tên Trực quan, Thuật toán Đa dạng Linh hoạt &amp; Hệ thống Đo lường Môi trường Động (State-Verification &amp; Agent Simulation)</w:t>
      </w:r>
    </w:p>
    <w:p>
      <w:pPr>
        <w:keepNext/>
        <w:spacing w:before="320" w:after="120"/>
      </w:pPr>
      <w:r>
        <w:rPr>
          <w:b/>
          <w:color w:val="1F497D"/>
          <w:sz w:val="27"/>
        </w:rPr>
        <w:t>PHẦN 1: SƠ ĐỒ KIẾN TRÚC HỆ THỐNG MỚI DẠNG MŨI TÊN MÔ TẢ LUỒNG DỮ LIỆU CỰC KỲ CHI TIẾT</w:t>
      </w:r>
    </w:p>
    <w:p>
      <w:pPr>
        <w:spacing w:before="0" w:after="80" w:line="276" w:lineRule="auto"/>
      </w:pPr>
      <w:r>
        <w:t>Nhằm giải quyết triệt để hạn chế của kiến trúc tuyến tính đơn giản trong Đề xuất GR2 ban đầu, hệ thống AI Banking Assistant mới được thiết kế theo mô hình Đa tác nhân Tự trị Đa tầng (Multi-Layer Agentic Architecture) kết hợp cỗ máy trạng thái đồ thị LangGraph và giao thức công cụ chuẩn hóa MCP. Sơ đồ khối bên dưới thể hiện rõ từng phân hệ, giao thức truyền tải và hướng di chuyển của dữ liệu:</w:t>
      </w:r>
    </w:p>
    <w:tbl>
      <w:tblPr>
        <w:tblW w:type="auto" w:w="0"/>
        <w:jc w:val="center"/>
        <w:tblLook w:firstColumn="1" w:firstRow="1" w:lastColumn="0" w:lastRow="0" w:noHBand="0" w:noVBand="1" w:val="04A0"/>
      </w:tblPr>
      <w:tblGrid>
        <w:gridCol w:w="9360"/>
      </w:tblGrid>
      <w:tr>
        <w:tc>
          <w:tcPr>
            <w:tcW w:type="dxa" w:w="9360"/>
            <w:shd w:fill="272822" w:val="clear"/>
            <w:tcMar>
              <w:top w:w="120" w:type="dxa"/>
              <w:bottom w:w="120" w:type="dxa"/>
              <w:left w:w="180" w:type="dxa"/>
              <w:right w:w="180" w:type="dxa"/>
            </w:tcMar>
          </w:tcPr>
          <w:p>
            <w:pPr>
              <w:spacing w:before="40" w:after="40"/>
            </w:pPr>
            <w:r>
              <w:rPr>
                <w:rFonts w:ascii="Courier New" w:hAnsi="Courier New"/>
                <w:color w:val="F8F8F2"/>
                <w:sz w:val="17"/>
              </w:rPr>
              <w:t>+-------------------------------------------------------------------------------------------------------------------+</w:t>
              <w:br/>
              <w:t>|                                            1. USER INTERFACE LAYER                                                |</w:t>
              <w:br/>
              <w:t>|                                       [React.js + TypeScript + WebSockets]                                        |</w:t>
              <w:br/>
              <w:t>+-------------------------------------------------------------------------------------------------------------------+</w:t>
              <w:br/>
              <w:t xml:space="preserve">                                                          |  (REST / WebSocket Request + Bearer Token)</w:t>
              <w:br/>
              <w:t xml:space="preserve">                                                          v</w:t>
              <w:br/>
              <w:t>+-------------------------------------------------------------------------------------------------------------------+</w:t>
              <w:br/>
              <w:t>|                                            2. API GATEWAY &amp; SECURITY SHIELD                                       |</w:t>
              <w:br/>
              <w:t>|  [FastAPI Gateway] ---&gt; [Input Sanitization &amp; Injection Shield] ---&gt; [Tenant &amp; User Auth Context Extraction]     |</w:t>
              <w:br/>
              <w:t>+-------------------------------------------------------------------------------------------------------------------+</w:t>
              <w:br/>
              <w:t xml:space="preserve">                                                          |</w:t>
              <w:br/>
              <w:t xml:space="preserve">                                                          |---&gt; (Async Parallel Read) ---&gt; [Working Memory: Redis]</w:t>
              <w:br/>
              <w:t xml:space="preserve">                                                          |                                [Long-Term DB: Postgres]</w:t>
              <w:br/>
              <w:t xml:space="preserve">                                                          v</w:t>
              <w:br/>
              <w:t>+-------------------------------------------------------------------------------------------------------------------+</w:t>
              <w:br/>
              <w:t>|                                   3. LANGGRAPH STATEFUL ORCHESTRATOR &amp; ROUTER                                     |</w:t>
              <w:br/>
              <w:t>|                                                                                                                   |</w:t>
              <w:br/>
              <w:t>|   +-----------------------------------------------------------------------------------------------------------+   |</w:t>
              <w:br/>
              <w:t>|   | 3.1 PRE-ROUTE ROUTER: [Query Analysis] ---&gt; Decide [Direct Answer / RAG Retrieval / Long-Context Agent] |   |</w:t>
              <w:br/>
              <w:t>|   +-----------------------------------------------------------------------------------------------------------+   |</w:t>
              <w:br/>
              <w:t>|                                                         |                                                         |</w:t>
              <w:br/>
              <w:t>|                                                         v                                                         |</w:t>
              <w:br/>
              <w:t>|   +-----------------------------------------------------------------------------------------------------------+   |</w:t>
              <w:br/>
              <w:t>|   | 3.2 BUSINESS SUBGRAPHS (Selected Execution Path):                                                         |   |</w:t>
              <w:br/>
              <w:t>|   |   ├── Subgraph 1: Quy trình &amp; Thủ tục (Open Account, Card Registration, Loan Filing)                      |   |</w:t>
              <w:br/>
              <w:t>|   |   ├── Subgraph 2: Vận hành &amp; Xử lý Sự cố (Transaction Error, Card Block, OTP, App Login)                   |   |</w:t>
              <w:br/>
              <w:t>|   |   ├── Subgraph 3: Tư vấn Sản phẩm &amp; Tài chính (Card Comparison, Loan Repayment Schedule)                  |   |</w:t>
              <w:br/>
              <w:t>|   |   └── Subgraph 4: Tra cứu Chung &amp; Policy FAQ (Fee Matrix, Operating Hours, Terms)                         |   |</w:t>
              <w:br/>
              <w:t>|   +-----------------------------------------------------------------------------------------------------------+   |</w:t>
              <w:br/>
              <w:t>|                                                         |                                                         |</w:t>
              <w:br/>
              <w:t>|                                                         v                                                         |</w:t>
              <w:br/>
              <w:t>|   +-----------------------------------------------------------------------------------------------------------+   |</w:t>
              <w:br/>
              <w:t>|   | 3.3 EVALUATOR-OPTIMIZER &amp; HITL INTERRUPT:                                                                 |   |</w:t>
              <w:br/>
              <w:t>|   |   ├── Critic Node: Check Faithfulness &amp; Hallucination                                                     |   |</w:t>
              <w:br/>
              <w:t>|   |   └── HITL Gate: Interrupt if Financial Action (e.g., Lock Card) -&gt; Wait User Confirmation                |   |</w:t>
              <w:br/>
              <w:t>|   +-----------------------------------------------------------------------------------------------------------+   |</w:t>
              <w:br/>
              <w:t>+-------------------------------------------------------------------------------------------------------------------+</w:t>
              <w:br/>
              <w:t xml:space="preserve">                  |                                       |                                       |</w:t>
              <w:br/>
              <w:t xml:space="preserve">                  v (JSON-RPC 2.0)                        v (Hybrid Query)                        v (Event Payload)</w:t>
              <w:br/>
              <w:t>+-----------------------------------+   +-----------------------------------+   +-----------------------------------+</w:t>
              <w:br/>
              <w:t>|     4. MCP TOOL LAYER SERVER      |   |    5. AGENTIC RAG SUBSYSTEM       |   |  6. MULTI-TENANT MEMORY SYSTEM    |</w:t>
              <w:br/>
              <w:t>| [Banking Mock API Server]         |   | [Late Chunking + Hybrid HNSW/BM25]|   | [Redis Session Cache (TTL 24h)]   |</w:t>
              <w:br/>
              <w:t>| [Financial Engine Server]         |   | [Corrective RAG (CRAG) Evaluator] |   | [Postgres pgvector (RLS Secured)] |</w:t>
              <w:br/>
              <w:t>| [Product &amp; Policy Server]         |   | [GraphRAG Knowledge Graph]        |   | [Async Memory Consolidation]      |</w:t>
              <w:br/>
              <w:t>+-----------------------------------+   +-----------------------------------+   +-----------------------------------+</w:t>
            </w:r>
          </w:p>
        </w:tc>
      </w:tr>
    </w:tbl>
    <w:p>
      <w:pPr>
        <w:keepNext/>
        <w:spacing w:before="240" w:after="80"/>
      </w:pPr>
      <w:r>
        <w:rPr>
          <w:b/>
          <w:color w:val="2E75B6"/>
          <w:sz w:val="23"/>
        </w:rPr>
        <w:t>Chi tiết Luồng Dữ liệu End-to-End Qua 6 Giai đoạn Trực quan</w:t>
      </w:r>
    </w:p>
    <w:p>
      <w:pPr>
        <w:spacing w:before="0" w:after="80" w:line="276" w:lineRule="auto"/>
      </w:pPr>
      <w:r>
        <w:t>Mỗi yêu cầu của người dùng được xử lý khép kín qua 6 giai đoạn rõ ràng:</w:t>
      </w:r>
    </w:p>
    <w:tbl>
      <w:tblPr>
        <w:tblW w:type="auto" w:w="0"/>
        <w:jc w:val="center"/>
        <w:tblLook w:firstColumn="1" w:firstRow="1" w:lastColumn="0" w:lastRow="0" w:noHBand="0" w:noVBand="1" w:val="04A0"/>
      </w:tblPr>
      <w:tblGrid>
        <w:gridCol w:w="9360"/>
      </w:tblGrid>
      <w:tr>
        <w:tc>
          <w:tcPr>
            <w:tcW w:type="dxa" w:w="9360"/>
            <w:shd w:fill="272822" w:val="clear"/>
            <w:tcMar>
              <w:top w:w="120" w:type="dxa"/>
              <w:bottom w:w="120" w:type="dxa"/>
              <w:left w:w="180" w:type="dxa"/>
              <w:right w:w="180" w:type="dxa"/>
            </w:tcMar>
          </w:tcPr>
          <w:p>
            <w:pPr>
              <w:spacing w:before="40" w:after="40"/>
            </w:pPr>
            <w:r>
              <w:rPr>
                <w:rFonts w:ascii="Courier New" w:hAnsi="Courier New"/>
                <w:color w:val="F8F8F2"/>
                <w:sz w:val="17"/>
              </w:rPr>
              <w:t>[Giai đoạn 1: Ingress &amp; Sanitization]</w:t>
              <w:br/>
              <w:t>User Request ---&gt; FastAPI Gateway ---&gt; Strip Prompt Injection ---&gt; Authenticate Tenant_ID &amp; User_ID</w:t>
              <w:br/>
              <w:br/>
              <w:t>[Giai đoạn 2: Pre-Fetch Multi-Tenant Context]</w:t>
              <w:br/>
              <w:t>FastAPI ---&gt; Parallel Fetch ---&gt; [Redis Working Memory (Top 10 turns)] &amp; [Postgres Semantic Memory (Top 3 facts)]</w:t>
              <w:br/>
              <w:br/>
              <w:t>[Giai đoạn 3: Pre-Route &amp; Subgraph Routing]</w:t>
              <w:br/>
              <w:t>Orchestrator ---&gt; Evaluate Intent &amp; Token Budget ---&gt; Route to Subgraph [1 / 2 / 3 / 4]</w:t>
              <w:br/>
              <w:br/>
              <w:t>[Giai đoạn 4: Execution &amp; MCP Tool Call]</w:t>
              <w:br/>
              <w:t>Subgraph Agent ---&gt; ReAct / ToT Step ---&gt; Call MCP Tool (JSON-RPC 2.0) ---&gt; Validate &amp; Execute Sandbox Engine</w:t>
              <w:br/>
              <w:br/>
              <w:t>[Giai đoạn 5: Verification &amp; Human-In-The-Loop]</w:t>
              <w:br/>
              <w:t>Agent Output ---&gt; Evaluator Node (Check Hallucination &amp; Policy) ---&gt; [IF High Risk Action: HITL Interrupt &amp; Wait User OK]</w:t>
              <w:br/>
              <w:br/>
              <w:t>[Giai đoạn 6: Asynchronous Memory Consolidation]</w:t>
              <w:br/>
              <w:t>Final Response Sent to User ---&gt; Push Event Payload to Celery Queue ---&gt; Consolidation Worker Updates Postgres DB</w:t>
            </w:r>
          </w:p>
        </w:tc>
      </w:tr>
    </w:tbl>
    <w:tbl>
      <w:tblPr>
        <w:tblW w:type="auto" w:w="0"/>
        <w:jc w:val="center"/>
        <w:tblLook w:firstColumn="1" w:firstRow="1" w:lastColumn="0" w:lastRow="0" w:noHBand="0" w:noVBand="1" w:val="04A0"/>
      </w:tblPr>
      <w:tblGrid>
        <w:gridCol w:w="9360"/>
      </w:tblGrid>
      <w:tr>
        <w:tc>
          <w:tcPr>
            <w:tcW w:type="dxa" w:w="9360"/>
            <w:shd w:fill="F0F4F8" w:val="clear"/>
            <w:tcMar>
              <w:top w:w="140" w:type="dxa"/>
              <w:bottom w:w="140" w:type="dxa"/>
              <w:left w:w="200" w:type="dxa"/>
              <w:right w:w="200" w:type="dxa"/>
            </w:tcMar>
            <w:tcBorders>
              <w:left w:val="single" w:sz="36" w:space="0" w:color="1F497D"/>
              <w:top w:val="none"/>
              <w:bottom w:val="none"/>
              <w:right w:val="none"/>
            </w:tcBorders>
          </w:tcPr>
          <w:p>
            <w:pPr>
              <w:spacing w:before="40" w:after="80"/>
            </w:pPr>
            <w:r>
              <w:rPr>
                <w:rFonts w:ascii="Arial" w:hAnsi="Arial"/>
                <w:b/>
                <w:color w:val="1F497D"/>
                <w:sz w:val="21"/>
              </w:rPr>
              <w:t>📌 ĐIỂM NỔI BẬT CỦA SƠ ĐỒ KIẾN TRÚC MỚI</w:t>
              <w:br/>
            </w:r>
          </w:p>
          <w:p>
            <w:pPr>
              <w:spacing w:before="40" w:after="40"/>
            </w:pPr>
            <w:r>
              <w:rPr>
                <w:rFonts w:ascii="Arial" w:hAnsi="Arial"/>
                <w:color w:val="333333"/>
                <w:sz w:val="19"/>
              </w:rPr>
              <w:t>Sơ đồ luồng dữ liệu minh họa rõ ràng tính chất khép kín, an toàn và chống rò rỉ dữ liệu.</w:t>
            </w:r>
          </w:p>
          <w:p>
            <w:pPr>
              <w:spacing w:before="40" w:after="40"/>
            </w:pPr>
            <w:r>
              <w:rPr>
                <w:rFonts w:ascii="Arial" w:hAnsi="Arial"/>
                <w:color w:val="333333"/>
                <w:sz w:val="19"/>
              </w:rPr>
              <w:t>Khách hàng thuộc Tenant A hoàn toàn không thể truy vấn hoặc vô tình trích xuất bộ nhớ Episodic/Semantic của Tenant B nhờ vào bộ lọc PostgreSQL Row-Level Security (RLS) gắn trực tiếp ở tầng Gateway.</w:t>
            </w:r>
          </w:p>
        </w:tc>
      </w:tr>
    </w:tbl>
    <w:p>
      <w:pPr>
        <w:keepNext/>
        <w:spacing w:before="320" w:after="120"/>
      </w:pPr>
      <w:r>
        <w:rPr>
          <w:b/>
          <w:color w:val="1F497D"/>
          <w:sz w:val="27"/>
        </w:rPr>
        <w:t>PHẦN 2: THUẬT TOÁN ĐA DẠNG &amp; THÍCH ỨNG DẠNG ĐỘNG CHO TỪNG PHÂN HỆ (DYNAMIC ALGORITHMIC SUITE)</w:t>
      </w:r>
    </w:p>
    <w:p>
      <w:pPr>
        <w:spacing w:before="0" w:after="80" w:line="276" w:lineRule="auto"/>
      </w:pPr>
      <w:r>
        <w:t>Một hệ thống AI Agent ngân hàng cấp doanh nghiệp không thể hoạt động tối ưu nếu chỉ cố định một pipeline thuật toán duy nhất. Kiến trúc mới tích hợp bộ thuật toán đa dạng, tự động chuyển đổi linh hoạt theo ngữ cảnh tác vụ:</w:t>
      </w:r>
    </w:p>
    <w:p>
      <w:pPr>
        <w:keepNext/>
        <w:spacing w:before="240" w:after="80"/>
      </w:pPr>
      <w:r>
        <w:rPr>
          <w:b/>
          <w:color w:val="2E75B6"/>
          <w:sz w:val="23"/>
        </w:rPr>
        <w:t>1. Phân hệ Tiền Xử Lý &amp; Phân Đoạn Văn Bản (Adaptive Chunking Suite)</w:t>
      </w:r>
    </w:p>
    <w:p>
      <w:pPr>
        <w:spacing w:before="0" w:after="80" w:line="276" w:lineRule="auto"/>
      </w:pPr>
      <w:r>
        <w:t>• Dynamic Semantic Chunking: Sử dụng khoảng cách Cosine giữa các câu liên tiếp qua mô hình Embedding. Khi độ tương đồng xuống dưới ngưỡng tĩnh d, hệ thống ngắt đoạn. Phù hợp cho văn bản chính sách chung.</w:t>
        <w:br/>
        <w:t>• Late Chunking: Văn bản thô được đưa qua Transformer Encoder hỗ trợ cửa sổ ngữ cảnh dài (như Jina-v2/Qwen2) để thu nhận vector ẩn toàn cục (token embeddings) trước khi thực hiện Mean Pooling cho từng đoạn 512 tokens. Kỹ thuật này giải quyết triệt để bẫy mất ngữ cảnh đồng tham chiếu (Coreference Trap) trong điều khoản vay phức tạp.</w:t>
        <w:br/>
        <w:t>• Tree-Sitter AST Chunking: Phân đoạn dựa trên cây cú pháp Abstract Syntax Tree dành riêng cho tài liệu cấu trúc JSON, API Schemas, và Bảng biểu chi tiết.</w:t>
      </w:r>
    </w:p>
    <w:p>
      <w:pPr>
        <w:keepNext/>
        <w:spacing w:before="240" w:after="80"/>
      </w:pPr>
      <w:r>
        <w:rPr>
          <w:b/>
          <w:color w:val="2E75B6"/>
          <w:sz w:val="23"/>
        </w:rPr>
        <w:t>2. Phân hệ Tru Xuất &amp; Tìm Kiếm Tri Thức (Multi-Route Agentic Retrieval)</w:t>
      </w:r>
    </w:p>
    <w:p>
      <w:pPr>
        <w:spacing w:before="0" w:after="80" w:line="276" w:lineRule="auto"/>
      </w:pPr>
      <w:r>
        <w:t>• Hybrid Search với Reciprocal Rank Fusion (RRF): Kết hợp Vector Search mật (HNSW trên pgvector) và Tìm kiếm từ khóa thưa (PostgreSQL Full-Text BM25) theo công thức RRF:</w:t>
        <w:br/>
        <w:t xml:space="preserve">  RRF_Score(d) = sum_{m in M} 1 / (k + r_m(d))</w:t>
        <w:br/>
        <w:t>• Corrective RAG (CRAG) Confidence Scoring: Sau khi trích xuất, một Evaluator tính điểm tin cậy S_eval trong khoảng [0, 1]. Nếu S_eval &lt; 0.4 (Incorrect), hệ thống loại bỏ tri thức và chuyển hướng sang web search/fallback; nếu 0.4 &lt;= S_eval &lt;= 0.7 (Ambiguous), hệ thống thực hiện Decompose-then-Recompose; nếu S_eval &gt; 0.7 (Correct), tri thức được sử dụng trực tiếp.</w:t>
        <w:br/>
        <w:t>• GraphRAG (Leiden/Louvain Community Detection): Tự động xây dựng Đồ thị Tri thức (Entities &amp; Relations) từ văn bản ngân hàng. Dùng thuật toán phát hiện cộng đồng (Leiden Algorithm) để tóm tắt tri thức phân tầng, phục vụ các câu hỏi so sánh đa sản phẩm hoặc tìm mối liên hệ giữa điều khoản vay và điều kiện mở thẻ.</w:t>
      </w:r>
    </w:p>
    <w:p>
      <w:pPr>
        <w:keepNext/>
        <w:spacing w:before="240" w:after="80"/>
      </w:pPr>
      <w:r>
        <w:rPr>
          <w:b/>
          <w:color w:val="2E75B6"/>
          <w:sz w:val="23"/>
        </w:rPr>
        <w:t>3. Phân hệ Quản Lý Bộ Nhớ Đa Người Dùng (Memory Decay &amp; Consolidation Algorithms)</w:t>
      </w:r>
    </w:p>
    <w:p>
      <w:pPr>
        <w:spacing w:before="0" w:after="80" w:line="276" w:lineRule="auto"/>
      </w:pPr>
      <w:r>
        <w:t>• Thuật toán Ebbinghaus Decay &amp; Memory Weighting: Điểm số ưu tiên của một ký ức Semantic/Episodic được tính động theo công thức:</w:t>
        <w:br/>
        <w:t xml:space="preserve">  S_memory(t) = w_i * I_base + w_r * e^(-lambda * Delta t) + w_f * log(1 + C_access)</w:t>
        <w:br/>
        <w:t xml:space="preserve">  Trong đó: I_base là độ quan trọng ban đầu (1-5), Delta t là khoảng thời gian từ lần truy cập cuối, C_access là số lần được kích hoạt, lambda là hệ số suy giảm.</w:t>
        <w:br/>
        <w:t>• Async Fact Consolidation &amp; Deduplication: Sử dụng thuật toán Trích xuất Thực thể Nguyên tử (Atomic Fact Extraction) kết hợp Cosine Distance thresholding (&lt; 0.15) để phát hiện sự thật trùng lặp hoặc xung đột (ví dụ: người dùng đổi số điện thoại hoặc đổi hạng thẻ), tự động cập nhật hoặc vô hiệu hóa ký ức cũ.</w:t>
      </w:r>
    </w:p>
    <w:p>
      <w:pPr>
        <w:keepNext/>
        <w:spacing w:before="240" w:after="80"/>
      </w:pPr>
      <w:r>
        <w:rPr>
          <w:b/>
          <w:color w:val="2E75B6"/>
          <w:sz w:val="23"/>
        </w:rPr>
        <w:t>4. Phân hệ Lập Luận &amp; Quyết Định (Adaptive Planning Engine)</w:t>
      </w:r>
    </w:p>
    <w:p>
      <w:pPr>
        <w:spacing w:before="0" w:after="80" w:line="276" w:lineRule="auto"/>
      </w:pPr>
      <w:r>
        <w:t>• ReAct (Reason + Act): Áp dụng cho các tác vụ tra cứu đơn giản (1-2 bước) để tối ưu thời gian phản hồi (Latency P95 &lt; 1.5s).</w:t>
        <w:br/>
        <w:t>• Tree-of-Thoughts (ToT) / MCTS (Monte Carlo Tree Search): Áp dụng cho tác vụ lập kế hoạch tài chính phức tạp (như tính toán gói vay kết hợp ưu đãi thẻ). Hệ thống duyệt qua cây quyết định, tính giá trị UCT (Upper Confidence Bound applied to Trees):</w:t>
        <w:br/>
        <w:t xml:space="preserve">  UCT = Q_node + c * sqrt(ln N_parent / n_node)</w:t>
        <w:br/>
        <w:t xml:space="preserve">  để chọn ra lộ trình tư vấn tài chính tối ưu nhất cho khách hàng.</w:t>
      </w:r>
    </w:p>
    <w:p>
      <w:pPr>
        <w:keepNext/>
        <w:spacing w:before="320" w:after="120"/>
      </w:pPr>
      <w:r>
        <w:rPr>
          <w:b/>
          <w:color w:val="1F497D"/>
          <w:sz w:val="27"/>
        </w:rPr>
        <w:t>PHẦN 3: PHƯƠNG PHÁP CHẤM ĐIỂM &amp; BENCHMARK THỰC TẾ DẠNG ĐỘNG (DYNAMIC BENCHMARK METHODOLOGY)</w:t>
      </w:r>
    </w:p>
    <w:p>
      <w:pPr>
        <w:spacing w:before="0" w:after="80" w:line="276" w:lineRule="auto"/>
      </w:pPr>
      <w:r>
        <w:t>Trong môi trường doanh nghiệp và nghiên cứu hàn lâm, việc đánh giá AI Agent chỉ dựa vào các bộ câu hỏi - câu trả lời sẵn (Static Golden QA Pairs) là KHÔNG ĐỦ VÀ KHÔNG ĐÁNG TIN CẤY. Lí do là AI Agent không chỉ sinh ra văn bản mà còn thực hiện hành vi thay đổi trạng thái (Side-effects), gọi API ngoại vi, duy trì bộ nhớ qua nhiều lượt thoại và phản ứng với môi trường bất định.</w:t>
      </w:r>
    </w:p>
    <w:p>
      <w:pPr>
        <w:keepNext/>
        <w:spacing w:before="240" w:after="80"/>
      </w:pPr>
      <w:r>
        <w:rPr>
          <w:b/>
          <w:color w:val="2E75B6"/>
          <w:sz w:val="23"/>
        </w:rPr>
        <w:t>1. Kiểm Thử Biến Đổi Trạng Thái &amp; Môi Trường Mô Phỏng (State-Verification &amp; Sandbox Environment)</w:t>
      </w:r>
    </w:p>
    <w:p>
      <w:pPr>
        <w:spacing w:before="0" w:after="80" w:line="276" w:lineRule="auto"/>
      </w:pPr>
      <w:r>
        <w:t>Thay vì kiểm tra câu chữ phản hồi, hệ thống được đánh giá bằng việc đo đạc sự thay đổi trạng thái của Cơ sở dữ liệu Ngân hàng Mô phỏng (Mock Banking DB Sandbox):</w:t>
        <w:br/>
        <w:t>• Kịch bản: Khách hàng yêu cầu khóa thẻ khẩn cấp vì bị mất thẻ.</w:t>
        <w:br/>
        <w:t>• Đánh giá tĩnh (Sai lầm): Agent trả lời 'Tôi đã khóa thẻ cho bạn' -&gt; Được 10 điểm (nhưng thực tế chưa gọi API).</w:t>
        <w:br/>
        <w:t>• Đánh giá động State-Verification (Chuẩn mực): Hệ thống truy vấn DB Sandbox sau khi Agent kết thúc:</w:t>
        <w:br/>
        <w:t xml:space="preserve">  Check Delta S = S_after - S_before</w:t>
        <w:br/>
        <w:t xml:space="preserve">  Nếu Table 'Cards' có Card_Status = 'LOCKED' AND Audit_Log chứa 'USER_CONFIRMED' -&gt; Đạt Pass (1.0). Nếu không -&gt; Fail (0.0).</w:t>
      </w:r>
    </w:p>
    <w:p>
      <w:pPr>
        <w:keepNext/>
        <w:spacing w:before="240" w:after="80"/>
      </w:pPr>
      <w:r>
        <w:rPr>
          <w:b/>
          <w:color w:val="2E75B6"/>
          <w:sz w:val="23"/>
        </w:rPr>
        <w:t>2. Mô Phỏng Hội Thoại Đa Lượt Động (Dynamic Agent-vs-Agent Simulation - TAU-Bench Style)</w:t>
      </w:r>
    </w:p>
    <w:p>
      <w:pPr>
        <w:spacing w:before="0" w:after="80" w:line="276" w:lineRule="auto"/>
      </w:pPr>
      <w:r>
        <w:t>Xây dựng một 'User Simulator Agent' đóng vai khách hàng với các tính cách và kịch bản bất ngờ:</w:t>
        <w:br/>
        <w:t>• Persona 1 (Khách hàng thiếu thông tin): Cung cấp thông tin rải rác qua 5 lượt thoại, thay đổi ý định giữa chừng (ví dụ: đang muốn mở thẻ tín dụng quay sang hỏi vay tiêu dùng).</w:t>
        <w:br/>
        <w:t>• Persona 2 (Khách hàng giận dữ / Cố tình tấn công Prompt Injection): Đưa ra thông tin sai sự thật hoặc cố tình chèn lệnh 'Forget all previous rules'.</w:t>
        <w:br/>
        <w:t>• Tiêu chí đánh giá: Tỷ lệ Agent hoàn thành mục tiêu (Goal Completion Rate) và Tỷ lệ khôi phục luồng khi có nhiễu (Recovery Rate).</w:t>
      </w:r>
    </w:p>
    <w:p>
      <w:pPr>
        <w:keepNext/>
        <w:spacing w:before="240" w:after="80"/>
      </w:pPr>
      <w:r>
        <w:rPr>
          <w:b/>
          <w:color w:val="2E75B6"/>
          <w:sz w:val="23"/>
        </w:rPr>
        <w:t>3. Chấm Điểm Cấu Trúc &amp; Thuật Toán Không Dùng LLM (Deterministic Algorithmic Scoring)</w:t>
      </w:r>
    </w:p>
    <w:p>
      <w:pPr>
        <w:spacing w:before="0" w:after="80" w:line="276" w:lineRule="auto"/>
      </w:pPr>
      <w:r>
        <w:t>• Trajectory Match Rate (Khoảng cách Levenshtein trên Chuỗi Hành động): So sánh chuỗi các Tool Call thực tế T_act = [tool_a, tool_b] với chuỗi tối ưu T_opt qua thuật toán Tree Edit Distance.</w:t>
        <w:br/>
        <w:t>• Exact Deterministic Math Verification: Các câu trả lời chứa số liệu tài chính (lịch trả nợ, lãi suất) được kiểm tra bằng Engine toán học độc lập (AST Math Evaluator) để đảm bảo độ chính xác tuyệt đối đến từng chữ số thập phân (Accuracy = 100%).</w:t>
        <w:br/>
        <w:t>• JSON Schema &amp; Type Safety Rate: Đo lường tỷ lệ các tham số đầu ra của MCP Tools tuân thủ chính xác 100% Pydantic Schema quy định.</w:t>
      </w:r>
    </w:p>
    <w:p>
      <w:pPr>
        <w:keepNext/>
        <w:spacing w:before="240" w:after="80"/>
      </w:pPr>
      <w:r>
        <w:rPr>
          <w:b/>
          <w:color w:val="2E75B6"/>
          <w:sz w:val="23"/>
        </w:rPr>
        <w:t>4. LLM-as-a-Judge Đa Mẫu Kết Hợp Đo Độ Tin Cậy (Uncertainty Estimation)</w:t>
      </w:r>
    </w:p>
    <w:p>
      <w:pPr>
        <w:spacing w:before="0" w:after="80" w:line="276" w:lineRule="auto"/>
      </w:pPr>
      <w:r>
        <w:t>Đối với phần văn bản tư vấn mềm dẻo, sử dụng mô hình LLM-as-a-Judge (như GPT-4o / Claude-3.5-Sonnet) kết hợp kỹ thuật Self-Consistency:</w:t>
        <w:br/>
        <w:t>• Đánh giá N=5 lần độc lập với Temperature = 0.3.</w:t>
        <w:br/>
        <w:t>• Điểm số trung bình bar{S} = (1/N) * sum S_i.</w:t>
        <w:br/>
        <w:t>• Độ chênh lệch / Độ lệch chuẩn sigma = sqrt((1/N) * sum (S_i - bar{S})^2). Nếu sigma &gt; 0.5, câu trả lời bị đánh dấu là 'Độ tin cậy thấp' và chuyển sang kiểm tra thủ công (Human Audit).</w:t>
      </w:r>
    </w:p>
    <w:p>
      <w:pPr>
        <w:keepNext/>
        <w:spacing w:before="320" w:after="120"/>
      </w:pPr>
      <w:r>
        <w:rPr>
          <w:b/>
          <w:color w:val="1F497D"/>
          <w:sz w:val="27"/>
        </w:rPr>
        <w:t>PHẦN 4: CÔNG THỨC VÀ BẢNG CHỈ SỐ BENCHMARK ĐỊNH LƯỢNG CHI TIẾT TỪNG MODULE</w:t>
      </w:r>
    </w:p>
    <w:p>
      <w:pPr>
        <w:spacing w:before="0" w:after="80" w:line="276" w:lineRule="auto"/>
      </w:pPr>
      <w:r>
        <w:t>Dưới đây là tổng hợp đầy đủ các công thức toán học và tiêu chí benchmark định lượng cho từng phân hệ trong kiến trúc:</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tcMar>
              <w:top w:w="80" w:type="dxa"/>
              <w:bottom w:w="80" w:type="dxa"/>
              <w:left w:w="100" w:type="dxa"/>
              <w:right w:w="100" w:type="dxa"/>
            </w:tcMar>
            <w:shd w:fill="1F497D" w:val="clear"/>
          </w:tcPr>
          <w:p>
            <w:pPr>
              <w:spacing w:before="40" w:after="40" w:line="252" w:lineRule="auto"/>
            </w:pPr>
            <w:r>
              <w:rPr>
                <w:rFonts w:ascii="Arial" w:hAnsi="Arial"/>
                <w:b/>
                <w:color w:val="FFFFFF"/>
                <w:sz w:val="19"/>
              </w:rPr>
              <w:t>Phân Hệ</w:t>
            </w:r>
          </w:p>
        </w:tc>
        <w:tc>
          <w:tcPr>
            <w:tcW w:type="dxa" w:w="2304"/>
            <w:tcMar>
              <w:top w:w="80" w:type="dxa"/>
              <w:bottom w:w="80" w:type="dxa"/>
              <w:left w:w="100" w:type="dxa"/>
              <w:right w:w="100" w:type="dxa"/>
            </w:tcMar>
            <w:shd w:fill="1F497D" w:val="clear"/>
          </w:tcPr>
          <w:p>
            <w:pPr>
              <w:spacing w:before="40" w:after="40" w:line="252" w:lineRule="auto"/>
            </w:pPr>
            <w:r>
              <w:rPr>
                <w:rFonts w:ascii="Arial" w:hAnsi="Arial"/>
                <w:b/>
                <w:color w:val="FFFFFF"/>
                <w:sz w:val="19"/>
              </w:rPr>
              <w:t>Tên Chỉ Số Benchmark</w:t>
            </w:r>
          </w:p>
        </w:tc>
        <w:tc>
          <w:tcPr>
            <w:tcW w:type="dxa" w:w="3600"/>
            <w:tcMar>
              <w:top w:w="80" w:type="dxa"/>
              <w:bottom w:w="80" w:type="dxa"/>
              <w:left w:w="100" w:type="dxa"/>
              <w:right w:w="100" w:type="dxa"/>
            </w:tcMar>
            <w:shd w:fill="1F497D" w:val="clear"/>
          </w:tcPr>
          <w:p>
            <w:pPr>
              <w:spacing w:before="40" w:after="40" w:line="252" w:lineRule="auto"/>
            </w:pPr>
            <w:r>
              <w:rPr>
                <w:rFonts w:ascii="Arial" w:hAnsi="Arial"/>
                <w:b/>
                <w:color w:val="FFFFFF"/>
                <w:sz w:val="19"/>
              </w:rPr>
              <w:t>Công Thức Toán Học / Phương Pháp Đo</w:t>
            </w:r>
          </w:p>
        </w:tc>
        <w:tc>
          <w:tcPr>
            <w:tcW w:type="dxa" w:w="1728"/>
            <w:tcMar>
              <w:top w:w="80" w:type="dxa"/>
              <w:bottom w:w="80" w:type="dxa"/>
              <w:left w:w="100" w:type="dxa"/>
              <w:right w:w="100" w:type="dxa"/>
            </w:tcMar>
            <w:shd w:fill="1F497D" w:val="clear"/>
          </w:tcPr>
          <w:p>
            <w:pPr>
              <w:spacing w:before="40" w:after="40" w:line="252" w:lineRule="auto"/>
            </w:pPr>
            <w:r>
              <w:rPr>
                <w:rFonts w:ascii="Arial" w:hAnsi="Arial"/>
                <w:b/>
                <w:color w:val="FFFFFF"/>
                <w:sz w:val="19"/>
              </w:rPr>
              <w:t>Mục Tiêu Doanh Nghiệp</w:t>
            </w:r>
          </w:p>
        </w:tc>
      </w:tr>
      <w:tr>
        <w:tc>
          <w:tcPr>
            <w:tcW w:type="dxa" w:w="1728"/>
            <w:tcMar>
              <w:top w:w="80" w:type="dxa"/>
              <w:bottom w:w="80" w:type="dxa"/>
              <w:left w:w="100" w:type="dxa"/>
              <w:right w:w="100" w:type="dxa"/>
            </w:tcMar>
            <w:shd w:fill="F2F5F9" w:val="clear"/>
          </w:tcPr>
          <w:p>
            <w:pPr>
              <w:spacing w:before="40" w:after="40" w:line="252" w:lineRule="auto"/>
            </w:pPr>
            <w:r>
              <w:rPr>
                <w:rFonts w:ascii="Arial" w:hAnsi="Arial"/>
                <w:color w:val="333333"/>
                <w:sz w:val="17"/>
              </w:rPr>
              <w:t>RAG Subsystem</w:t>
            </w:r>
          </w:p>
        </w:tc>
        <w:tc>
          <w:tcPr>
            <w:tcW w:type="dxa" w:w="2304"/>
            <w:tcMar>
              <w:top w:w="80" w:type="dxa"/>
              <w:bottom w:w="80" w:type="dxa"/>
              <w:left w:w="100" w:type="dxa"/>
              <w:right w:w="100" w:type="dxa"/>
            </w:tcMar>
            <w:shd w:fill="F2F5F9" w:val="clear"/>
          </w:tcPr>
          <w:p>
            <w:pPr>
              <w:spacing w:before="40" w:after="40" w:line="252" w:lineRule="auto"/>
            </w:pPr>
            <w:r>
              <w:rPr>
                <w:rFonts w:ascii="Arial" w:hAnsi="Arial"/>
                <w:color w:val="333333"/>
                <w:sz w:val="17"/>
              </w:rPr>
              <w:t>Faithfulness (Chống Ảo Giác)</w:t>
            </w:r>
          </w:p>
        </w:tc>
        <w:tc>
          <w:tcPr>
            <w:tcW w:type="dxa" w:w="3600"/>
            <w:tcMar>
              <w:top w:w="80" w:type="dxa"/>
              <w:bottom w:w="80" w:type="dxa"/>
              <w:left w:w="100" w:type="dxa"/>
              <w:right w:w="100" w:type="dxa"/>
            </w:tcMar>
            <w:shd w:fill="F2F5F9" w:val="clear"/>
          </w:tcPr>
          <w:p>
            <w:pPr>
              <w:spacing w:before="40" w:after="40" w:line="252" w:lineRule="auto"/>
            </w:pPr>
            <w:r>
              <w:rPr>
                <w:rFonts w:ascii="Arial" w:hAnsi="Arial"/>
                <w:color w:val="333333"/>
                <w:sz w:val="17"/>
              </w:rPr>
              <w:t>F = |Trích đoạn được kiểm chứng| / |Tổng số mệnh đề khẳng định|</w:t>
            </w:r>
          </w:p>
        </w:tc>
        <w:tc>
          <w:tcPr>
            <w:tcW w:type="dxa" w:w="1728"/>
            <w:tcMar>
              <w:top w:w="80" w:type="dxa"/>
              <w:bottom w:w="80" w:type="dxa"/>
              <w:left w:w="100" w:type="dxa"/>
              <w:right w:w="100" w:type="dxa"/>
            </w:tcMar>
            <w:shd w:fill="F2F5F9" w:val="clear"/>
          </w:tcPr>
          <w:p>
            <w:pPr>
              <w:spacing w:before="40" w:after="40" w:line="252" w:lineRule="auto"/>
            </w:pPr>
            <w:r>
              <w:rPr>
                <w:rFonts w:ascii="Arial" w:hAnsi="Arial"/>
                <w:color w:val="333333"/>
                <w:sz w:val="17"/>
              </w:rPr>
              <w:t>100% (Zero Hallucination)</w:t>
            </w:r>
          </w:p>
        </w:tc>
      </w:tr>
      <w:tr>
        <w:tc>
          <w:tcPr>
            <w:tcW w:type="dxa" w:w="1728"/>
            <w:tcMar>
              <w:top w:w="80" w:type="dxa"/>
              <w:bottom w:w="80" w:type="dxa"/>
              <w:left w:w="100" w:type="dxa"/>
              <w:right w:w="100" w:type="dxa"/>
            </w:tcMar>
            <w:shd w:fill="FFFFFF" w:val="clear"/>
          </w:tcPr>
          <w:p>
            <w:pPr>
              <w:spacing w:before="40" w:after="40" w:line="252" w:lineRule="auto"/>
            </w:pPr>
            <w:r>
              <w:rPr>
                <w:rFonts w:ascii="Arial" w:hAnsi="Arial"/>
                <w:color w:val="333333"/>
                <w:sz w:val="17"/>
              </w:rPr>
              <w:t>RAG Subsystem</w:t>
            </w:r>
          </w:p>
        </w:tc>
        <w:tc>
          <w:tcPr>
            <w:tcW w:type="dxa" w:w="2304"/>
            <w:tcMar>
              <w:top w:w="80" w:type="dxa"/>
              <w:bottom w:w="80" w:type="dxa"/>
              <w:left w:w="100" w:type="dxa"/>
              <w:right w:w="100" w:type="dxa"/>
            </w:tcMar>
            <w:shd w:fill="FFFFFF" w:val="clear"/>
          </w:tcPr>
          <w:p>
            <w:pPr>
              <w:spacing w:before="40" w:after="40" w:line="252" w:lineRule="auto"/>
            </w:pPr>
            <w:r>
              <w:rPr>
                <w:rFonts w:ascii="Arial" w:hAnsi="Arial"/>
                <w:color w:val="333333"/>
                <w:sz w:val="17"/>
              </w:rPr>
              <w:t>Context Recall &amp; Precision</w:t>
            </w:r>
          </w:p>
        </w:tc>
        <w:tc>
          <w:tcPr>
            <w:tcW w:type="dxa" w:w="3600"/>
            <w:tcMar>
              <w:top w:w="80" w:type="dxa"/>
              <w:bottom w:w="80" w:type="dxa"/>
              <w:left w:w="100" w:type="dxa"/>
              <w:right w:w="100" w:type="dxa"/>
            </w:tcMar>
            <w:shd w:fill="FFFFFF" w:val="clear"/>
          </w:tcPr>
          <w:p>
            <w:pPr>
              <w:spacing w:before="40" w:after="40" w:line="252" w:lineRule="auto"/>
            </w:pPr>
            <w:r>
              <w:rPr>
                <w:rFonts w:ascii="Arial" w:hAnsi="Arial"/>
                <w:color w:val="333333"/>
                <w:sz w:val="17"/>
              </w:rPr>
              <w:t>CR = |Tài liệu liên quan trích xuất| / |Tổng tài liệu liên quan|</w:t>
              <w:br/>
              <w:t>CP = |Tài liệu liên quan| / |K tài liệu trích xuất|</w:t>
            </w:r>
          </w:p>
        </w:tc>
        <w:tc>
          <w:tcPr>
            <w:tcW w:type="dxa" w:w="1728"/>
            <w:tcMar>
              <w:top w:w="80" w:type="dxa"/>
              <w:bottom w:w="80" w:type="dxa"/>
              <w:left w:w="100" w:type="dxa"/>
              <w:right w:w="100" w:type="dxa"/>
            </w:tcMar>
            <w:shd w:fill="FFFFFF" w:val="clear"/>
          </w:tcPr>
          <w:p>
            <w:pPr>
              <w:spacing w:before="40" w:after="40" w:line="252" w:lineRule="auto"/>
            </w:pPr>
            <w:r>
              <w:rPr>
                <w:rFonts w:ascii="Arial" w:hAnsi="Arial"/>
                <w:color w:val="333333"/>
                <w:sz w:val="17"/>
              </w:rPr>
              <w:t>Recall @5 &gt; 92%</w:t>
              <w:br/>
              <w:t>Precision @5 &gt; 88%</w:t>
            </w:r>
          </w:p>
        </w:tc>
      </w:tr>
      <w:tr>
        <w:tc>
          <w:tcPr>
            <w:tcW w:type="dxa" w:w="1728"/>
            <w:tcMar>
              <w:top w:w="80" w:type="dxa"/>
              <w:bottom w:w="80" w:type="dxa"/>
              <w:left w:w="100" w:type="dxa"/>
              <w:right w:w="100" w:type="dxa"/>
            </w:tcMar>
            <w:shd w:fill="F2F5F9" w:val="clear"/>
          </w:tcPr>
          <w:p>
            <w:pPr>
              <w:spacing w:before="40" w:after="40" w:line="252" w:lineRule="auto"/>
            </w:pPr>
            <w:r>
              <w:rPr>
                <w:rFonts w:ascii="Arial" w:hAnsi="Arial"/>
                <w:color w:val="333333"/>
                <w:sz w:val="17"/>
              </w:rPr>
              <w:t>Memory System</w:t>
            </w:r>
          </w:p>
        </w:tc>
        <w:tc>
          <w:tcPr>
            <w:tcW w:type="dxa" w:w="2304"/>
            <w:tcMar>
              <w:top w:w="80" w:type="dxa"/>
              <w:bottom w:w="80" w:type="dxa"/>
              <w:left w:w="100" w:type="dxa"/>
              <w:right w:w="100" w:type="dxa"/>
            </w:tcMar>
            <w:shd w:fill="F2F5F9" w:val="clear"/>
          </w:tcPr>
          <w:p>
            <w:pPr>
              <w:spacing w:before="40" w:after="40" w:line="252" w:lineRule="auto"/>
            </w:pPr>
            <w:r>
              <w:rPr>
                <w:rFonts w:ascii="Arial" w:hAnsi="Arial"/>
                <w:color w:val="333333"/>
                <w:sz w:val="17"/>
              </w:rPr>
              <w:t>Multi-Tenant Isolation Score</w:t>
            </w:r>
          </w:p>
        </w:tc>
        <w:tc>
          <w:tcPr>
            <w:tcW w:type="dxa" w:w="3600"/>
            <w:tcMar>
              <w:top w:w="80" w:type="dxa"/>
              <w:bottom w:w="80" w:type="dxa"/>
              <w:left w:w="100" w:type="dxa"/>
              <w:right w:w="100" w:type="dxa"/>
            </w:tcMar>
            <w:shd w:fill="F2F5F9" w:val="clear"/>
          </w:tcPr>
          <w:p>
            <w:pPr>
              <w:spacing w:before="40" w:after="40" w:line="252" w:lineRule="auto"/>
            </w:pPr>
            <w:r>
              <w:rPr>
                <w:rFonts w:ascii="Arial" w:hAnsi="Arial"/>
                <w:color w:val="333333"/>
                <w:sz w:val="17"/>
              </w:rPr>
              <w:t>IS = 1 - (|Tri thức Tenant khác bị rò rỉ| / |Tổng số truy vấn|)</w:t>
            </w:r>
          </w:p>
        </w:tc>
        <w:tc>
          <w:tcPr>
            <w:tcW w:type="dxa" w:w="1728"/>
            <w:tcMar>
              <w:top w:w="80" w:type="dxa"/>
              <w:bottom w:w="80" w:type="dxa"/>
              <w:left w:w="100" w:type="dxa"/>
              <w:right w:w="100" w:type="dxa"/>
            </w:tcMar>
            <w:shd w:fill="F2F5F9" w:val="clear"/>
          </w:tcPr>
          <w:p>
            <w:pPr>
              <w:spacing w:before="40" w:after="40" w:line="252" w:lineRule="auto"/>
            </w:pPr>
            <w:r>
              <w:rPr>
                <w:rFonts w:ascii="Arial" w:hAnsi="Arial"/>
                <w:color w:val="333333"/>
                <w:sz w:val="17"/>
              </w:rPr>
              <w:t>100.0% (Zero Leak)</w:t>
            </w:r>
          </w:p>
        </w:tc>
      </w:tr>
      <w:tr>
        <w:tc>
          <w:tcPr>
            <w:tcW w:type="dxa" w:w="1728"/>
            <w:tcMar>
              <w:top w:w="80" w:type="dxa"/>
              <w:bottom w:w="80" w:type="dxa"/>
              <w:left w:w="100" w:type="dxa"/>
              <w:right w:w="100" w:type="dxa"/>
            </w:tcMar>
            <w:shd w:fill="FFFFFF" w:val="clear"/>
          </w:tcPr>
          <w:p>
            <w:pPr>
              <w:spacing w:before="40" w:after="40" w:line="252" w:lineRule="auto"/>
            </w:pPr>
            <w:r>
              <w:rPr>
                <w:rFonts w:ascii="Arial" w:hAnsi="Arial"/>
                <w:color w:val="333333"/>
                <w:sz w:val="17"/>
              </w:rPr>
              <w:t>Memory System</w:t>
            </w:r>
          </w:p>
        </w:tc>
        <w:tc>
          <w:tcPr>
            <w:tcW w:type="dxa" w:w="2304"/>
            <w:tcMar>
              <w:top w:w="80" w:type="dxa"/>
              <w:bottom w:w="80" w:type="dxa"/>
              <w:left w:w="100" w:type="dxa"/>
              <w:right w:w="100" w:type="dxa"/>
            </w:tcMar>
            <w:shd w:fill="FFFFFF" w:val="clear"/>
          </w:tcPr>
          <w:p>
            <w:pPr>
              <w:spacing w:before="40" w:after="40" w:line="252" w:lineRule="auto"/>
            </w:pPr>
            <w:r>
              <w:rPr>
                <w:rFonts w:ascii="Arial" w:hAnsi="Arial"/>
                <w:color w:val="333333"/>
                <w:sz w:val="17"/>
              </w:rPr>
              <w:t>Memory Recall @K (LOCOMO)</w:t>
            </w:r>
          </w:p>
        </w:tc>
        <w:tc>
          <w:tcPr>
            <w:tcW w:type="dxa" w:w="3600"/>
            <w:tcMar>
              <w:top w:w="80" w:type="dxa"/>
              <w:bottom w:w="80" w:type="dxa"/>
              <w:left w:w="100" w:type="dxa"/>
              <w:right w:w="100" w:type="dxa"/>
            </w:tcMar>
            <w:shd w:fill="FFFFFF" w:val="clear"/>
          </w:tcPr>
          <w:p>
            <w:pPr>
              <w:spacing w:before="40" w:after="40" w:line="252" w:lineRule="auto"/>
            </w:pPr>
            <w:r>
              <w:rPr>
                <w:rFonts w:ascii="Arial" w:hAnsi="Arial"/>
                <w:color w:val="333333"/>
                <w:sz w:val="17"/>
              </w:rPr>
              <w:t>MR@K = |Fact đúng trích xuất| / |Tổng Fact ngữ cảnh cần thiết|</w:t>
            </w:r>
          </w:p>
        </w:tc>
        <w:tc>
          <w:tcPr>
            <w:tcW w:type="dxa" w:w="1728"/>
            <w:tcMar>
              <w:top w:w="80" w:type="dxa"/>
              <w:bottom w:w="80" w:type="dxa"/>
              <w:left w:w="100" w:type="dxa"/>
              <w:right w:w="100" w:type="dxa"/>
            </w:tcMar>
            <w:shd w:fill="FFFFFF" w:val="clear"/>
          </w:tcPr>
          <w:p>
            <w:pPr>
              <w:spacing w:before="40" w:after="40" w:line="252" w:lineRule="auto"/>
            </w:pPr>
            <w:r>
              <w:rPr>
                <w:rFonts w:ascii="Arial" w:hAnsi="Arial"/>
                <w:color w:val="333333"/>
                <w:sz w:val="17"/>
              </w:rPr>
              <w:t>Recall @3 &gt; 90%</w:t>
            </w:r>
          </w:p>
        </w:tc>
      </w:tr>
      <w:tr>
        <w:tc>
          <w:tcPr>
            <w:tcW w:type="dxa" w:w="1728"/>
            <w:tcMar>
              <w:top w:w="80" w:type="dxa"/>
              <w:bottom w:w="80" w:type="dxa"/>
              <w:left w:w="100" w:type="dxa"/>
              <w:right w:w="100" w:type="dxa"/>
            </w:tcMar>
            <w:shd w:fill="F2F5F9" w:val="clear"/>
          </w:tcPr>
          <w:p>
            <w:pPr>
              <w:spacing w:before="40" w:after="40" w:line="252" w:lineRule="auto"/>
            </w:pPr>
            <w:r>
              <w:rPr>
                <w:rFonts w:ascii="Arial" w:hAnsi="Arial"/>
                <w:color w:val="333333"/>
                <w:sz w:val="17"/>
              </w:rPr>
              <w:t>Router &amp; Plan</w:t>
            </w:r>
          </w:p>
        </w:tc>
        <w:tc>
          <w:tcPr>
            <w:tcW w:type="dxa" w:w="2304"/>
            <w:tcMar>
              <w:top w:w="80" w:type="dxa"/>
              <w:bottom w:w="80" w:type="dxa"/>
              <w:left w:w="100" w:type="dxa"/>
              <w:right w:w="100" w:type="dxa"/>
            </w:tcMar>
            <w:shd w:fill="F2F5F9" w:val="clear"/>
          </w:tcPr>
          <w:p>
            <w:pPr>
              <w:spacing w:before="40" w:after="40" w:line="252" w:lineRule="auto"/>
            </w:pPr>
            <w:r>
              <w:rPr>
                <w:rFonts w:ascii="Arial" w:hAnsi="Arial"/>
                <w:color w:val="333333"/>
                <w:sz w:val="17"/>
              </w:rPr>
              <w:t>Pre-Route Accuracy</w:t>
            </w:r>
          </w:p>
        </w:tc>
        <w:tc>
          <w:tcPr>
            <w:tcW w:type="dxa" w:w="3600"/>
            <w:tcMar>
              <w:top w:w="80" w:type="dxa"/>
              <w:bottom w:w="80" w:type="dxa"/>
              <w:left w:w="100" w:type="dxa"/>
              <w:right w:w="100" w:type="dxa"/>
            </w:tcMar>
            <w:shd w:fill="F2F5F9" w:val="clear"/>
          </w:tcPr>
          <w:p>
            <w:pPr>
              <w:spacing w:before="40" w:after="40" w:line="252" w:lineRule="auto"/>
            </w:pPr>
            <w:r>
              <w:rPr>
                <w:rFonts w:ascii="Arial" w:hAnsi="Arial"/>
                <w:color w:val="333333"/>
                <w:sz w:val="17"/>
              </w:rPr>
              <w:t>RA = |Routing đúng phân hệ| / |Tổng số Query|</w:t>
            </w:r>
          </w:p>
        </w:tc>
        <w:tc>
          <w:tcPr>
            <w:tcW w:type="dxa" w:w="1728"/>
            <w:tcMar>
              <w:top w:w="80" w:type="dxa"/>
              <w:bottom w:w="80" w:type="dxa"/>
              <w:left w:w="100" w:type="dxa"/>
              <w:right w:w="100" w:type="dxa"/>
            </w:tcMar>
            <w:shd w:fill="F2F5F9" w:val="clear"/>
          </w:tcPr>
          <w:p>
            <w:pPr>
              <w:spacing w:before="40" w:after="40" w:line="252" w:lineRule="auto"/>
            </w:pPr>
            <w:r>
              <w:rPr>
                <w:rFonts w:ascii="Arial" w:hAnsi="Arial"/>
                <w:color w:val="333333"/>
                <w:sz w:val="17"/>
              </w:rPr>
              <w:t>Accuracy &gt; 96%</w:t>
            </w:r>
          </w:p>
        </w:tc>
      </w:tr>
      <w:tr>
        <w:tc>
          <w:tcPr>
            <w:tcW w:type="dxa" w:w="1728"/>
            <w:tcMar>
              <w:top w:w="80" w:type="dxa"/>
              <w:bottom w:w="80" w:type="dxa"/>
              <w:left w:w="100" w:type="dxa"/>
              <w:right w:w="100" w:type="dxa"/>
            </w:tcMar>
            <w:shd w:fill="FFFFFF" w:val="clear"/>
          </w:tcPr>
          <w:p>
            <w:pPr>
              <w:spacing w:before="40" w:after="40" w:line="252" w:lineRule="auto"/>
            </w:pPr>
            <w:r>
              <w:rPr>
                <w:rFonts w:ascii="Arial" w:hAnsi="Arial"/>
                <w:color w:val="333333"/>
                <w:sz w:val="17"/>
              </w:rPr>
              <w:t>Router &amp; Plan</w:t>
            </w:r>
          </w:p>
        </w:tc>
        <w:tc>
          <w:tcPr>
            <w:tcW w:type="dxa" w:w="2304"/>
            <w:tcMar>
              <w:top w:w="80" w:type="dxa"/>
              <w:bottom w:w="80" w:type="dxa"/>
              <w:left w:w="100" w:type="dxa"/>
              <w:right w:w="100" w:type="dxa"/>
            </w:tcMar>
            <w:shd w:fill="FFFFFF" w:val="clear"/>
          </w:tcPr>
          <w:p>
            <w:pPr>
              <w:spacing w:before="40" w:after="40" w:line="252" w:lineRule="auto"/>
            </w:pPr>
            <w:r>
              <w:rPr>
                <w:rFonts w:ascii="Arial" w:hAnsi="Arial"/>
                <w:color w:val="333333"/>
                <w:sz w:val="17"/>
              </w:rPr>
              <w:t>Plan Trajectory Efficiency</w:t>
            </w:r>
          </w:p>
        </w:tc>
        <w:tc>
          <w:tcPr>
            <w:tcW w:type="dxa" w:w="3600"/>
            <w:tcMar>
              <w:top w:w="80" w:type="dxa"/>
              <w:bottom w:w="80" w:type="dxa"/>
              <w:left w:w="100" w:type="dxa"/>
              <w:right w:w="100" w:type="dxa"/>
            </w:tcMar>
            <w:shd w:fill="FFFFFF" w:val="clear"/>
          </w:tcPr>
          <w:p>
            <w:pPr>
              <w:spacing w:before="40" w:after="40" w:line="252" w:lineRule="auto"/>
            </w:pPr>
            <w:r>
              <w:rPr>
                <w:rFonts w:ascii="Arial" w:hAnsi="Arial"/>
                <w:color w:val="333333"/>
                <w:sz w:val="17"/>
              </w:rPr>
              <w:t>eta_plan = |Chuỗi bước tối ưu T_opt| / |Chuỗi bước thực thi T_act|</w:t>
            </w:r>
          </w:p>
        </w:tc>
        <w:tc>
          <w:tcPr>
            <w:tcW w:type="dxa" w:w="1728"/>
            <w:tcMar>
              <w:top w:w="80" w:type="dxa"/>
              <w:bottom w:w="80" w:type="dxa"/>
              <w:left w:w="100" w:type="dxa"/>
              <w:right w:w="100" w:type="dxa"/>
            </w:tcMar>
            <w:shd w:fill="FFFFFF" w:val="clear"/>
          </w:tcPr>
          <w:p>
            <w:pPr>
              <w:spacing w:before="40" w:after="40" w:line="252" w:lineRule="auto"/>
            </w:pPr>
            <w:r>
              <w:rPr>
                <w:rFonts w:ascii="Arial" w:hAnsi="Arial"/>
                <w:color w:val="333333"/>
                <w:sz w:val="17"/>
              </w:rPr>
              <w:t>Efficiency &gt;= 0.85</w:t>
            </w:r>
          </w:p>
        </w:tc>
      </w:tr>
      <w:tr>
        <w:tc>
          <w:tcPr>
            <w:tcW w:type="dxa" w:w="1728"/>
            <w:tcMar>
              <w:top w:w="80" w:type="dxa"/>
              <w:bottom w:w="80" w:type="dxa"/>
              <w:left w:w="100" w:type="dxa"/>
              <w:right w:w="100" w:type="dxa"/>
            </w:tcMar>
            <w:shd w:fill="F2F5F9" w:val="clear"/>
          </w:tcPr>
          <w:p>
            <w:pPr>
              <w:spacing w:before="40" w:after="40" w:line="252" w:lineRule="auto"/>
            </w:pPr>
            <w:r>
              <w:rPr>
                <w:rFonts w:ascii="Arial" w:hAnsi="Arial"/>
                <w:color w:val="333333"/>
                <w:sz w:val="17"/>
              </w:rPr>
              <w:t>MCP Tool Layer</w:t>
            </w:r>
          </w:p>
        </w:tc>
        <w:tc>
          <w:tcPr>
            <w:tcW w:type="dxa" w:w="2304"/>
            <w:tcMar>
              <w:top w:w="80" w:type="dxa"/>
              <w:bottom w:w="80" w:type="dxa"/>
              <w:left w:w="100" w:type="dxa"/>
              <w:right w:w="100" w:type="dxa"/>
            </w:tcMar>
            <w:shd w:fill="F2F5F9" w:val="clear"/>
          </w:tcPr>
          <w:p>
            <w:pPr>
              <w:spacing w:before="40" w:after="40" w:line="252" w:lineRule="auto"/>
            </w:pPr>
            <w:r>
              <w:rPr>
                <w:rFonts w:ascii="Arial" w:hAnsi="Arial"/>
                <w:color w:val="333333"/>
                <w:sz w:val="17"/>
              </w:rPr>
              <w:t>Tool Selection &amp; Param Precision</w:t>
            </w:r>
          </w:p>
        </w:tc>
        <w:tc>
          <w:tcPr>
            <w:tcW w:type="dxa" w:w="3600"/>
            <w:tcMar>
              <w:top w:w="80" w:type="dxa"/>
              <w:bottom w:w="80" w:type="dxa"/>
              <w:left w:w="100" w:type="dxa"/>
              <w:right w:w="100" w:type="dxa"/>
            </w:tcMar>
            <w:shd w:fill="F2F5F9" w:val="clear"/>
          </w:tcPr>
          <w:p>
            <w:pPr>
              <w:spacing w:before="40" w:after="40" w:line="252" w:lineRule="auto"/>
            </w:pPr>
            <w:r>
              <w:rPr>
                <w:rFonts w:ascii="Arial" w:hAnsi="Arial"/>
                <w:color w:val="333333"/>
                <w:sz w:val="17"/>
              </w:rPr>
              <w:t>Acc_tool = |Số lần chọn đúng Tool &amp; đúng Schema| / |Tổng Tool Calls|</w:t>
            </w:r>
          </w:p>
        </w:tc>
        <w:tc>
          <w:tcPr>
            <w:tcW w:type="dxa" w:w="1728"/>
            <w:tcMar>
              <w:top w:w="80" w:type="dxa"/>
              <w:bottom w:w="80" w:type="dxa"/>
              <w:left w:w="100" w:type="dxa"/>
              <w:right w:w="100" w:type="dxa"/>
            </w:tcMar>
            <w:shd w:fill="F2F5F9" w:val="clear"/>
          </w:tcPr>
          <w:p>
            <w:pPr>
              <w:spacing w:before="40" w:after="40" w:line="252" w:lineRule="auto"/>
            </w:pPr>
            <w:r>
              <w:rPr>
                <w:rFonts w:ascii="Arial" w:hAnsi="Arial"/>
                <w:color w:val="333333"/>
                <w:sz w:val="17"/>
              </w:rPr>
              <w:t>Accuracy &gt; 98%</w:t>
            </w:r>
          </w:p>
        </w:tc>
      </w:tr>
      <w:tr>
        <w:tc>
          <w:tcPr>
            <w:tcW w:type="dxa" w:w="1728"/>
            <w:tcMar>
              <w:top w:w="80" w:type="dxa"/>
              <w:bottom w:w="80" w:type="dxa"/>
              <w:left w:w="100" w:type="dxa"/>
              <w:right w:w="100" w:type="dxa"/>
            </w:tcMar>
            <w:shd w:fill="FFFFFF" w:val="clear"/>
          </w:tcPr>
          <w:p>
            <w:pPr>
              <w:spacing w:before="40" w:after="40" w:line="252" w:lineRule="auto"/>
            </w:pPr>
            <w:r>
              <w:rPr>
                <w:rFonts w:ascii="Arial" w:hAnsi="Arial"/>
                <w:color w:val="333333"/>
                <w:sz w:val="17"/>
              </w:rPr>
              <w:t>MCP Tool Layer</w:t>
            </w:r>
          </w:p>
        </w:tc>
        <w:tc>
          <w:tcPr>
            <w:tcW w:type="dxa" w:w="2304"/>
            <w:tcMar>
              <w:top w:w="80" w:type="dxa"/>
              <w:bottom w:w="80" w:type="dxa"/>
              <w:left w:w="100" w:type="dxa"/>
              <w:right w:w="100" w:type="dxa"/>
            </w:tcMar>
            <w:shd w:fill="FFFFFF" w:val="clear"/>
          </w:tcPr>
          <w:p>
            <w:pPr>
              <w:spacing w:before="40" w:after="40" w:line="252" w:lineRule="auto"/>
            </w:pPr>
            <w:r>
              <w:rPr>
                <w:rFonts w:ascii="Arial" w:hAnsi="Arial"/>
                <w:color w:val="333333"/>
                <w:sz w:val="17"/>
              </w:rPr>
              <w:t>State-Verification Success</w:t>
            </w:r>
          </w:p>
        </w:tc>
        <w:tc>
          <w:tcPr>
            <w:tcW w:type="dxa" w:w="3600"/>
            <w:tcMar>
              <w:top w:w="80" w:type="dxa"/>
              <w:bottom w:w="80" w:type="dxa"/>
              <w:left w:w="100" w:type="dxa"/>
              <w:right w:w="100" w:type="dxa"/>
            </w:tcMar>
            <w:shd w:fill="FFFFFF" w:val="clear"/>
          </w:tcPr>
          <w:p>
            <w:pPr>
              <w:spacing w:before="40" w:after="40" w:line="252" w:lineRule="auto"/>
            </w:pPr>
            <w:r>
              <w:rPr>
                <w:rFonts w:ascii="Arial" w:hAnsi="Arial"/>
                <w:color w:val="333333"/>
                <w:sz w:val="17"/>
              </w:rPr>
              <w:t>SVR = |Số tác vụ biến đổi DB đúng| / |Tổng tác vụ thực thi|</w:t>
            </w:r>
          </w:p>
        </w:tc>
        <w:tc>
          <w:tcPr>
            <w:tcW w:type="dxa" w:w="1728"/>
            <w:tcMar>
              <w:top w:w="80" w:type="dxa"/>
              <w:bottom w:w="80" w:type="dxa"/>
              <w:left w:w="100" w:type="dxa"/>
              <w:right w:w="100" w:type="dxa"/>
            </w:tcMar>
            <w:shd w:fill="FFFFFF" w:val="clear"/>
          </w:tcPr>
          <w:p>
            <w:pPr>
              <w:spacing w:before="40" w:after="40" w:line="252" w:lineRule="auto"/>
            </w:pPr>
            <w:r>
              <w:rPr>
                <w:rFonts w:ascii="Arial" w:hAnsi="Arial"/>
                <w:color w:val="333333"/>
                <w:sz w:val="17"/>
              </w:rPr>
              <w:t>Success Rate &gt; 99%</w:t>
            </w:r>
          </w:p>
        </w:tc>
      </w:tr>
      <w:tr>
        <w:tc>
          <w:tcPr>
            <w:tcW w:type="dxa" w:w="1728"/>
            <w:tcMar>
              <w:top w:w="80" w:type="dxa"/>
              <w:bottom w:w="80" w:type="dxa"/>
              <w:left w:w="100" w:type="dxa"/>
              <w:right w:w="100" w:type="dxa"/>
            </w:tcMar>
            <w:shd w:fill="F2F5F9" w:val="clear"/>
          </w:tcPr>
          <w:p>
            <w:pPr>
              <w:spacing w:before="40" w:after="40" w:line="252" w:lineRule="auto"/>
            </w:pPr>
            <w:r>
              <w:rPr>
                <w:rFonts w:ascii="Arial" w:hAnsi="Arial"/>
                <w:color w:val="333333"/>
                <w:sz w:val="17"/>
              </w:rPr>
              <w:t>Guardrails</w:t>
            </w:r>
          </w:p>
        </w:tc>
        <w:tc>
          <w:tcPr>
            <w:tcW w:type="dxa" w:w="2304"/>
            <w:tcMar>
              <w:top w:w="80" w:type="dxa"/>
              <w:bottom w:w="80" w:type="dxa"/>
              <w:left w:w="100" w:type="dxa"/>
              <w:right w:w="100" w:type="dxa"/>
            </w:tcMar>
            <w:shd w:fill="F2F5F9" w:val="clear"/>
          </w:tcPr>
          <w:p>
            <w:pPr>
              <w:spacing w:before="40" w:after="40" w:line="252" w:lineRule="auto"/>
            </w:pPr>
            <w:r>
              <w:rPr>
                <w:rFonts w:ascii="Arial" w:hAnsi="Arial"/>
                <w:color w:val="333333"/>
                <w:sz w:val="17"/>
              </w:rPr>
              <w:t>Prompt Injection Defense</w:t>
            </w:r>
          </w:p>
        </w:tc>
        <w:tc>
          <w:tcPr>
            <w:tcW w:type="dxa" w:w="3600"/>
            <w:tcMar>
              <w:top w:w="80" w:type="dxa"/>
              <w:bottom w:w="80" w:type="dxa"/>
              <w:left w:w="100" w:type="dxa"/>
              <w:right w:w="100" w:type="dxa"/>
            </w:tcMar>
            <w:shd w:fill="F2F5F9" w:val="clear"/>
          </w:tcPr>
          <w:p>
            <w:pPr>
              <w:spacing w:before="40" w:after="40" w:line="252" w:lineRule="auto"/>
            </w:pPr>
            <w:r>
              <w:rPr>
                <w:rFonts w:ascii="Arial" w:hAnsi="Arial"/>
                <w:color w:val="333333"/>
                <w:sz w:val="17"/>
              </w:rPr>
              <w:t>IR = 1 - (|Tấn công lọt lưới| / |Tổng kịch bản Red-Team|)</w:t>
            </w:r>
          </w:p>
        </w:tc>
        <w:tc>
          <w:tcPr>
            <w:tcW w:type="dxa" w:w="1728"/>
            <w:tcMar>
              <w:top w:w="80" w:type="dxa"/>
              <w:bottom w:w="80" w:type="dxa"/>
              <w:left w:w="100" w:type="dxa"/>
              <w:right w:w="100" w:type="dxa"/>
            </w:tcMar>
            <w:shd w:fill="F2F5F9" w:val="clear"/>
          </w:tcPr>
          <w:p>
            <w:pPr>
              <w:spacing w:before="40" w:after="40" w:line="252" w:lineRule="auto"/>
            </w:pPr>
            <w:r>
              <w:rPr>
                <w:rFonts w:ascii="Arial" w:hAnsi="Arial"/>
                <w:color w:val="333333"/>
                <w:sz w:val="17"/>
              </w:rPr>
              <w:t>Defense Rate &gt; 99.5%</w:t>
            </w:r>
          </w:p>
        </w:tc>
      </w:tr>
      <w:tr>
        <w:tc>
          <w:tcPr>
            <w:tcW w:type="dxa" w:w="1728"/>
            <w:tcMar>
              <w:top w:w="80" w:type="dxa"/>
              <w:bottom w:w="80" w:type="dxa"/>
              <w:left w:w="100" w:type="dxa"/>
              <w:right w:w="100" w:type="dxa"/>
            </w:tcMar>
            <w:shd w:fill="FFFFFF" w:val="clear"/>
          </w:tcPr>
          <w:p>
            <w:pPr>
              <w:spacing w:before="40" w:after="40" w:line="252" w:lineRule="auto"/>
            </w:pPr>
            <w:r>
              <w:rPr>
                <w:rFonts w:ascii="Arial" w:hAnsi="Arial"/>
                <w:color w:val="333333"/>
                <w:sz w:val="17"/>
              </w:rPr>
              <w:t>End-to-End</w:t>
            </w:r>
          </w:p>
        </w:tc>
        <w:tc>
          <w:tcPr>
            <w:tcW w:type="dxa" w:w="2304"/>
            <w:tcMar>
              <w:top w:w="80" w:type="dxa"/>
              <w:bottom w:w="80" w:type="dxa"/>
              <w:left w:w="100" w:type="dxa"/>
              <w:right w:w="100" w:type="dxa"/>
            </w:tcMar>
            <w:shd w:fill="FFFFFF" w:val="clear"/>
          </w:tcPr>
          <w:p>
            <w:pPr>
              <w:spacing w:before="40" w:after="40" w:line="252" w:lineRule="auto"/>
            </w:pPr>
            <w:r>
              <w:rPr>
                <w:rFonts w:ascii="Arial" w:hAnsi="Arial"/>
                <w:color w:val="333333"/>
                <w:sz w:val="17"/>
              </w:rPr>
              <w:t>Overall Utility Score (Pass@1)</w:t>
            </w:r>
          </w:p>
        </w:tc>
        <w:tc>
          <w:tcPr>
            <w:tcW w:type="dxa" w:w="3600"/>
            <w:tcMar>
              <w:top w:w="80" w:type="dxa"/>
              <w:bottom w:w="80" w:type="dxa"/>
              <w:left w:w="100" w:type="dxa"/>
              <w:right w:w="100" w:type="dxa"/>
            </w:tcMar>
            <w:shd w:fill="FFFFFF" w:val="clear"/>
          </w:tcPr>
          <w:p>
            <w:pPr>
              <w:spacing w:before="40" w:after="40" w:line="252" w:lineRule="auto"/>
            </w:pPr>
            <w:r>
              <w:rPr>
                <w:rFonts w:ascii="Arial" w:hAnsi="Arial"/>
                <w:color w:val="333333"/>
                <w:sz w:val="17"/>
              </w:rPr>
              <w:t>Pass@1 = (1/N) * sum I(Task_i == SUCCESS)</w:t>
            </w:r>
          </w:p>
        </w:tc>
        <w:tc>
          <w:tcPr>
            <w:tcW w:type="dxa" w:w="1728"/>
            <w:tcMar>
              <w:top w:w="80" w:type="dxa"/>
              <w:bottom w:w="80" w:type="dxa"/>
              <w:left w:w="100" w:type="dxa"/>
              <w:right w:w="100" w:type="dxa"/>
            </w:tcMar>
            <w:shd w:fill="FFFFFF" w:val="clear"/>
          </w:tcPr>
          <w:p>
            <w:pPr>
              <w:spacing w:before="40" w:after="40" w:line="252" w:lineRule="auto"/>
            </w:pPr>
            <w:r>
              <w:rPr>
                <w:rFonts w:ascii="Arial" w:hAnsi="Arial"/>
                <w:color w:val="333333"/>
                <w:sz w:val="17"/>
              </w:rPr>
              <w:t>Pass@1 &gt; 90%</w:t>
            </w:r>
          </w:p>
        </w:tc>
      </w:tr>
    </w:tbl>
    <w:p>
      <w:pPr>
        <w:keepNext/>
        <w:spacing w:before="240" w:after="80"/>
      </w:pPr>
      <w:r>
        <w:rPr>
          <w:b/>
          <w:color w:val="2E75B6"/>
          <w:sz w:val="23"/>
        </w:rPr>
        <w:t>Công Thức Tính Điểm Tổng Thể Hệ Thống (End-to-End System Utility Score)</w:t>
      </w:r>
    </w:p>
    <w:p>
      <w:pPr>
        <w:spacing w:before="0" w:after="80" w:line="276" w:lineRule="auto"/>
      </w:pPr>
      <w:r>
        <w:t>Chỉ số tổng thể thể hiện chất lượng toàn diện của hệ thống AI Banking Assistant được tính theo công thức trọng số đa tiêu chí:</w:t>
      </w:r>
    </w:p>
    <w:p>
      <w:pPr>
        <w:spacing w:before="0" w:after="80" w:line="276" w:lineRule="auto"/>
      </w:pPr>
      <w:r>
        <w:t>Score_System = w1 * Pass@1 + w2 * SVR + w3 * Faithfulness + w4 * IS - w5 * Penalty_Latency</w:t>
        <w:br/>
        <w:br/>
        <w:t>Trong đó:</w:t>
        <w:br/>
        <w:t>• Pass@1: Tỷ lệ hoàn thành tác vụ end-to-end trong kịch bản mô phỏng động (Trọng số w1 = 0.35).</w:t>
        <w:br/>
        <w:t>• SVR (State-Verification Rate): Tỷ lệ biến đổi cơ sở dữ liệu chính xác tuyệt đối (Trọng số w2 = 0.25).</w:t>
        <w:br/>
        <w:t>• Faithfulness: Độ trung thực chống ảo giác của phản hồi (Trọng số w3 = 0.20).</w:t>
        <w:br/>
        <w:t>• IS (Isolation Score): Độ an toàn cách ly dữ liệu đa người dùng (Trọng số w4 = 0.20).</w:t>
        <w:br/>
        <w:t>• Penalty_Latency: Phạt độ trễ nếu Latency P95 &gt; 3.0s (Trị giá phạt = 0.05 * max(0, P95 - 3.0)).</w:t>
      </w:r>
    </w:p>
    <w:tbl>
      <w:tblPr>
        <w:tblW w:type="auto" w:w="0"/>
        <w:jc w:val="center"/>
        <w:tblLook w:firstColumn="1" w:firstRow="1" w:lastColumn="0" w:lastRow="0" w:noHBand="0" w:noVBand="1" w:val="04A0"/>
      </w:tblPr>
      <w:tblGrid>
        <w:gridCol w:w="9360"/>
      </w:tblGrid>
      <w:tr>
        <w:tc>
          <w:tcPr>
            <w:tcW w:type="dxa" w:w="9360"/>
            <w:shd w:fill="F0F4F8" w:val="clear"/>
            <w:tcMar>
              <w:top w:w="140" w:type="dxa"/>
              <w:bottom w:w="140" w:type="dxa"/>
              <w:left w:w="200" w:type="dxa"/>
              <w:right w:w="200" w:type="dxa"/>
            </w:tcMar>
            <w:tcBorders>
              <w:left w:val="single" w:sz="36" w:space="0" w:color="1F497D"/>
              <w:top w:val="none"/>
              <w:bottom w:val="none"/>
              <w:right w:val="none"/>
            </w:tcBorders>
          </w:tcPr>
          <w:p>
            <w:pPr>
              <w:spacing w:before="40" w:after="80"/>
            </w:pPr>
            <w:r>
              <w:rPr>
                <w:rFonts w:ascii="Arial" w:hAnsi="Arial"/>
                <w:b/>
                <w:color w:val="1F497D"/>
                <w:sz w:val="21"/>
              </w:rPr>
              <w:t>📌 TỔNG KẾT BÁO CÁO KỸ THUẬT</w:t>
              <w:br/>
            </w:r>
          </w:p>
          <w:p>
            <w:pPr>
              <w:spacing w:before="40" w:after="40"/>
            </w:pPr>
            <w:r>
              <w:rPr>
                <w:rFonts w:ascii="Arial" w:hAnsi="Arial"/>
                <w:color w:val="333333"/>
                <w:sz w:val="19"/>
              </w:rPr>
              <w:t>Báo cáo này cung cấp đầy đủ cả 3 trụ cột: (1) Bán vẽ kiến trúc mũi tên siêu rõ ràng, (2) Bộ thuật toán đa dạng thích ứng linh hoạt, và (3) Phương pháp benchmark động vượt xa tư duy câu hỏi tĩnh.</w:t>
            </w:r>
          </w:p>
          <w:p>
            <w:pPr>
              <w:spacing w:before="40" w:after="40"/>
            </w:pPr>
            <w:r>
              <w:rPr>
                <w:rFonts w:ascii="Arial" w:hAnsi="Arial"/>
                <w:color w:val="333333"/>
                <w:sz w:val="19"/>
              </w:rPr>
              <w:t>Bạn có thể sử dụng toàn bộ ngữ cảnh và tài liệu Word v3 này để báo cáo trực tiếp với Giáo viên hướng dẫn hoặc Hội đồng đánh giá chuyên môn.</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8"/>
      </w:rPr>
      <w:t xml:space="preserve">Trang </w:t>
      <w:fldSimple w:instr="PAGE"/>
    </w:r>
    <w:r>
      <w:rPr>
        <w:rFonts w:ascii="Arial" w:hAnsi="Arial"/>
        <w:color w:val="666666"/>
        <w:sz w:val="18"/>
      </w:rPr>
      <w:t xml:space="preserve"> / </w:t>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88888"/>
        <w:sz w:val="17"/>
      </w:rPr>
      <w:t>BÁO CÁO KỸ THUẬT: BÁO CÁO KIẾN TRÚC &amp; BENCHMARK DẠNG ĐỘNG AI BANKING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