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40" w:lineRule="auto" w:before="598" w:after="0"/>
        <w:ind w:left="1448" w:right="0" w:firstLine="0"/>
        <w:jc w:val="left"/>
      </w:pPr>
      <w:r>
        <w:drawing>
          <wp:inline xmlns:a="http://schemas.openxmlformats.org/drawingml/2006/main" xmlns:pic="http://schemas.openxmlformats.org/drawingml/2006/picture">
            <wp:extent cx="135255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900"/>
                    </a:xfrm>
                    <a:prstGeom prst="rect"/>
                  </pic:spPr>
                </pic:pic>
              </a:graphicData>
            </a:graphic>
          </wp:inline>
        </w:drawing>
      </w:r>
    </w:p>
    <w:p>
      <w:pPr>
        <w:autoSpaceDN w:val="0"/>
        <w:autoSpaceDE w:val="0"/>
        <w:widowControl/>
        <w:spacing w:line="230" w:lineRule="auto" w:before="350" w:after="0"/>
        <w:ind w:left="1418" w:right="0" w:firstLine="0"/>
        <w:jc w:val="left"/>
      </w:pPr>
      <w:r>
        <w:t>Đơn vị: Ngân hàng bán lẻ - Phòng Phát triển sản phẩm &amp; Giải pháp tài chính</w:t>
      </w:r>
    </w:p>
    <w:p>
      <w:pPr>
        <w:autoSpaceDN w:val="0"/>
        <w:autoSpaceDE w:val="0"/>
        <w:widowControl/>
        <w:spacing w:line="230" w:lineRule="auto" w:before="126" w:after="0"/>
        <w:ind w:left="1418" w:right="0" w:firstLine="0"/>
        <w:jc w:val="left"/>
      </w:pPr>
      <w:r>
        <w:t>Số: 1037.PDS.2026(1)</w:t>
      </w:r>
    </w:p>
    <w:p>
      <w:pPr>
        <w:autoSpaceDN w:val="0"/>
        <w:autoSpaceDE w:val="0"/>
        <w:widowControl/>
        <w:spacing w:line="230" w:lineRule="auto" w:before="124" w:after="0"/>
        <w:ind w:left="1418" w:right="0" w:firstLine="0"/>
        <w:jc w:val="left"/>
      </w:pPr>
      <w:r>
        <w:t>Ngày ban hành:</w:t>
      </w:r>
    </w:p>
    <w:p>
      <w:pPr>
        <w:autoSpaceDN w:val="0"/>
        <w:autoSpaceDE w:val="0"/>
        <w:widowControl/>
        <w:spacing w:line="274" w:lineRule="auto" w:before="506" w:after="0"/>
        <w:ind w:left="1418" w:right="720" w:firstLine="0"/>
        <w:jc w:val="left"/>
      </w:pPr>
      <w:r>
        <w:t>SẢN PHẨM CHO VAY CBNV TRƯỜNG ĐẠI HỌC QUỐC GIA THÀNH PHỐ HỒ CHÍ MINH – KÊNH QUẦY</w:t>
      </w:r>
    </w:p>
    <w:p>
      <w:pPr>
        <w:autoSpaceDN w:val="0"/>
        <w:autoSpaceDE w:val="0"/>
        <w:widowControl/>
        <w:spacing w:line="259" w:lineRule="auto" w:before="528" w:after="0"/>
        <w:ind w:left="1418" w:right="720" w:firstLine="0"/>
        <w:jc w:val="left"/>
      </w:pPr>
      <w:r>
        <w:t>(Mô tả đối tượng áp dụng: Sản phẩm thấu chi không tài sản bảo đảm dành cho cán bộ nhân viên trường Đại học Quốc gia TP Hồ Chí Minh theo kênh quầy)</w:t>
      </w:r>
    </w:p>
    <w:p>
      <w:pPr>
        <w:autoSpaceDN w:val="0"/>
        <w:tabs>
          <w:tab w:pos="1988" w:val="left"/>
        </w:tabs>
        <w:autoSpaceDE w:val="0"/>
        <w:widowControl/>
        <w:spacing w:line="228" w:lineRule="auto" w:before="572" w:after="0"/>
        <w:ind w:left="1418" w:right="0" w:firstLine="0"/>
        <w:jc w:val="left"/>
      </w:pPr>
      <w:r>
        <w:t>1. Phạm vi điều chỉnh và đối tượng áp dụng</w:t>
      </w:r>
    </w:p>
    <w:p>
      <w:pPr>
        <w:autoSpaceDN w:val="0"/>
        <w:autoSpaceDE w:val="0"/>
        <w:widowControl/>
        <w:spacing w:line="230" w:lineRule="auto" w:before="126" w:after="0"/>
        <w:ind w:left="1418" w:right="0" w:firstLine="0"/>
        <w:jc w:val="left"/>
      </w:pPr>
      <w:r>
        <w:t>1.1.Đối tượng áp dụng:</w:t>
      </w:r>
    </w:p>
    <w:p>
      <w:pPr>
        <w:autoSpaceDN w:val="0"/>
        <w:autoSpaceDE w:val="0"/>
        <w:widowControl/>
        <w:spacing w:line="269" w:lineRule="auto" w:before="126" w:after="0"/>
        <w:ind w:left="1988" w:right="808" w:hanging="360"/>
        <w:jc w:val="both"/>
      </w:pPr>
      <w:r>
        <w:t>Quy định này điều chỉnh các nguyên tắc, điều kiện, thẩm quyền, trách nhiệm và thủ tục thực hiện triển Sản phẩm Thấu chi không Tài sản bảo đảm đối với Cán bộ nhân viên (CBNV) đang công tác tại Trường Đại học Quốc Gia Thành Phố Hồ Chí Minh.</w:t>
      </w:r>
    </w:p>
    <w:p>
      <w:pPr>
        <w:autoSpaceDN w:val="0"/>
        <w:tabs>
          <w:tab w:pos="1988" w:val="left"/>
        </w:tabs>
        <w:autoSpaceDE w:val="0"/>
        <w:widowControl/>
        <w:spacing w:line="230" w:lineRule="auto" w:before="124" w:after="0"/>
        <w:ind w:left="1418" w:right="0" w:firstLine="0"/>
        <w:jc w:val="left"/>
      </w:pPr>
      <w:r>
        <w:t>2. Giải thích từ ngữ</w:t>
      </w:r>
    </w:p>
    <w:p>
      <w:pPr>
        <w:autoSpaceDN w:val="0"/>
        <w:tabs>
          <w:tab w:pos="1988" w:val="left"/>
        </w:tabs>
        <w:autoSpaceDE w:val="0"/>
        <w:widowControl/>
        <w:spacing w:line="269" w:lineRule="auto" w:before="126" w:after="0"/>
        <w:ind w:left="1418" w:right="720" w:firstLine="0"/>
        <w:jc w:val="left"/>
      </w:pPr>
      <w:r>
        <w:t>- Gia đình của Khách hàng: Là bố/mẹ ruột Khách hàng; bố/mẹ chồng/vợ Khách hàng; bố/mẹ nuôi hợp pháp của Khách hàng hoặc vợ/chồng Khách hàng; con ruột; con nuôi hợp pháp của Khách hàng; con dâu/rể; anh/chị/em ruột của Khách hàng.</w:t>
      </w:r>
    </w:p>
    <w:p>
      <w:pPr>
        <w:autoSpaceDN w:val="0"/>
        <w:tabs>
          <w:tab w:pos="1988" w:val="left"/>
        </w:tabs>
        <w:autoSpaceDE w:val="0"/>
        <w:widowControl/>
        <w:spacing w:line="274" w:lineRule="auto" w:before="126" w:after="0"/>
        <w:ind w:left="1418" w:right="720" w:firstLine="0"/>
        <w:jc w:val="left"/>
      </w:pPr>
      <w:r>
        <w:t>- Cho vay theo HMTC trên tài khoản thanh toán: Là việc Ngân hàng chấp thuận cho Khách hàng chi vượt số tiền có trên tài khoản thanh toán của Khách hàng một mức thấu chi tối đa để thực hiện dịch vụ thanh toán trên tài khoản thanh toán. Mức thấu chi tối đa được duy trì trong một khoảng thời gian tối đa 01 (một) năm.</w:t>
      </w:r>
    </w:p>
    <w:p>
      <w:pPr>
        <w:autoSpaceDN w:val="0"/>
        <w:tabs>
          <w:tab w:pos="1988" w:val="left"/>
        </w:tabs>
        <w:autoSpaceDE w:val="0"/>
        <w:widowControl/>
        <w:spacing w:line="269" w:lineRule="auto" w:before="126" w:after="0"/>
        <w:ind w:left="1418" w:right="720" w:firstLine="0"/>
        <w:jc w:val="left"/>
      </w:pPr>
      <w:r>
        <w:t>- Hạn mức thấu chi (HMTC): Là số tiền tối đa Ngân hàng chấp nhận cho Khách hàng chi vượt số tiền có trên tài khoản thanh toán để thực hiện dịch vụ thanh toán trên tài khoản thanh toán của Khách hàng tại Ngân hàng.</w:t>
      </w:r>
    </w:p>
    <w:p>
      <w:pPr>
        <w:autoSpaceDN w:val="0"/>
        <w:tabs>
          <w:tab w:pos="1988" w:val="left"/>
        </w:tabs>
        <w:autoSpaceDE w:val="0"/>
        <w:widowControl/>
        <w:spacing w:line="259" w:lineRule="auto" w:before="126" w:after="0"/>
        <w:ind w:left="1418" w:right="720" w:firstLine="0"/>
        <w:jc w:val="left"/>
      </w:pPr>
      <w:r>
        <w:t>- Tài khoản thấu chi (TKTC): Là tài khoản tiền gửi thanh toán không kỳ hạn bằng VND của Khách hàng mở tại Ngân hàng có gắn HMTC.</w:t>
      </w:r>
    </w:p>
    <w:p>
      <w:pPr>
        <w:autoSpaceDN w:val="0"/>
        <w:tabs>
          <w:tab w:pos="1988" w:val="left"/>
        </w:tabs>
        <w:autoSpaceDE w:val="0"/>
        <w:widowControl/>
        <w:spacing w:line="278" w:lineRule="auto" w:before="126" w:after="0"/>
        <w:ind w:left="1418" w:right="720" w:firstLine="0"/>
        <w:jc w:val="left"/>
      </w:pPr>
      <w:r>
        <w:t>- Thời hạn duy trì HMTC: Là khoảng thời gian được tính từ ngày tiếp theo của ngày Ngân hàng kích hoạt HMTC cho Khách hàng cho đến thời điểm Khách hàng phải trả hết nợ gốc và lãi thấu chi theo thỏa thuận của Ngân hàng và Khách hàng. Trường hợp ngày cuối cùng của thời hạn duy trì HMTC là ngày lễ hoặc ngày nghỉ hàng tuần thì chuyển sang ngày làm việc tiếp theo. Trong thời hạn duy trì Hạn mức thấu chi, Khách hàng có thể sử dụng HMTC nhiều lần, nhưng dư nợ tại mọi thời điểm không được vượt quá HMTC đã được cấp.</w:t>
      </w:r>
    </w:p>
    <w:p>
      <w:pPr>
        <w:autoSpaceDN w:val="0"/>
        <w:tabs>
          <w:tab w:pos="1988" w:val="left"/>
        </w:tabs>
        <w:autoSpaceDE w:val="0"/>
        <w:widowControl/>
        <w:spacing w:line="269" w:lineRule="auto" w:before="126" w:after="0"/>
        <w:ind w:left="1418" w:right="720" w:firstLine="0"/>
        <w:jc w:val="left"/>
      </w:pPr>
      <w:r>
        <w:t>- Đại học Quốc Gia TP.HCM: Bao gồm các Hội đồng/Văn phòng và các Ban chức năng thuộc trụ sở chính và các Đơn vị thành viên và các Đơn vị trực thuộc của Đại học Quốc Gia TP.HCM (sau đây gọi chung là Đơn vị công tác).</w:t>
      </w:r>
    </w:p>
    <w:p>
      <w:pPr>
        <w:autoSpaceDN w:val="0"/>
        <w:tabs>
          <w:tab w:pos="1988" w:val="left"/>
        </w:tabs>
        <w:autoSpaceDE w:val="0"/>
        <w:widowControl/>
        <w:spacing w:line="259" w:lineRule="auto" w:before="124" w:after="80"/>
        <w:ind w:left="1418" w:right="720" w:firstLine="0"/>
        <w:jc w:val="left"/>
      </w:pPr>
      <w:r>
        <w:t>- Thu nhập lương (TN lương): Được xác định bằng TN lương thực nhận bình quân 03 tháng gần nhất theo cấp bậc, chức vụ (không bao gồm các khoản thưởng năm/quý…, các khoản đột</w:t>
      </w:r>
    </w:p>
    <w:p>
      <w:pPr>
        <w:autoSpaceDN w:val="0"/>
        <w:autoSpaceDE w:val="0"/>
        <w:widowControl/>
        <w:spacing w:line="14" w:lineRule="exact" w:before="0" w:after="0"/>
        <w:ind w:left="0" w:right="0"/>
      </w:pPr>
    </w:p>
    <w:p>
      <w:pPr>
        <w:autoSpaceDN w:val="0"/>
        <w:autoSpaceDE w:val="0"/>
        <w:widowControl/>
        <w:spacing w:line="240" w:lineRule="auto" w:before="598" w:after="0"/>
        <w:ind w:left="1448" w:right="0" w:firstLine="0"/>
        <w:jc w:val="left"/>
      </w:pPr>
      <w:r>
        <w:drawing>
          <wp:inline xmlns:a="http://schemas.openxmlformats.org/drawingml/2006/main" xmlns:pic="http://schemas.openxmlformats.org/drawingml/2006/picture">
            <wp:extent cx="135255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900"/>
                    </a:xfrm>
                    <a:prstGeom prst="rect"/>
                  </pic:spPr>
                </pic:pic>
              </a:graphicData>
            </a:graphic>
          </wp:inline>
        </w:drawing>
      </w:r>
    </w:p>
    <w:p>
      <w:pPr>
        <w:autoSpaceDN w:val="0"/>
        <w:autoSpaceDE w:val="0"/>
        <w:widowControl/>
        <w:spacing w:line="230" w:lineRule="auto" w:before="290" w:after="0"/>
        <w:ind w:left="1988" w:right="0" w:firstLine="0"/>
        <w:jc w:val="left"/>
      </w:pPr>
      <w:r>
        <w:t>xuất như làm thêm giờ, công tác phí…) theo quy định từng thời kỳ.</w:t>
      </w:r>
    </w:p>
    <w:p>
      <w:pPr>
        <w:autoSpaceDN w:val="0"/>
        <w:autoSpaceDE w:val="0"/>
        <w:widowControl/>
        <w:spacing w:line="274" w:lineRule="auto" w:before="126" w:after="0"/>
        <w:ind w:left="1988" w:right="814" w:firstLine="0"/>
        <w:jc w:val="both"/>
      </w:pPr>
      <w:r>
        <w:t>Trường hợp trong 03 tháng gần nhất tính đến thời điểm Khách hàng đề nghị cấp HMTC mà Khách hàng có thời gian nghỉ thai sản/nghỉ ốm/nghỉ không lương thì thu nhập lương được xác định bằng bình quân của 03 tháng lương thực nhận của Khách hàng liền trước và/hoặc liền sau khi nghỉ thai sản .</w:t>
      </w:r>
    </w:p>
    <w:p>
      <w:pPr>
        <w:autoSpaceDN w:val="0"/>
        <w:autoSpaceDE w:val="0"/>
        <w:widowControl/>
        <w:spacing w:line="274" w:lineRule="auto" w:before="126" w:after="0"/>
        <w:ind w:left="1988" w:right="806" w:firstLine="0"/>
        <w:jc w:val="both"/>
      </w:pPr>
      <w:r>
        <w:t>Lưu ý: Đối với trường hợp Khách hàng sắp nghỉ thai sản/nghỉ ốm/nghỉ không lương trong thời gian dài có thể dẫn đến nguồn thu nhập trong tương lai của Khách hàng bị sụt giảm, ĐVKD xem xét để đánh giá, ghi nhận thu nhập lương phù hợp để xác định HMTC để đảm bảo khả năng trả nợ của Khách hàng.</w:t>
      </w:r>
    </w:p>
    <w:p>
      <w:pPr>
        <w:autoSpaceDN w:val="0"/>
        <w:tabs>
          <w:tab w:pos="1988" w:val="left"/>
        </w:tabs>
        <w:autoSpaceDE w:val="0"/>
        <w:widowControl/>
        <w:spacing w:line="269" w:lineRule="auto" w:before="124" w:after="0"/>
        <w:ind w:left="1418" w:right="720" w:firstLine="0"/>
        <w:jc w:val="left"/>
      </w:pPr>
      <w:r>
        <w:t>- Thu nhập khác (TN khác): Là các khoản thu nhập thường xuyên hàng tháng ngoài Thu nhập lương (được định nghĩa ở trên), bao gồm nhưng không giới hạn các khoản thu nhập từ: Cho thuê nhà/Cho thuê xe; Đầu tư; Kinh doanh khác…</w:t>
      </w:r>
    </w:p>
    <w:p>
      <w:pPr>
        <w:autoSpaceDN w:val="0"/>
        <w:tabs>
          <w:tab w:pos="1988" w:val="left"/>
        </w:tabs>
        <w:autoSpaceDE w:val="0"/>
        <w:widowControl/>
        <w:spacing w:line="259" w:lineRule="auto" w:before="126" w:after="64"/>
        <w:ind w:left="1418" w:right="720" w:firstLine="0"/>
        <w:jc w:val="left"/>
      </w:pPr>
      <w:r>
        <w:t>- Địa bàn cho vay: Là địa bàn hành chính tỉnh/thành phố trực thuộc Trung ương cùng địa bàn với ĐVKD cho vay.</w:t>
      </w:r>
    </w:p>
    <w:p>
      <w:pPr>
        <w:spacing w:before="0" w:after="40"/>
      </w:pPr>
      <w:r>
        <w:t>3.</w:t>
      </w:r>
    </w:p>
    <w:p>
      <w:pPr>
        <w:spacing w:before="0" w:after="40"/>
      </w:pPr>
      <w:r>
        <w:t>Quy định Sản phẩm</w:t>
      </w:r>
    </w:p>
    <w:p>
      <w:pPr>
        <w:spacing w:before="0" w:after="40"/>
      </w:pPr>
      <w:r>
        <w:t>- STT: 3.1 | Nội dung: Đối tượng khách hàng | Cụ thể: h hàng là Cán bộ nhân viên của Đại học Quốc Gia TP.HCM(không ao gồm lái xe, bảo vệ, lễ tân, lao công, tạp vụ), bao gồm: -Đối với cán bộ và công chức: Có Hợp đồng lao động (HĐLĐ)/Quyết định công tác/Quyết định bổ nhiệm (hoặc các giấy tờ có giá trị tương đương) chính thức tại thời điểm vay vốn. -Đối với viên chức: Có HĐLĐ/Quyết định công tác/Quyết định bổ nhiệm (hoặc các giấy tờ có giá trị tương đương) chính thức tại thời điểm vay vốn. Có thời gian công tác chính thức từ 06 tháng trở lên tính đến thời điểm vay vốn (không tính thời gian thử việc, học việc). -Đối với CBNV còn lại: +Đang làm việc theo HĐLĐ có thời hạn từ 12 tháng trở lên và thời hạn hiệu lực còn lại của hợp đồng tối thiểu 06 tháng hoặc không xác định thời hạn. +Thời gian làm việc: Tối thiểu 06 tháng trở lên.</w:t>
      </w:r>
    </w:p>
    <w:p>
      <w:pPr>
        <w:spacing w:before="0" w:after="40"/>
      </w:pPr>
      <w:r>
        <w:t>- STT: 3.2 | Nội dung: Điều kiện khách hàng | Cụ thể: -Khách hàng đủ 18 tuổi trở lên có năng lực hành vi dân sự đầy đủ theo quy định của Pháp luật đồng thời tuổi của Khách hàng tại thời điểm kết thúc khoản vay không được vượt quá 70 tuổi. -Khách hàng thường trú/tạm trú tại Địa bàn cho vay. Việc xác nhận tình trạng cư trú của Khách hàng thực hiện theo Hướng dẫn của Ngân hàng trong từng thời kỳ.</w:t>
      </w:r>
    </w:p>
    <w:p>
      <w:pPr>
        <w:autoSpaceDN w:val="0"/>
        <w:autoSpaceDE w:val="0"/>
        <w:widowControl/>
        <w:spacing w:line="20" w:lineRule="exact" w:before="0" w:after="0"/>
        <w:ind w:left="0" w:right="0"/>
      </w:pPr>
    </w:p>
    <w:p>
      <w:pPr>
        <w:autoSpaceDN w:val="0"/>
        <w:autoSpaceDE w:val="0"/>
        <w:widowControl/>
        <w:spacing w:line="240" w:lineRule="auto" w:before="598" w:after="262"/>
        <w:ind w:left="1448" w:right="0" w:firstLine="0"/>
        <w:jc w:val="left"/>
      </w:pPr>
      <w:r>
        <w:drawing>
          <wp:inline xmlns:a="http://schemas.openxmlformats.org/drawingml/2006/main" xmlns:pic="http://schemas.openxmlformats.org/drawingml/2006/picture">
            <wp:extent cx="1352550" cy="3429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900"/>
                    </a:xfrm>
                    <a:prstGeom prst="rect"/>
                  </pic:spPr>
                </pic:pic>
              </a:graphicData>
            </a:graphic>
          </wp:inline>
        </w:drawing>
      </w:r>
    </w:p>
    <w:p>
      <w:pPr>
        <w:spacing w:before="0" w:after="40" w:line="240" w:lineRule="auto"/>
      </w:pPr>
      <w:r>
        <w:t>- -Không phát sinh nợ từ nhóm 2 trở lên và không có thẻ tín dụng chậm trả từ 10 ngày trở lên tại Ngân hàng và các TCTD khác trong vòng 06 tháng tính đến thời điểm đề nghị vay vốn. -Không thuộc đối tượng không được cho vay, hạn chế cho vay theo quy định của Ngân hàng và Pháp luật từng thời kỳ. -Hạng tín dụng: Căn cứ kết quả thẩm định thực tế, Giám đốc ĐVKD được toàn quyền quyết định cho vay dựa trên hạng tín dụng của Khách hàng theo Sản phẩm này đảm bảo khả năng trả nợ của Khách hàng.</w:t>
      </w:r>
    </w:p>
    <w:p>
      <w:pPr>
        <w:spacing w:before="0" w:after="40" w:line="240" w:lineRule="auto"/>
      </w:pPr>
      <w:r>
        <w:t>- 3.3 | Điều kiện về đơn vị công tác | -Đơn vị công tác của Khách hàng có sử dụng dịch vụ ủy thác thanh toán lương của LPBank. -Đơn vị công tác của Khách hàng ký Hợp đồng hợp tác với Ngân hàng1.</w:t>
      </w:r>
    </w:p>
    <w:p>
      <w:pPr>
        <w:spacing w:before="0" w:after="40" w:line="240" w:lineRule="auto"/>
      </w:pPr>
      <w:r>
        <w:t>- 3.4 | Phân nhóm khách hàng | -Nhóm I +Giám đốc/Phó Giám đốc Đại học quốc gia Hồ Chí Minh. +Chủ tịch/Phó Chủ tịch Hội đồng/Các chức danh tương đương của các Hội đồng. +Hiệu trưởng/Phó Hiệu trưởng/Các chức danh tương đương của các Đơn vị thành viên và các Đơn vị trực thuộc. -Nhóm II: Cấp Trưởng/Phó của các Phòng/Ban/Khoa/Bộ môn/Trung tâm/Văn phòng/Viện/Đơn vị tương đương. -Nhóm III: Các trường hợp còn lại. sách phân nhóm có thể thay đổi theo phê duyệt của Tổng Giám đốc ong từng thời kỳ.</w:t>
      </w:r>
    </w:p>
    <w:p>
      <w:pPr>
        <w:spacing w:before="0" w:after="40" w:line="240" w:lineRule="auto"/>
      </w:pPr>
      <w:r>
        <w:t>- 3.5 | Hạn mức thấu chi | ĐVKD căn cứ vào đối tượng Khách hàng, thu nhập và nhu cầu Khách hàng để xác định HMTC không TSBĐ cấp cho Khách hàng theo một trong hai phương thức sau: a. Phương thức 1: Xác định HMTC tối đa theo Chức danh - Nhóm chức danh: I | HMTC (triệu đồng): 1.000 - Nhóm chức danh: II | HMTC (triệu đồng): 700 - Nhóm chức danh: III | HMTC (triệu đồng): 200 -Đối với nhóm III khi áp dụng Phương thức 1: Khách hàng phải đáp ứng thêm điều kiện bổ sung sau: Khách hàng là Cán bộ, công chức, viên chức hoặc các Khách hàng làm việc theo Hợp đồng lao động thì thời hạn còn lại của Hợp đồng tối thiểu từ 12 tháng. b.Phương thức 2: Xác định HMTC tối đa theo số lần thu nhập lương. HMTC tối đa = Số lần cấp HMTC theo TN lương × TN lương - Nhóm chức danh: I | Số lần cấp HMTC theo TN lương: 15 - Nhóm chức danh: II | Số lần cấp HMTC theo TN lương: 12 - Nhóm chức danh: III | Số lần cấp HMTC theo TN lương: 10 -Trong mọi trường hợp số tiền cho vay tối đa không vượt quá 01 tỷ đồng. Lưu ý: Trường hợp Khách hàng có nhiều khoản cấp tín dụng không TSBĐ tại LPBank thì (Tổng HMTC tại LPBank + Dư nợ khoản vay không TSBĐ + Hạn mức thẻ tín dụng) không vượt quá hạn mức hoặc Số tiền cấp tín dụng của Sản phẩm có mức cấp tín dụng cao nhất.</w:t>
      </w:r>
    </w:p>
    <w:p>
      <w:pPr>
        <w:spacing w:before="0" w:after="40" w:line="240" w:lineRule="auto"/>
      </w:pPr>
      <w:r>
        <w:t>- 3.6 | Mục đích cấp hạn mức thấu chi | -Phục vụ các mục đích tiêu dùng và các mục đích khác hợp pháp của Khách hàng và gia đình Khách hàng phù hợp với quy định của Pháp luật và Ngân hàng. -Khách hàng chịu trách nhiệm trước pháp luật về việc sử dụng tiền vay đúng mục đích cam kết với Ngân hàng.</w:t>
      </w:r>
    </w:p>
    <w:p>
      <w:pPr>
        <w:spacing w:before="0" w:after="40" w:line="240" w:lineRule="auto"/>
      </w:pPr>
      <w:r>
        <w:t>- 3.7 | hạn duy trì HMTC | Trong mọi trường hợp, thời hạn cấp HMTC cho Khách hàng không vượt quá 01 năm, đồng thời không vượt quá thời hạn hiệu lực còn lại của HĐLĐ/Quyết định bổ nhiệm của Khách hàng.</w:t>
      </w:r>
    </w:p>
    <w:p>
      <w:pPr>
        <w:spacing w:before="0" w:after="40" w:line="240" w:lineRule="auto"/>
      </w:pPr>
      <w:r>
        <w:t>- 3.8 | Đồng tiền thấu chi và thu nợ | ồng Việt Nam (VND).</w:t>
      </w:r>
    </w:p>
    <w:p>
      <w:pPr>
        <w:spacing w:before="0" w:after="40" w:line="240" w:lineRule="auto"/>
      </w:pPr>
      <w:r>
        <w:t>- 3.9 | 3.9 kiện về hệ số trả nợ DTI) | -Hệ số DTI = Nghĩa vụ trả nợ (gồm cả nghĩa vụ trả nợ của các khoản vay hiện tại và khoản thấu chi đang đề nghị)/Tổngthu nhập của Khách hàng. -Tối đa 80%: +Nghĩa vụ trả nợ = Số tiền gốc, lãi phải trả nợ hàng tháng tại Ngân hàng và các TCTD khác (bao gồm khoản vay đang đề xuất tại Ngân hàng + 5% Tổng hạn mức thẻ tín dụng/HMTC (nếu có)). +Tổng thu nhập = TN lương + TN khác (nếu có). -Lưu ý: +Trường hợp Khách hàng có dư nợ/nghĩa vụ trả nợ tại Ngân hàng và/hoặc tại các TCTD khác mà dùng TN lương để trả nợ, trước thời điểm cấp HMTC, nếu Khách hàng cung cấp Xác nhận đã tất toán các khoản vay này tại Ngân hàng/TCTD khác đó, ĐVKD chủ động cân nhắc quyết định không tính nghĩa vụ trả nợ của khoản vay đã tất toán vào công thức tính HMTC tối đa và DTI. +Trường hợp khoản vay hiện hữu và khoản vay đang đề xuất vay tại Ngân hàng có chứng từ chứng minh thu nhập của cả vợ/chồng Khách hàng thì sẽ được dùng thêm nguồn thu nhập này để tính hệ số DTI. +ĐVKD căn cứ vào các hồ sơ liên quan đến các khoản vay của Khách hàng (như HĐTD/Khế ước nhận nợ/Sao kê tài khoản thu nợ…) để xác định nghĩa vụ trả nợ của các khoản vay này cho phù hợp. +Trường hợp ĐVKD không thu thập được hồ sơ liên quan đến các khoản vay của Khách hàng thì: ●Đối với các khoản vay trả gốc cuối kỳ: Số tiền gốc phải trả hàng tháng tính theo công thức bằng (=) Dư nợ khoản vay tại thời điểm vay vốn/Số tháng còn lại (tính từ thời điểm nộp hồ sơ vay vốn). ●Đối với các khoản vay trả góp: Số tiền gốc phải trả hàng tháng tính theo công thức bằng (=) Số tiền vay/Kỳ hạn vay. ●Tiền lãi phải trả hàng tháng: Tính theo số dư nợ và lãi suất tại thời điểm vay vốn. + Trường hợp Khách hàng có hạn mức thấu chi: Nghĩa vụ trả nợ gốc, lãi hàng tháng được xác định bằng (=) 5% nhân với (x) HMTC được cấp. +Nghĩa vụ trả nợ không bao gồm nghĩa vụ trả nợ của các khoản vay cầm cố tiền gửi, giấy tờ có giá.</w:t>
      </w:r>
    </w:p>
    <w:p>
      <w:pPr>
        <w:spacing w:before="0" w:after="40" w:line="240" w:lineRule="auto"/>
      </w:pPr>
      <w:r>
        <w:t>- 3.10 | ng thức trả nợ | -Thu nợ gốc: Nợ gốc thấu chi được tự động thu nợ khi Tài khoản thấu chi của Khách hàng phát sinh giao dịch ghi Có hoặc khi hệ thống trích nợ tự động từ Tài khoản thanh toán của Khách hàng. -Thu nợ lãi: Hàng tháng, Ngân hàng thực hiện tự động hạch toán thu nợ lãi từ Tài khoản thanh toán của Khách hàng vào ngày thu nợ được cài đặt trên hệ thống.</w:t>
      </w:r>
    </w:p>
    <w:p>
      <w:pPr>
        <w:spacing w:before="0" w:after="40" w:line="240" w:lineRule="auto"/>
      </w:pPr>
      <w:r>
        <w:t>- 3.11m | quyền quyết định ấp tín dụng | hiện theo quy định của LPBank từng thời kỳ2.</w:t>
      </w:r>
    </w:p>
    <w:p>
      <w:pPr>
        <w:spacing w:before="0" w:after="40" w:line="240" w:lineRule="auto"/>
      </w:pPr>
      <w:r>
        <w:t>- 3.12 | chỉnh HMTC | -HMTC được điều chỉnh khi: +Trong thời hạn HMTC, nếu Khách hàng có nhu cầu điều chỉnh HMTC, Khách hàng phải có văn bản đề nghị gửi Ngân hàng. Nếu được chấp thuận, HMTC mới của Khách hàng có hiệu lực kể từ thời điểm Ngân hàng có thông báo chính thức tới Khách hàng. +Ngân hàng có quyền điều chỉnh giảm HMTC khi đánh giá khả năng tài chính của Khách hàng giảm, ảnh hưởng đến khả năng trả nợ. -Việc điều chỉnh HMTC phải bảo đảm tuân thủ các điều kiện về hạn mức của Quy định này. -Quy trình thẩm định điều chỉnh HMTC được thực hiện như quy trình thẩm định một HMTC mới. -Trường hợp HMTC bị điều chỉnh giảm, Khách hàng có trách nhiệm và nghĩa vụ thanh toán số tiền vượt HMTC mới trong vòng 10 ngày kể từ ngày có thông báo chính thức từ Ngân hàng.</w:t>
      </w:r>
    </w:p>
    <w:p>
      <w:pPr>
        <w:spacing w:before="0" w:after="40" w:line="240" w:lineRule="auto"/>
      </w:pPr>
      <w:r>
        <w:t>- 3.13 | 3.13ạn, tái cấp HMTC | -Tại thời điểm hết hạn HMTC: +HMTC của Khách hàng sẽ tự động đóng vào ngày HMTC hết hiệu lực. Kể từ thời điểm đóng HMTC, mọi giao dịch của Khách hàng để ghi Nợ tài khoản sẽ không được thực hiện. +Khách hàng sẽ phải hoàn trả toàn bộ số tiền gốc thấu chi và lãi thấu chi phát sinh vào ngày cuối cùng của HMTC. Nếu ngày cuối cùng của HMTC rơi vào ngày lễ hoặc ngày không làm việc thì ngày làm việc tiếp theo là ngày cuối cùng của HMTC. -Tái cấp HMTC: Tối thiểu 15 ngày trước ngày hết hạn của HMTC, Ngân hàng gửi Thông báo cho Khách hàng về việc HMTC của Khách hàng sắp hết hạn. Tối thiểu 10 ngày trước ngày hết hạn của HMTC, nếu có nhu cầu tái cấp HMTC, Khách hàng phải có văn bản đề nghị gửi Ngân hàng. +Nếu được Ngân hàng chấp thuận tái cấp HMTC thì Khách hàng phải thanh toán toàn bộ gốc, lãi thấu chi và các khoản chi phí phát sinh (nếu có) của HMTC cũ trước khi ký HĐTD đối với HMTC mới. +Nếu không được Ngân hàng chấp thuận tái cấp HMTC thì Khách hàng phải thanh toán cho Ngân hàng toàn bộ gốc, lãi thấu chi và các khoản chi phí phát sinh (nếu có) cho Ngân hàng tại thời điểm chấm dứt HMTC.</w:t>
      </w:r>
    </w:p>
    <w:p>
      <w:pPr>
        <w:spacing w:before="0" w:after="40" w:line="240" w:lineRule="auto"/>
      </w:pPr>
      <w:r>
        <w:t>- 3.14 | ển nợ quá hạn và ử lý nợ quá hạn | -Chuyển nợ quá hạn: Thực hiện theo hướng dẫn nhập liệu Thấu chi của Ngân hàng trong từng thời kỳ. -Lãi chậm trả lãi, lãi chậm trả gốc, phí (nếu có) thực hiện theo quy định của Ngân hàng từng thời kỳ. -Xử lý nợ quá hạn: +Khách hàng nộp tiền mặt/chuyển khoản vào Tài khoản thanh toán để trả nợ khoản vay. +Hàng ngày hệ thống sẽ tự động trích tiền từ Tài khoản thanh toán để thu nợ khoản quá hạn cho đến khi khoản quá hạn hết dư nợ. +ĐVKD thực hiện thu hồi nợ quá hạn theo quy định hiện hành của Ngân hàng trong từng thời kỳ.</w:t>
      </w:r>
    </w:p>
    <w:p>
      <w:pPr>
        <w:spacing w:before="0" w:after="40" w:line="240" w:lineRule="auto"/>
      </w:pPr>
      <w:r>
        <w:t>- 3.15ơ | vay vốn | -Bản sao Căn cước công dân/Thẻ căn cước hoặc các chứng từ có giá trị pháp lý tương đương khác phù hợp với quy định của Pháp luật. -Hồ sơ, chứng từ xác định về tình trạng cư trú của Khách hàng. -Hồ sơ về vị trí công tác của Khách hàng: Bản sao3 HĐLĐ/Quyết định về tuyển dụng, bổ nhiệm/Quyết định về tuyển dụng công chức/Hợp đồng làm việc/Quyết định điều chuyển/Quyết định bổ nhiệm/Quyết định điều động/Quyết định công tác/Xác nhận của Đơn vị/Chứng từ tương đương khác phù hợp theo quy định của Pháp luật. -Giấy tờ chứng minh khả năng tài chính và nguồn trả nợ của Khách hàng, cụ thể gồm: +Bản gốc Sổ phụ/Sao kê chi tiết tài khoản lương/Bảng lương (thưởng)/trích lục bảng lương (thưởng) của đơn vị/Ảnh chụp màn hình internet banking tài khoản lương của Khách hàng4/Xác nhận của Đơn vị về mức lương (thưởng) hoặc chứng từ tương đương ghi rõ mức lương (thưởng) trong 03 tháng gần nhất tính đến thời điểm trình hồ sơ, hoặc: +Quyết định về tuyển dụng, bổ nhiệm ngạch và xếp lương/Quyết định bổ nhiệm có lương/chứng từ tương đương khác phù hợp theo quy định của Pháp luật, hồ sơ nguồn thu nhập khác, hoặc: +Bảng kê thu nhập (chỉ áp dụng khi cho vay theo Phương thức 1 tại Điểm a Khoản 3.5 Điều 3 Quy định này). -Các giấy tờ khác theo yêu cầu của Ngân hàng (nếu có).</w:t>
      </w:r>
    </w:p>
    <w:p>
      <w:pPr>
        <w:autoSpaceDN w:val="0"/>
        <w:autoSpaceDE w:val="0"/>
        <w:widowControl/>
        <w:spacing w:line="271" w:lineRule="auto" w:before="328" w:after="80"/>
        <w:ind w:left="1418" w:right="0" w:firstLine="0"/>
        <w:jc w:val="left"/>
      </w:pPr>
      <w:r>
        <w:rPr>
          <w:rFonts w:ascii="" w:hAnsi="" w:eastAsia=""/>
          <w:b w:val="0"/>
          <w:i w:val="0"/>
          <w:color w:val="000000"/>
          <w:sz w:val="12"/>
        </w:rPr>
        <w:t>1</w:t>
      </w:r>
      <w:r>
        <w:rPr>
          <w:rFonts w:ascii="" w:hAnsi="" w:eastAsia=""/>
          <w:b w:val="0"/>
          <w:i/>
          <w:color w:val="000000"/>
          <w:sz w:val="20"/>
        </w:rPr>
        <w:t>Việc ký Hợp tác có thể ký với Đại học Quốc Gia TP.HCM hoặc Đơn vị công tác của Khách hàng.</w:t>
      </w:r>
    </w:p>
    <w:p>
      <w:pPr>
        <w:autoSpaceDN w:val="0"/>
        <w:autoSpaceDE w:val="0"/>
        <w:widowControl/>
        <w:spacing w:line="14" w:lineRule="exact" w:before="0" w:after="0"/>
        <w:ind w:left="0" w:right="0"/>
      </w:pPr>
    </w:p>
    <w:p>
      <w:pPr>
        <w:autoSpaceDN w:val="0"/>
        <w:autoSpaceDE w:val="0"/>
        <w:widowControl/>
        <w:spacing w:line="240" w:lineRule="auto" w:before="598" w:after="262"/>
        <w:ind w:left="1448" w:right="0" w:firstLine="0"/>
        <w:jc w:val="left"/>
      </w:pPr>
      <w:r>
        <w:drawing>
          <wp:inline xmlns:a="http://schemas.openxmlformats.org/drawingml/2006/main" xmlns:pic="http://schemas.openxmlformats.org/drawingml/2006/picture">
            <wp:extent cx="1352550" cy="3429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900"/>
                    </a:xfrm>
                    <a:prstGeom prst="rect"/>
                  </pic:spPr>
                </pic:pic>
              </a:graphicData>
            </a:graphic>
          </wp:inline>
        </w:drawing>
      </w:r>
    </w:p>
    <w:p>
      <w:pPr>
        <w:autoSpaceDN w:val="0"/>
        <w:autoSpaceDE w:val="0"/>
        <w:widowControl/>
        <w:spacing w:line="600" w:lineRule="exact" w:before="0" w:after="0"/>
        <w:ind w:left="0" w:right="0"/>
      </w:pPr>
    </w:p>
    <w:p>
      <w:pPr>
        <w:autoSpaceDN w:val="0"/>
        <w:autoSpaceDE w:val="0"/>
        <w:widowControl/>
        <w:spacing w:line="240" w:lineRule="auto" w:before="596" w:after="264"/>
        <w:ind w:left="1448" w:right="0" w:firstLine="0"/>
        <w:jc w:val="left"/>
      </w:pPr>
      <w:r>
        <w:drawing>
          <wp:inline xmlns:a="http://schemas.openxmlformats.org/drawingml/2006/main" xmlns:pic="http://schemas.openxmlformats.org/drawingml/2006/picture">
            <wp:extent cx="1352550" cy="34289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899"/>
                    </a:xfrm>
                    <a:prstGeom prst="rect"/>
                  </pic:spPr>
                </pic:pic>
              </a:graphicData>
            </a:graphic>
          </wp:inline>
        </w:drawing>
      </w:r>
    </w:p>
    <w:p>
      <w:pPr>
        <w:autoSpaceDN w:val="0"/>
        <w:autoSpaceDE w:val="0"/>
        <w:widowControl/>
        <w:spacing w:line="264" w:lineRule="auto" w:before="438" w:after="80"/>
        <w:ind w:left="1418" w:right="1296" w:firstLine="0"/>
        <w:jc w:val="left"/>
      </w:pPr>
      <w:r>
        <w:rPr>
          <w:rFonts w:ascii="" w:hAnsi="" w:eastAsia=""/>
          <w:b w:val="0"/>
          <w:i w:val="0"/>
          <w:color w:val="000000"/>
          <w:sz w:val="12"/>
        </w:rPr>
        <w:t>2</w:t>
      </w:r>
      <w:r>
        <w:rPr>
          <w:rFonts w:ascii="" w:hAnsi="" w:eastAsia=""/>
          <w:b w:val="0"/>
          <w:i w:val="0"/>
          <w:color w:val="000000"/>
          <w:sz w:val="20"/>
        </w:rPr>
        <w:t xml:space="preserve">Hiện nay là Thông báo số 10126/2026/TB-LPBank.PGV v/v Triển khai phê duyệt cấp tín dụng tập trung đối với </w:t>
      </w:r>
      <w:r>
        <w:rPr>
          <w:rFonts w:ascii="" w:hAnsi="" w:eastAsia=""/>
          <w:b w:val="0"/>
          <w:i w:val="0"/>
          <w:color w:val="000000"/>
          <w:sz w:val="20"/>
        </w:rPr>
        <w:t>KHCN và các văn bản sửa đổi/bổ sung/thay thế (nếu có).</w:t>
      </w:r>
    </w:p>
    <w:p>
      <w:pPr>
        <w:autoSpaceDN w:val="0"/>
        <w:autoSpaceDE w:val="0"/>
        <w:widowControl/>
        <w:spacing w:line="14" w:lineRule="exact" w:before="0" w:after="0"/>
        <w:ind w:left="0" w:right="0"/>
      </w:pPr>
    </w:p>
    <w:p>
      <w:pPr>
        <w:autoSpaceDN w:val="0"/>
        <w:autoSpaceDE w:val="0"/>
        <w:widowControl/>
        <w:spacing w:line="240" w:lineRule="auto" w:before="596" w:after="264"/>
        <w:ind w:left="1448" w:right="0" w:firstLine="0"/>
        <w:jc w:val="left"/>
      </w:pPr>
      <w:r>
        <w:drawing>
          <wp:inline xmlns:a="http://schemas.openxmlformats.org/drawingml/2006/main" xmlns:pic="http://schemas.openxmlformats.org/drawingml/2006/picture">
            <wp:extent cx="1352550" cy="342899"/>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899"/>
                    </a:xfrm>
                    <a:prstGeom prst="rect"/>
                  </pic:spPr>
                </pic:pic>
              </a:graphicData>
            </a:graphic>
          </wp:inline>
        </w:drawing>
      </w:r>
    </w:p>
    <w:p>
      <w:pPr>
        <w:autoSpaceDN w:val="0"/>
        <w:autoSpaceDE w:val="0"/>
        <w:widowControl/>
        <w:spacing w:line="380" w:lineRule="exact" w:before="0" w:after="0"/>
        <w:ind w:left="0" w:right="0"/>
      </w:pPr>
    </w:p>
    <w:p>
      <w:pPr>
        <w:autoSpaceDN w:val="0"/>
        <w:autoSpaceDE w:val="0"/>
        <w:widowControl/>
        <w:spacing w:line="240" w:lineRule="auto" w:before="596" w:after="264"/>
        <w:ind w:left="1448" w:right="0" w:firstLine="0"/>
        <w:jc w:val="left"/>
      </w:pPr>
      <w:r>
        <w:drawing>
          <wp:inline xmlns:a="http://schemas.openxmlformats.org/drawingml/2006/main" xmlns:pic="http://schemas.openxmlformats.org/drawingml/2006/picture">
            <wp:extent cx="1352550" cy="342899"/>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899"/>
                    </a:xfrm>
                    <a:prstGeom prst="rect"/>
                  </pic:spPr>
                </pic:pic>
              </a:graphicData>
            </a:graphic>
          </wp:inline>
        </w:drawing>
      </w:r>
    </w:p>
    <w:p>
      <w:pPr>
        <w:autoSpaceDN w:val="0"/>
        <w:autoSpaceDE w:val="0"/>
        <w:widowControl/>
        <w:spacing w:line="245" w:lineRule="auto" w:before="1858" w:after="80"/>
        <w:ind w:left="1418" w:right="720" w:firstLine="0"/>
        <w:jc w:val="left"/>
      </w:pPr>
      <w:r>
        <w:rPr>
          <w:rFonts w:ascii="" w:hAnsi="" w:eastAsia=""/>
          <w:b w:val="0"/>
          <w:i/>
          <w:color w:val="000000"/>
          <w:sz w:val="12"/>
        </w:rPr>
        <w:t>3</w:t>
      </w:r>
      <w:r>
        <w:rPr>
          <w:rFonts w:ascii="" w:hAnsi="" w:eastAsia=""/>
          <w:b w:val="0"/>
          <w:i/>
          <w:color w:val="000000"/>
          <w:sz w:val="20"/>
        </w:rPr>
        <w:t xml:space="preserve"> Bản sao là bản sao y chứng thực hoặc bản sao được ĐVKD ký xác nhận đối chiếu với bản chính theo quy định tại Quy </w:t>
      </w:r>
      <w:r>
        <w:rPr>
          <w:rFonts w:ascii="" w:hAnsi="" w:eastAsia=""/>
          <w:b w:val="0"/>
          <w:i/>
          <w:color w:val="000000"/>
          <w:sz w:val="20"/>
        </w:rPr>
        <w:t xml:space="preserve">trình nghiệp vụ cho vay, bảo lãnh trong nước đối với Khách hàng Cá nhân hiện hành (trong đó ghi rõ ngày đối chiếu). </w:t>
      </w:r>
      <w:r>
        <w:rPr>
          <w:rFonts w:ascii="" w:hAnsi="" w:eastAsia=""/>
          <w:b w:val="0"/>
          <w:i w:val="0"/>
          <w:color w:val="000000"/>
          <w:sz w:val="12"/>
        </w:rPr>
        <w:t>4</w:t>
      </w:r>
      <w:r>
        <w:rPr>
          <w:rFonts w:ascii="" w:hAnsi="" w:eastAsia=""/>
          <w:b w:val="0"/>
          <w:i/>
          <w:color w:val="000000"/>
          <w:sz w:val="20"/>
        </w:rPr>
        <w:t>Chuyên viên Khách hàng chịu hoàn toàn trách nhiệm việc đối chiếu bản chính và kiểm tra tính xác thực của ảnh chụp</w:t>
      </w:r>
    </w:p>
    <w:p>
      <w:pPr>
        <w:autoSpaceDN w:val="0"/>
        <w:autoSpaceDE w:val="0"/>
        <w:widowControl/>
        <w:spacing w:line="14" w:lineRule="exact" w:before="0" w:after="0"/>
        <w:ind w:left="0" w:right="0"/>
      </w:pPr>
    </w:p>
    <w:p>
      <w:pPr>
        <w:autoSpaceDN w:val="0"/>
        <w:autoSpaceDE w:val="0"/>
        <w:widowControl/>
        <w:spacing w:line="240" w:lineRule="auto" w:before="596" w:after="64"/>
        <w:ind w:left="1448" w:right="0" w:firstLine="0"/>
        <w:jc w:val="left"/>
      </w:pPr>
      <w:r>
        <w:drawing>
          <wp:inline xmlns:a="http://schemas.openxmlformats.org/drawingml/2006/main" xmlns:pic="http://schemas.openxmlformats.org/drawingml/2006/picture">
            <wp:extent cx="1352550" cy="342899"/>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52550" cy="342899"/>
                    </a:xfrm>
                    <a:prstGeom prst="rect"/>
                  </pic:spPr>
                </pic:pic>
              </a:graphicData>
            </a:graphic>
          </wp:inline>
        </w:drawing>
      </w:r>
    </w:p>
    <w:p>
      <w:pPr>
        <w:autoSpaceDN w:val="0"/>
        <w:autoSpaceDE w:val="0"/>
        <w:widowControl/>
        <w:spacing w:line="14" w:lineRule="exact" w:before="0" w:after="0"/>
        <w:ind w:left="0" w:right="0"/>
      </w:pPr>
    </w:p>
    <w:sectPr w:rsidR="00FC693F" w:rsidRPr="0006063C" w:rsidSect="00034616">
      <w:pgSz w:w="11920" w:h="16840"/>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