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4"/>
        </w:rPr>
        <w:t>Erster Literaturentwurf: Einleitung und Theorieteil</w:t>
      </w:r>
    </w:p>
    <w:p>
      <w:pPr>
        <w:spacing w:after="280"/>
      </w:pPr>
      <w:r>
        <w:rPr>
          <w:color w:val="555555"/>
          <w:sz w:val="22"/>
        </w:rPr>
        <w:t>Team MAIL – Hybrid AI Agent for Dynamic Used Car Pricing | Stand: 28.06.2026</w:t>
      </w:r>
    </w:p>
    <w:p>
      <w:pPr>
        <w:pStyle w:val="Heading1"/>
      </w:pPr>
      <w:r>
        <w:t>Kurzüberblick der recherchierten Literatur</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3120"/>
            <w:shd w:fill="F2F4F7"/>
          </w:tcPr>
          <w:p>
            <w:pPr>
              <w:spacing w:after="0"/>
            </w:pPr>
            <w:r/>
            <w:r>
              <w:rPr>
                <w:b/>
                <w:sz w:val="20"/>
              </w:rPr>
              <w:t>Quelle</w:t>
            </w:r>
          </w:p>
        </w:tc>
        <w:tc>
          <w:tcPr>
            <w:tcW w:type="dxa" w:w="3120"/>
            <w:shd w:fill="F2F4F7"/>
          </w:tcPr>
          <w:p>
            <w:pPr>
              <w:spacing w:after="0"/>
            </w:pPr>
            <w:r/>
            <w:r>
              <w:rPr>
                <w:b/>
                <w:sz w:val="20"/>
              </w:rPr>
              <w:t>Kernaussage</w:t>
            </w:r>
          </w:p>
        </w:tc>
        <w:tc>
          <w:tcPr>
            <w:tcW w:type="dxa" w:w="3120"/>
            <w:shd w:fill="F2F4F7"/>
          </w:tcPr>
          <w:p>
            <w:pPr>
              <w:spacing w:after="0"/>
            </w:pPr>
            <w:r/>
            <w:r>
              <w:rPr>
                <w:b/>
                <w:sz w:val="20"/>
              </w:rPr>
              <w:t>Nutzung in der Hausarbeit</w:t>
            </w:r>
          </w:p>
        </w:tc>
      </w:tr>
      <w:tr>
        <w:tc>
          <w:tcPr>
            <w:tcW w:type="dxa" w:w="3120"/>
          </w:tcPr>
          <w:p>
            <w:pPr>
              <w:spacing w:after="0"/>
            </w:pPr>
            <w:r/>
            <w:r>
              <w:rPr>
                <w:b w:val="0"/>
                <w:sz w:val="20"/>
              </w:rPr>
              <w:t>Akerlof (1970)</w:t>
            </w:r>
          </w:p>
        </w:tc>
        <w:tc>
          <w:tcPr>
            <w:tcW w:type="dxa" w:w="3120"/>
          </w:tcPr>
          <w:p>
            <w:pPr>
              <w:spacing w:after="0"/>
            </w:pPr>
            <w:r/>
            <w:r>
              <w:rPr>
                <w:b w:val="0"/>
                <w:sz w:val="20"/>
              </w:rPr>
              <w:t>Used-car markets sind ein klassisches Beispiel für Informationsasymmetrie und Qualitätsunsicherheit.</w:t>
            </w:r>
          </w:p>
        </w:tc>
        <w:tc>
          <w:tcPr>
            <w:tcW w:type="dxa" w:w="3120"/>
          </w:tcPr>
          <w:p>
            <w:pPr>
              <w:spacing w:after="0"/>
            </w:pPr>
            <w:r/>
            <w:r>
              <w:rPr>
                <w:b w:val="0"/>
                <w:sz w:val="20"/>
              </w:rPr>
              <w:t>Motivation: Warum datenbasierte Bewertung Vertrauen und Transparenz erhöhen kann.</w:t>
            </w:r>
          </w:p>
        </w:tc>
      </w:tr>
      <w:tr>
        <w:tc>
          <w:tcPr>
            <w:tcW w:type="dxa" w:w="3120"/>
          </w:tcPr>
          <w:p>
            <w:pPr>
              <w:spacing w:after="0"/>
            </w:pPr>
            <w:r/>
            <w:r>
              <w:rPr>
                <w:b w:val="0"/>
                <w:sz w:val="20"/>
              </w:rPr>
              <w:t>Rosen (1974)</w:t>
            </w:r>
          </w:p>
        </w:tc>
        <w:tc>
          <w:tcPr>
            <w:tcW w:type="dxa" w:w="3120"/>
          </w:tcPr>
          <w:p>
            <w:pPr>
              <w:spacing w:after="0"/>
            </w:pPr>
            <w:r/>
            <w:r>
              <w:rPr>
                <w:b w:val="0"/>
                <w:sz w:val="20"/>
              </w:rPr>
              <w:t>Hedonic Pricing erklärt Preise als Bündel bewerteter Produkteigenschaften.</w:t>
            </w:r>
          </w:p>
        </w:tc>
        <w:tc>
          <w:tcPr>
            <w:tcW w:type="dxa" w:w="3120"/>
          </w:tcPr>
          <w:p>
            <w:pPr>
              <w:spacing w:after="0"/>
            </w:pPr>
            <w:r/>
            <w:r>
              <w:rPr>
                <w:b w:val="0"/>
                <w:sz w:val="20"/>
              </w:rPr>
              <w:t>Theoretische Grundlage für Fahrzeugfeatures wie Alter, Laufleistung, Zustand und Marke.</w:t>
            </w:r>
          </w:p>
        </w:tc>
      </w:tr>
      <w:tr>
        <w:tc>
          <w:tcPr>
            <w:tcW w:type="dxa" w:w="3120"/>
          </w:tcPr>
          <w:p>
            <w:pPr>
              <w:spacing w:after="0"/>
            </w:pPr>
            <w:r/>
            <w:r>
              <w:rPr>
                <w:b w:val="0"/>
                <w:sz w:val="20"/>
              </w:rPr>
              <w:t>Chen &amp; Guestrin (2016)</w:t>
            </w:r>
          </w:p>
        </w:tc>
        <w:tc>
          <w:tcPr>
            <w:tcW w:type="dxa" w:w="3120"/>
          </w:tcPr>
          <w:p>
            <w:pPr>
              <w:spacing w:after="0"/>
            </w:pPr>
            <w:r/>
            <w:r>
              <w:rPr>
                <w:b w:val="0"/>
                <w:sz w:val="20"/>
              </w:rPr>
              <w:t>XGBoost ist ein skalierbares Gradient-Boosting-System für tabellarische Daten.</w:t>
            </w:r>
          </w:p>
        </w:tc>
        <w:tc>
          <w:tcPr>
            <w:tcW w:type="dxa" w:w="3120"/>
          </w:tcPr>
          <w:p>
            <w:pPr>
              <w:spacing w:after="0"/>
            </w:pPr>
            <w:r/>
            <w:r>
              <w:rPr>
                <w:b w:val="0"/>
                <w:sz w:val="20"/>
              </w:rPr>
              <w:t>Begründung für Stage 1 V2 als starkes tabellarisches Regressionsmodell.</w:t>
            </w:r>
          </w:p>
        </w:tc>
      </w:tr>
      <w:tr>
        <w:tc>
          <w:tcPr>
            <w:tcW w:type="dxa" w:w="3120"/>
          </w:tcPr>
          <w:p>
            <w:pPr>
              <w:spacing w:after="0"/>
            </w:pPr>
            <w:r/>
            <w:r>
              <w:rPr>
                <w:b w:val="0"/>
                <w:sz w:val="20"/>
              </w:rPr>
              <w:t>Pal et al. (2017)</w:t>
            </w:r>
          </w:p>
        </w:tc>
        <w:tc>
          <w:tcPr>
            <w:tcW w:type="dxa" w:w="3120"/>
          </w:tcPr>
          <w:p>
            <w:pPr>
              <w:spacing w:after="0"/>
            </w:pPr>
            <w:r/>
            <w:r>
              <w:rPr>
                <w:b w:val="0"/>
                <w:sz w:val="20"/>
              </w:rPr>
              <w:t>Random-Forest-basierte Used-Car-Preisprognose zeigt den Nutzen überwachter Lernverfahren.</w:t>
            </w:r>
          </w:p>
        </w:tc>
        <w:tc>
          <w:tcPr>
            <w:tcW w:type="dxa" w:w="3120"/>
          </w:tcPr>
          <w:p>
            <w:pPr>
              <w:spacing w:after="0"/>
            </w:pPr>
            <w:r/>
            <w:r>
              <w:rPr>
                <w:b w:val="0"/>
                <w:sz w:val="20"/>
              </w:rPr>
              <w:t>Einordnung unseres ML-Ansatzes in bestehende Used-Car-Pricing-Literatur.</w:t>
            </w:r>
          </w:p>
        </w:tc>
      </w:tr>
      <w:tr>
        <w:tc>
          <w:tcPr>
            <w:tcW w:type="dxa" w:w="3120"/>
          </w:tcPr>
          <w:p>
            <w:pPr>
              <w:spacing w:after="0"/>
            </w:pPr>
            <w:r/>
            <w:r>
              <w:rPr>
                <w:b w:val="0"/>
                <w:sz w:val="20"/>
              </w:rPr>
              <w:t>Madhusudhanan et al. (2024)</w:t>
            </w:r>
          </w:p>
        </w:tc>
        <w:tc>
          <w:tcPr>
            <w:tcW w:type="dxa" w:w="3120"/>
          </w:tcPr>
          <w:p>
            <w:pPr>
              <w:spacing w:after="0"/>
            </w:pPr>
            <w:r/>
            <w:r>
              <w:rPr>
                <w:b w:val="0"/>
                <w:sz w:val="20"/>
              </w:rPr>
              <w:t>Neuere Used-Car-Pricing-Forschung betont Unsicherheit und vertrauenswürdige Prognosen.</w:t>
            </w:r>
          </w:p>
        </w:tc>
        <w:tc>
          <w:tcPr>
            <w:tcW w:type="dxa" w:w="3120"/>
          </w:tcPr>
          <w:p>
            <w:pPr>
              <w:spacing w:after="0"/>
            </w:pPr>
            <w:r/>
            <w:r>
              <w:rPr>
                <w:b w:val="0"/>
                <w:sz w:val="20"/>
              </w:rPr>
              <w:t>Argument für transparente Fehlerkennzahlen und vorsichtige Interpretierbarkeit.</w:t>
            </w:r>
          </w:p>
        </w:tc>
      </w:tr>
      <w:tr>
        <w:tc>
          <w:tcPr>
            <w:tcW w:type="dxa" w:w="3120"/>
          </w:tcPr>
          <w:p>
            <w:pPr>
              <w:spacing w:after="0"/>
            </w:pPr>
            <w:r/>
            <w:r>
              <w:rPr>
                <w:b w:val="0"/>
                <w:sz w:val="20"/>
              </w:rPr>
              <w:t>BLS / FRED</w:t>
            </w:r>
          </w:p>
        </w:tc>
        <w:tc>
          <w:tcPr>
            <w:tcW w:type="dxa" w:w="3120"/>
          </w:tcPr>
          <w:p>
            <w:pPr>
              <w:spacing w:after="0"/>
            </w:pPr>
            <w:r/>
            <w:r>
              <w:rPr>
                <w:b w:val="0"/>
                <w:sz w:val="20"/>
              </w:rPr>
              <w:t>Used Cars and Trucks CPI misst Preisentwicklung gebrauchter Fahrzeuge als offiziellen Index.</w:t>
            </w:r>
          </w:p>
        </w:tc>
        <w:tc>
          <w:tcPr>
            <w:tcW w:type="dxa" w:w="3120"/>
          </w:tcPr>
          <w:p>
            <w:pPr>
              <w:spacing w:after="0"/>
            </w:pPr>
            <w:r/>
            <w:r>
              <w:rPr>
                <w:b w:val="0"/>
                <w:sz w:val="20"/>
              </w:rPr>
              <w:t>Theoretische und datenbezogene Begründung für Stage 2.</w:t>
            </w:r>
          </w:p>
        </w:tc>
      </w:tr>
    </w:tbl>
    <w:p>
      <w:pPr>
        <w:pStyle w:val="Heading1"/>
      </w:pPr>
      <w:r>
        <w:t>1. Erster Einleitungsversuch</w:t>
      </w:r>
    </w:p>
    <w:p>
      <w:pPr>
        <w:jc w:val="left"/>
      </w:pPr>
      <w:r>
        <w:t>Der Markt für Gebrauchtwagen ist durch eine Kombination aus hoher wirtschaftlicher Relevanz, starker Produktheterogenität und ausgeprägter Informationsasymmetrie geprägt. Bereits Akerlof (1970) nutzte den Gebrauchtwagenmarkt als zentrales Beispiel, um zu zeigen, wie Qualitätsunsicherheit zwischen Verkäufern und Käufern zu ineffizienten Marktmechanismen führen kann. Für Käufer ist der tatsächliche Zustand eines Fahrzeugs vor dem Kauf häufig nur unvollständig beobachtbar; für Verkäufer besteht gleichzeitig ein Anreiz, Fahrzeuge möglichst wertstabil darzustellen. Vor diesem Hintergrund gewinnen datenbasierte Bewertungsmodelle an Bedeutung, weil sie beobachtbare Fahrzeugmerkmale systematisch in eine transparente Preisindikation übersetzen können.</w:t>
      </w:r>
    </w:p>
    <w:p>
      <w:pPr>
        <w:jc w:val="left"/>
      </w:pPr>
      <w:r>
        <w:t>Klassische Bewertungslogiken folgen dabei häufig einer hedonischen Perspektive: Der Preis eines Gutes ergibt sich nicht nur aus dem Gut als Ganzem, sondern aus einem Bündel einzelner Eigenschaften. Rosen (1974) beschreibt diesen Zusammenhang als Markt für implizite Preise, bei dem Produkteigenschaften wie Qualität, Ausstattung oder technische Merkmale in den beobachtbaren Marktpreis einfließen. Für Fahrzeuge bedeutet dies, dass Merkmale wie Marke, Modell, Fahrzeugalter, Laufleistung, Zustand, Karosserieform oder Ausstattung nicht isoliert betrachtet werden sollten, sondern gemeinsam den erwartbaren Wert bestimmen.</w:t>
      </w:r>
    </w:p>
    <w:p>
      <w:pPr>
        <w:jc w:val="left"/>
      </w:pPr>
      <w:r>
        <w:t>Gleichzeitig reichen rein fahrzeugbezogene Merkmale nicht aus, um dynamische Gebrauchtwagenpreise vollständig zu erklären. Der US-Gebrauchtwagenmarkt unterliegt makroökonomischen Preisbewegungen, die sich unter anderem im Consumer Price Index für Used Cars and Trucks abbilden lassen. Die U.S. Bureau of Labor Statistics (n.d.) beschreibt diesen Index als Teil des Consumer Price Index, der gebrauchte Fahrzeuge im Alter von zwei bis sieben Jahren umfasst. Über FRED wird dieser Index als monatliche Zeitreihe bereitgestellt (U.S. Bureau of Labor Statistics, 2026). Ein praxistaugliches Preissystem muss daher sowohl den fahrzeugspezifischen Basiswert als auch das aktuelle Marktpreisniveau berücksichtigen.</w:t>
      </w:r>
    </w:p>
    <w:p>
      <w:pPr>
        <w:jc w:val="left"/>
      </w:pPr>
      <w:r>
        <w:t>Die vorliegende Arbeit entwickelt deshalb einen hybriden AI Agent zur dynamischen Gebrauchtwagenpreisgestaltung. Das System kombiniert ein maschinelles Lernmodell für den fahrzeugbezogenen Basiswert mit einer makroökonomischen CPI-Anpassung und einer saisonalen Feinkorrektur. Stage 1 schätzt den zeitneutralen Fahrzeugwert auf Basis tabellarischer Fahrzeugmerkmale. Stage 2 aktualisiert diesen Wert über einen CPI-Multiplikator auf das gewünschte Marktpreisniveau. Stage 3 ergänzt schließlich eine vorsichtige Saisonalitätsregel nach Karosserieform und Monat. Damit verbindet der Ansatz die Prognosekraft moderner Machine-Learning-Verfahren mit der Interpretierbarkeit regelbasierter ökonomischer Korrekturen.</w:t>
      </w:r>
    </w:p>
    <w:p>
      <w:pPr>
        <w:jc w:val="left"/>
      </w:pPr>
      <w:r>
        <w:t>Der Beitrag der Arbeit liegt in einer reproduzierbaren Drei-Stufen-Architektur für dynamische Fahrzeugbewertung. Insbesondere zeigt das Projekt, dass ein verbessertes Stage-1-Modell auf Basis eines XGBoost-Ensembles den mittleren absoluten Fehler gegenüber dem ursprünglichen Modell deutlich reduzieren kann. Dieser Genauigkeitsgewinn ist jedoch klar von Stage 3 zu trennen: Die große Modellverbesserung gehört zum Fahrzeugwertmodell in Stage 1, während Stage 3 ausschließlich eine kleine, konservative Saisonkorrektur darstellt. Diese Trennung ist zentral, um die Ergebnisse methodisch korrekt zu interpretieren.</w:t>
      </w:r>
    </w:p>
    <w:p>
      <w:pPr>
        <w:pStyle w:val="Heading1"/>
      </w:pPr>
      <w:r>
        <w:t>2. Erster Theorieteil</w:t>
      </w:r>
    </w:p>
    <w:p>
      <w:pPr>
        <w:pStyle w:val="Heading2"/>
      </w:pPr>
      <w:r>
        <w:t>2.1 Informationsasymmetrie im Gebrauchtwagenmarkt</w:t>
      </w:r>
    </w:p>
    <w:p>
      <w:pPr>
        <w:jc w:val="left"/>
      </w:pPr>
      <w:r>
        <w:t>Der Gebrauchtwagenmarkt ist ein klassisches Beispiel für asymmetrische Information. Verkäufer kennen die Historie, Pflege und mögliche verborgene Mängel eines Fahrzeugs häufig besser als potenzielle Käufer. Akerlof (1970) zeigt am Beispiel sogenannter „lemons“, dass solche Informationsvorteile zu adverser Selektion führen können: Wenn Käufer die tatsächliche Qualität nicht zuverlässig erkennen, orientieren sie sich am erwarteten Durchschnitt. Dadurch kann der Marktpreis für hochwertige Fahrzeuge zu niedrig werden, während minderwertige Fahrzeuge relativ attraktiv zu verkaufen sind. Datenbasierte Preismodelle können dieses Problem nicht vollständig lösen, aber sie reduzieren Unsicherheit, indem sie beobachtbare Eigenschaften konsistent und nachvollziehbar bewerten.</w:t>
      </w:r>
    </w:p>
    <w:p>
      <w:pPr>
        <w:pStyle w:val="Heading2"/>
      </w:pPr>
      <w:r>
        <w:t>2.2 Hedonic Pricing als Grundlage der Fahrzeugbewertung</w:t>
      </w:r>
    </w:p>
    <w:p>
      <w:pPr>
        <w:jc w:val="left"/>
      </w:pPr>
      <w:r>
        <w:t>Die hedonische Preistheorie bildet eine zentrale theoretische Grundlage für tabellarische Fahrzeugbewertung. Nach Rosen (1974) spiegeln Marktpreise die impliziten Werte einzelner Produktattribute wider. Ein Fahrzeugpreis kann daher als Ergebnis mehrerer Merkmalsbeiträge verstanden werden, etwa Fahrzeugalter, Laufleistung, Zustand, Marke, Modell oder Ausstattung. Dieser Gedanke passt unmittelbar zu Stage 1 des Projekts: Das Modell versucht, aus beobachtbaren Fahrzeugeigenschaften einen Basiswert zu schätzen. Moderne Machine-Learning-Verfahren erweitern diese Logik, indem sie nichtlineare Zusammenhänge und Interaktionen zwischen Merkmalen abbilden können.</w:t>
      </w:r>
    </w:p>
    <w:p>
      <w:pPr>
        <w:pStyle w:val="Heading2"/>
      </w:pPr>
      <w:r>
        <w:t>2.3 Machine Learning für Used-Car-Pricing</w:t>
      </w:r>
    </w:p>
    <w:p>
      <w:pPr>
        <w:jc w:val="left"/>
      </w:pPr>
      <w:r>
        <w:t>Used-Car-Pricing ist ein typisches Regressionsproblem auf tabellarischen Daten. Frühere Arbeiten zeigen, dass überwachte Lernverfahren wie Random Forests für die Preisprognose gebrauchter Fahrzeuge eingesetzt werden können (Pal et al., 2017). Neuere Forschung betrachtet darüber hinaus probabilistische Ansätze, um nicht nur Punktpreise, sondern auch Prognoseunsicherheit abzubilden (Madhusudhanan et al., 2024). Für das vorliegende Projekt ist insbesondere Gradient Boosting relevant. Chen und Guestrin (2016) beschreiben XGBoost als skalierbares Tree-Boosting-System, das sich für große tabellarische Datensätze eignet und in vielen Machine-Learning-Anwendungen starke Ergebnisse erzielt. Das Stage-1-V2-Modell knüpft an diese Literatur an, indem es ein XGBoost-Ensemble zur Schätzung des fahrzeugbezogenen Basispreises verwendet.</w:t>
      </w:r>
    </w:p>
    <w:p>
      <w:pPr>
        <w:pStyle w:val="Heading2"/>
      </w:pPr>
      <w:r>
        <w:t>2.4 Makroökonomische Preisindizes und CPI-Anpassung</w:t>
      </w:r>
    </w:p>
    <w:p>
      <w:pPr>
        <w:jc w:val="left"/>
      </w:pPr>
      <w:r>
        <w:t>Während Stage 1 den relativen Fahrzeugwert aus Merkmalen ableitet, adressiert Stage 2 die Veränderung des allgemeinen Marktpreisniveaus. Der Consumer Price Index für Used Cars and Trucks ist hierfür ein geeigneter externer Indikator, weil er die Preisentwicklung gebrauchter Fahrzeuge in den USA als offizielle Zeitreihe abbildet. Die BLS-Factsheet-Beschreibung grenzt den Index auf gebrauchte Fahrzeuge im Alter von zwei bis sieben Jahren ein und erläutert seine Einbettung in den Consumer Price Index (U.S. Bureau of Labor Statistics, n.d.). Über FRED steht die Reihe als monatliche, saisonbereinigte Indexreihe zur Verfügung (U.S. Bureau of Labor Statistics, 2026). Methodisch wird Stage 2 daher als Multiplikator modelliert: Ein zeitneutraler Stage-1-Basiswert wird auf das Preisniveau eines gewählten Zielmonats skaliert.</w:t>
      </w:r>
    </w:p>
    <w:p>
      <w:pPr>
        <w:pStyle w:val="Heading2"/>
      </w:pPr>
      <w:r>
        <w:t>2.5 Saisonalität und regelbasierte Korrekturen</w:t>
      </w:r>
    </w:p>
    <w:p>
      <w:pPr>
        <w:jc w:val="left"/>
      </w:pPr>
      <w:r>
        <w:t>Neben langfristigen Marktpreisbewegungen können auch saisonale Nachfrageeffekte eine Rolle spielen. Für Fahrzeuge ist plausibel, dass bestimmte Karosserieformen in einzelnen Monaten stärker oder schwächer nachgefragt werden, beispielsweise Cabriolets in wärmeren Monaten oder SUVs in Phasen erhöhter Wintervorbereitung. Aus methodischer Sicht ist jedoch entscheidend, solche Effekte nicht aus rohen Monatsdurchschnitten abzuleiten, weil sich der Fahrzeugmix zwischen Monaten unterscheiden kann. Stage 3 nutzt deshalb keine neue Black-Box-Modellierung, sondern berechnet konservative Saisonfaktoren aus CPI-normalisierten und fahrzeugmixbereinigten Modellabweichungen. Dadurch bleibt die Saisonalitätslogik interpretierbar und wird klar von der eigentlichen Fahrzeugwertschätzung getrennt.</w:t>
      </w:r>
    </w:p>
    <w:p>
      <w:pPr>
        <w:pStyle w:val="Heading2"/>
      </w:pPr>
      <w:r>
        <w:t>2.6 Hybride AI-Agent-Architektur</w:t>
      </w:r>
    </w:p>
    <w:p>
      <w:pPr>
        <w:jc w:val="left"/>
      </w:pPr>
      <w:r>
        <w:t>Die Kombination aus Machine Learning, ökonomischem Index und regelbasierter Saisonalität entspricht einer hybriden Agentenarchitektur. Ein rein datengetriebenes End-to-End-Modell könnte zwar alle verfügbaren Informationen gemeinsam verarbeiten, wäre aber schwerer zu interpretieren und könnte Markt-, Fahrzeug- und Saisonanteile vermischen. Die dreistufige Architektur trennt diese Ebenen bewusst: Stage 1 erklärt den Fahrzeugwert, Stage 2 das Marktpreisniveau und Stage 3 die saisonale Feinkorrektur. Für eine wissenschaftliche Arbeit ist diese Trennung besonders hilfreich, weil jede Komponente separat begründet, getestet und kritisch diskutiert werden kann.</w:t>
      </w:r>
    </w:p>
    <w:tbl>
      <w:tblPr>
        <w:tblW w:type="auto" w:w="0"/>
        <w:jc w:val="left"/>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shd w:fill="FFF7E6"/>
          </w:tcPr>
          <w:p>
            <w:pPr>
              <w:spacing w:after="40"/>
            </w:pPr>
            <w:r>
              <w:rPr>
                <w:b/>
                <w:color w:val="7A5A00"/>
              </w:rPr>
              <w:t>Methodischer Prüfhinweis für das Team</w:t>
            </w:r>
          </w:p>
          <w:p>
            <w:pPr>
              <w:spacing w:after="0"/>
            </w:pPr>
            <w:r>
              <w:t>Bei der Literatur- und Datenprüfung fiel auf: FRED führt „Used Cars and Trucks“ unter CUSR0000SETA02. CUSR0000SETA01 ist auf FRED „New Vehicles“. Bitte vor finaler Paper-Abgabe prüfen, ob Code, Dokumentation und Paper denselben korrekten CPI-Series-Code verwenden.</w:t>
            </w:r>
          </w:p>
        </w:tc>
      </w:tr>
    </w:tbl>
    <w:p/>
    <w:p>
      <w:pPr>
        <w:pStyle w:val="Heading1"/>
      </w:pPr>
      <w:r>
        <w:t>Literaturverzeichnis nach APA 7</w:t>
      </w:r>
    </w:p>
    <w:p>
      <w:pPr>
        <w:ind w:left="720" w:hanging="720"/>
      </w:pPr>
      <w:r>
        <w:t>Akerlof, G. A. (1970). The market for “lemons”: Quality uncertainty and the market mechanism. The Quarterly Journal of Economics, 84(3), 488–500. https://doi.org/10.2307/1879431</w:t>
      </w:r>
    </w:p>
    <w:p>
      <w:pPr>
        <w:ind w:left="720" w:hanging="720"/>
      </w:pPr>
      <w:r>
        <w:t>Chen, T., &amp; Guestrin, C. (2016). XGBoost: A scalable tree boosting system. In Proceedings of the 22nd ACM SIGKDD International Conference on Knowledge Discovery and Data Mining (pp. 785–794). Association for Computing Machinery. https://doi.org/10.1145/2939672.2939785</w:t>
      </w:r>
    </w:p>
    <w:p>
      <w:pPr>
        <w:ind w:left="720" w:hanging="720"/>
      </w:pPr>
      <w:r>
        <w:t>Madhusudhanan, K., Behrens, G., Stubbemann, M., &amp; Schmidt-Thieme, L. (2024). ProbSAINT: Probabilistic tabular regression for used car pricing. arXiv. https://arxiv.org/abs/2403.03812</w:t>
      </w:r>
    </w:p>
    <w:p>
      <w:pPr>
        <w:ind w:left="720" w:hanging="720"/>
      </w:pPr>
      <w:r>
        <w:t>Pal, N., Arora, P., Sundararaman, D., Kohli, P., &amp; Palakurthy, S. S. (2017). How much is my car worth? A methodology for predicting used cars prices using Random Forest. arXiv. https://arxiv.org/abs/1711.06970</w:t>
      </w:r>
    </w:p>
    <w:p>
      <w:pPr>
        <w:ind w:left="720" w:hanging="720"/>
      </w:pPr>
      <w:r>
        <w:t>Rosen, S. (1974). Hedonic prices and implicit markets: Product differentiation in pure competition. Journal of Political Economy, 82(1), 34–55. https://doi.org/10.1086/260169</w:t>
      </w:r>
    </w:p>
    <w:p>
      <w:pPr>
        <w:ind w:left="720" w:hanging="720"/>
      </w:pPr>
      <w:r>
        <w:t>U.S. Bureau of Labor Statistics. (n.d.). Measuring price change in the CPI: Used cars and trucks. U.S. Department of Labor. https://www.bls.gov/cpi/factsheets/used-cars-and-trucks.htm</w:t>
      </w:r>
    </w:p>
    <w:p>
      <w:pPr>
        <w:ind w:left="720" w:hanging="720"/>
      </w:pPr>
      <w:r>
        <w:t>U.S. Bureau of Labor Statistics. (2026). Consumer Price Index for All Urban Consumers: Used Cars and Trucks in U.S. City Average [CUSR0000SETA02]. FRED, Federal Reserve Bank of St. Louis. https://fred.stlouisfed.org/series/CUSR0000SETA02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Team MAIL – Literaturentwurf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