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35DA" w14:textId="77777777" w:rsidR="00D1721A" w:rsidRPr="004F15ED" w:rsidRDefault="00D1721A" w:rsidP="00D1721A">
      <w:pPr>
        <w:jc w:val="center"/>
        <w:rPr>
          <w:b/>
          <w:bCs/>
          <w:sz w:val="28"/>
          <w:szCs w:val="28"/>
        </w:rPr>
      </w:pPr>
      <w:r w:rsidRPr="004F15ED">
        <w:rPr>
          <w:b/>
          <w:bCs/>
          <w:sz w:val="28"/>
          <w:szCs w:val="28"/>
        </w:rPr>
        <w:t>EECS 4080 SU26</w:t>
      </w:r>
    </w:p>
    <w:p w14:paraId="292AB9AC" w14:textId="77777777" w:rsidR="00D1721A" w:rsidRPr="004F15ED" w:rsidRDefault="00D1721A" w:rsidP="00D1721A">
      <w:pPr>
        <w:jc w:val="center"/>
        <w:rPr>
          <w:i/>
          <w:iCs/>
          <w:u w:val="single"/>
        </w:rPr>
      </w:pPr>
      <w:r w:rsidRPr="004F15ED">
        <w:rPr>
          <w:i/>
          <w:iCs/>
          <w:u w:val="single"/>
        </w:rPr>
        <w:t>Project title: Detecting direct prompt injection attacks in LLM applications</w:t>
      </w:r>
    </w:p>
    <w:p w14:paraId="6721CE47" w14:textId="77777777" w:rsidR="00D1721A" w:rsidRDefault="00D1721A" w:rsidP="00D1721A">
      <w:pPr>
        <w:jc w:val="center"/>
      </w:pPr>
      <w:r>
        <w:t xml:space="preserve">Supervisor: Professor </w:t>
      </w:r>
      <w:proofErr w:type="spellStart"/>
      <w:r>
        <w:t>Sukhwant</w:t>
      </w:r>
      <w:proofErr w:type="spellEnd"/>
      <w:r>
        <w:t xml:space="preserve"> Kaur Sagar</w:t>
      </w:r>
    </w:p>
    <w:p w14:paraId="16F36EFC" w14:textId="77777777" w:rsidR="00D1721A" w:rsidRDefault="00D1721A" w:rsidP="00D1721A">
      <w:pPr>
        <w:jc w:val="center"/>
      </w:pPr>
      <w:r>
        <w:t xml:space="preserve">Student: Thien Nguyen </w:t>
      </w:r>
    </w:p>
    <w:p w14:paraId="13F57053" w14:textId="0AEE0EEF" w:rsidR="00D1721A" w:rsidRPr="00233AAC" w:rsidRDefault="00D1721A" w:rsidP="00D1721A">
      <w:pPr>
        <w:jc w:val="center"/>
        <w:rPr>
          <w:b/>
          <w:bCs/>
        </w:rPr>
      </w:pPr>
      <w:r>
        <w:rPr>
          <w:b/>
          <w:bCs/>
        </w:rPr>
        <w:t>Midterm progress report</w:t>
      </w:r>
    </w:p>
    <w:p w14:paraId="12378458" w14:textId="77777777" w:rsidR="005C71B8" w:rsidRDefault="005C71B8"/>
    <w:p w14:paraId="77EDFDDD" w14:textId="77777777" w:rsidR="00D1721A" w:rsidRDefault="00D1721A"/>
    <w:p w14:paraId="0D1988AD" w14:textId="77777777" w:rsidR="00D1721A" w:rsidRPr="00D1721A" w:rsidRDefault="00D1721A" w:rsidP="00D1721A">
      <w:pPr>
        <w:rPr>
          <w:b/>
          <w:bCs/>
        </w:rPr>
      </w:pPr>
      <w:r w:rsidRPr="00D1721A">
        <w:rPr>
          <w:b/>
          <w:bCs/>
        </w:rPr>
        <w:t>1. Project Overview &amp; Threat Model</w:t>
      </w:r>
    </w:p>
    <w:p w14:paraId="279D0D7F" w14:textId="48EF8C1D" w:rsidR="00D1721A" w:rsidRPr="00D1721A" w:rsidRDefault="00D1721A" w:rsidP="00D1721A">
      <w:r w:rsidRPr="00D1721A">
        <w:t>Large Language Models (LLMs) integrat</w:t>
      </w:r>
      <w:r>
        <w:t>ion</w:t>
      </w:r>
      <w:r w:rsidRPr="00D1721A">
        <w:t xml:space="preserve"> into application workflows are vulnerable to direct prompt injections, </w:t>
      </w:r>
      <w:proofErr w:type="gramStart"/>
      <w:r w:rsidRPr="00D1721A">
        <w:t>where</w:t>
      </w:r>
      <w:proofErr w:type="gramEnd"/>
      <w:r w:rsidRPr="00D1721A">
        <w:t xml:space="preserve"> attackers craft adversarial inputs to bypass safety constraints, leak data, or hijack goals. Because LLMs process text without rigid boundaries between system instructions and user inputs, detecting these attacks requires moving beyond static heuristic filters.</w:t>
      </w:r>
    </w:p>
    <w:p w14:paraId="4F1B80E6" w14:textId="012F6CAC" w:rsidR="00D1721A" w:rsidRPr="00D1721A" w:rsidRDefault="00D1721A" w:rsidP="00D1721A"/>
    <w:p w14:paraId="6D2CE77F" w14:textId="16FBD530" w:rsidR="00D1721A" w:rsidRPr="00D1721A" w:rsidRDefault="00D1721A" w:rsidP="00D1721A">
      <w:r w:rsidRPr="00D1721A">
        <w:t xml:space="preserve">This project focuses on designing, training, and benchmarking a local, low-latency machine learning detection framework using </w:t>
      </w:r>
      <w:r>
        <w:t xml:space="preserve">a customized, fine-tuned </w:t>
      </w:r>
      <w:r w:rsidRPr="00D1721A">
        <w:t xml:space="preserve">DistilBERT to intercept these attacks at the text ingestion layer. Evaluation relies heavily on the F1 score (the harmonic </w:t>
      </w:r>
      <w:proofErr w:type="gramStart"/>
      <w:r w:rsidRPr="00D1721A">
        <w:t>mean</w:t>
      </w:r>
      <w:proofErr w:type="gramEnd"/>
      <w:r w:rsidRPr="00D1721A">
        <w:t xml:space="preserve"> of precision and recall) to measure overall detection balance, and the False Positive Rate (FPR) to evaluate the operational viability of the model.</w:t>
      </w:r>
    </w:p>
    <w:p w14:paraId="6EB9DB36" w14:textId="3983E438" w:rsidR="00D1721A" w:rsidRPr="00D1721A" w:rsidRDefault="00D1721A" w:rsidP="00D1721A"/>
    <w:p w14:paraId="6B1B8BFE" w14:textId="77777777" w:rsidR="00D1721A" w:rsidRPr="00D1721A" w:rsidRDefault="00D1721A" w:rsidP="00D1721A">
      <w:pPr>
        <w:rPr>
          <w:b/>
          <w:bCs/>
        </w:rPr>
      </w:pPr>
      <w:r w:rsidRPr="00D1721A">
        <w:rPr>
          <w:b/>
          <w:bCs/>
        </w:rPr>
        <w:t>2. Milestone 2a: Data Lock &amp; Exploration</w:t>
      </w:r>
    </w:p>
    <w:p w14:paraId="1AD68656" w14:textId="77777777" w:rsidR="00D1721A" w:rsidRPr="00D1721A" w:rsidRDefault="00D1721A" w:rsidP="00D1721A">
      <w:r w:rsidRPr="00D1721A">
        <w:t>To ensure strict scientific integrity during the training phase, the foundational dataset was systematically prepared and frozen:</w:t>
      </w:r>
    </w:p>
    <w:p w14:paraId="32EC5CD9" w14:textId="4884C84A" w:rsidR="00D1721A" w:rsidRPr="00D1721A" w:rsidRDefault="00D1721A" w:rsidP="00D1721A">
      <w:pPr>
        <w:numPr>
          <w:ilvl w:val="0"/>
          <w:numId w:val="1"/>
        </w:numPr>
      </w:pPr>
      <w:r w:rsidRPr="00D1721A">
        <w:rPr>
          <w:b/>
          <w:bCs/>
        </w:rPr>
        <w:t>Data Splits:</w:t>
      </w:r>
      <w:r w:rsidRPr="00D1721A">
        <w:t> The dataset was separated into a three-way stratified split</w:t>
      </w:r>
      <w:r w:rsidR="00BE68D4">
        <w:t xml:space="preserve"> to ensure all distinct classes are proportionally represented in all resulting subsets</w:t>
      </w:r>
      <w:r w:rsidRPr="00D1721A">
        <w:t>: 64% for training, 16% for validation, and 20% for testing.</w:t>
      </w:r>
    </w:p>
    <w:p w14:paraId="30B2AEE0" w14:textId="66F1E76B" w:rsidR="00D1721A" w:rsidRPr="00D1721A" w:rsidRDefault="00D1721A" w:rsidP="00D1721A"/>
    <w:p w14:paraId="51EB8A23" w14:textId="0D6C4DD2" w:rsidR="00D1721A" w:rsidRPr="00D1721A" w:rsidRDefault="00D1721A" w:rsidP="00D1721A">
      <w:pPr>
        <w:numPr>
          <w:ilvl w:val="0"/>
          <w:numId w:val="1"/>
        </w:numPr>
      </w:pPr>
      <w:r w:rsidRPr="00D1721A">
        <w:rPr>
          <w:b/>
          <w:bCs/>
        </w:rPr>
        <w:t>Exploratory Data Analysis (EDA):</w:t>
      </w:r>
      <w:r w:rsidRPr="00D1721A">
        <w:t> Keyword-based heuristic tagging mapped the distribution of attack sub-types. This revealed that the training set is heavily dominated by complex adversarial techniques, particularly Spoofing/Roleplay (57.6%)</w:t>
      </w:r>
      <w:r w:rsidR="00BE68D4">
        <w:t xml:space="preserve">, </w:t>
      </w:r>
      <w:r w:rsidRPr="00D1721A">
        <w:t>Tampering/Override (14.8%) attacks</w:t>
      </w:r>
      <w:r w:rsidR="00BE68D4">
        <w:t>, and Cross-lingual Override (2.1%) attacks</w:t>
      </w:r>
      <w:r w:rsidRPr="00D1721A">
        <w:t>.</w:t>
      </w:r>
    </w:p>
    <w:p w14:paraId="541F347C" w14:textId="27E32B88" w:rsidR="00D1721A" w:rsidRPr="00D1721A" w:rsidRDefault="00D1721A" w:rsidP="00D1721A"/>
    <w:p w14:paraId="4C2D55BC" w14:textId="77777777" w:rsidR="00D1721A" w:rsidRPr="00D1721A" w:rsidRDefault="00D1721A" w:rsidP="00D1721A">
      <w:pPr>
        <w:rPr>
          <w:b/>
          <w:bCs/>
        </w:rPr>
      </w:pPr>
      <w:r w:rsidRPr="00D1721A">
        <w:rPr>
          <w:b/>
          <w:bCs/>
        </w:rPr>
        <w:t>3. Milestone 2b: Baseline Evaluation</w:t>
      </w:r>
    </w:p>
    <w:p w14:paraId="023EDB3A" w14:textId="2E79136D" w:rsidR="00D1721A" w:rsidRPr="00D1721A" w:rsidRDefault="00D1721A" w:rsidP="00D1721A">
      <w:r w:rsidRPr="00D1721A">
        <w:t>To establish a performance benchmark, an</w:t>
      </w:r>
      <w:r w:rsidR="00BE68D4">
        <w:t xml:space="preserve"> off-the-shelf</w:t>
      </w:r>
      <w:r w:rsidRPr="00D1721A">
        <w:t xml:space="preserve"> industry-standard ProtectAI DeBERTa-v3 prompt injection classifier was evaluated against the frozen test set.</w:t>
      </w:r>
    </w:p>
    <w:p w14:paraId="406CEFF3" w14:textId="5A84E34A" w:rsidR="00D1721A" w:rsidRPr="00D1721A" w:rsidRDefault="00D1721A" w:rsidP="00D1721A"/>
    <w:p w14:paraId="1F6E5E0D" w14:textId="0B43BEB5" w:rsidR="00D1721A" w:rsidRPr="00D1721A" w:rsidRDefault="00D1721A" w:rsidP="00D1721A">
      <w:pPr>
        <w:numPr>
          <w:ilvl w:val="0"/>
          <w:numId w:val="2"/>
        </w:numPr>
      </w:pPr>
      <w:r w:rsidRPr="00D1721A">
        <w:rPr>
          <w:b/>
          <w:bCs/>
        </w:rPr>
        <w:t>Performance:</w:t>
      </w:r>
      <w:r w:rsidRPr="00D1721A">
        <w:t> The baseline achieved an F1 score of 66.05% and an accuracy of 73.37%.</w:t>
      </w:r>
    </w:p>
    <w:p w14:paraId="670D12B7" w14:textId="6524B1CE" w:rsidR="00D1721A" w:rsidRPr="00D1721A" w:rsidRDefault="00D1721A" w:rsidP="00D1721A">
      <w:pPr>
        <w:numPr>
          <w:ilvl w:val="0"/>
          <w:numId w:val="2"/>
        </w:numPr>
      </w:pPr>
      <w:r w:rsidRPr="00D1721A">
        <w:rPr>
          <w:b/>
          <w:bCs/>
        </w:rPr>
        <w:t>Limitations:</w:t>
      </w:r>
      <w:r w:rsidRPr="00D1721A">
        <w:t> The model exhibited a high False Positive Rate (21.32%), meaning more than 1 in 5 harmless prompts were incorrectly flagged as malicious. Furthermore, the model's recall was only 65.3%</w:t>
      </w:r>
      <w:r w:rsidR="00BE68D4">
        <w:t xml:space="preserve"> due to the fact that the base model </w:t>
      </w:r>
      <w:r w:rsidR="00351B8E">
        <w:t>does not work well</w:t>
      </w:r>
      <w:r w:rsidR="001B552E">
        <w:t xml:space="preserve"> in</w:t>
      </w:r>
      <w:r w:rsidR="00351B8E">
        <w:t xml:space="preserve"> detecting jailbreak attacks, handling non-English prompts or against more advanced adversarial techniques (this specific finding was found after </w:t>
      </w:r>
      <w:r w:rsidR="00351B8E">
        <w:lastRenderedPageBreak/>
        <w:t xml:space="preserve">running the evaluation metrics </w:t>
      </w:r>
      <w:r w:rsidR="001B552E">
        <w:t>on</w:t>
      </w:r>
      <w:r w:rsidR="00351B8E">
        <w:t xml:space="preserve"> DeBERTa v3 </w:t>
      </w:r>
      <w:r w:rsidR="001B552E">
        <w:t>using</w:t>
      </w:r>
      <w:r w:rsidR="00351B8E">
        <w:t xml:space="preserve"> the frozen test set), all of which exists in our </w:t>
      </w:r>
      <w:r w:rsidR="00351B8E" w:rsidRPr="00D94C94">
        <w:t>rogue-security/prompt-injections-benchmark</w:t>
      </w:r>
      <w:r w:rsidR="00351B8E">
        <w:t xml:space="preserve"> dataset, which</w:t>
      </w:r>
      <w:r w:rsidR="001B552E">
        <w:t xml:space="preserve"> is a strictly Jailbreak dataset and accounts for 88% of the entire dataset.</w:t>
      </w:r>
    </w:p>
    <w:p w14:paraId="7312CFC8" w14:textId="6DFF92FA" w:rsidR="00D1721A" w:rsidRDefault="00D1721A" w:rsidP="00D1721A">
      <w:pPr>
        <w:numPr>
          <w:ilvl w:val="0"/>
          <w:numId w:val="2"/>
        </w:numPr>
      </w:pPr>
      <w:r w:rsidRPr="00D1721A">
        <w:rPr>
          <w:b/>
          <w:bCs/>
        </w:rPr>
        <w:t>Architectural Bottleneck:</w:t>
      </w:r>
      <w:r w:rsidRPr="00D1721A">
        <w:t xml:space="preserve"> The poor recall was partially attributed to </w:t>
      </w:r>
      <w:proofErr w:type="spellStart"/>
      <w:r w:rsidRPr="00D1721A">
        <w:t>DeBERTa's</w:t>
      </w:r>
      <w:proofErr w:type="spellEnd"/>
      <w:r w:rsidRPr="00D1721A">
        <w:t xml:space="preserve"> rigid 512-token</w:t>
      </w:r>
      <w:r w:rsidR="00BE68D4">
        <w:t xml:space="preserve"> context window</w:t>
      </w:r>
      <w:r w:rsidRPr="00D1721A">
        <w:t xml:space="preserve"> limit. Prompts exceeding this length were truncated</w:t>
      </w:r>
      <w:r w:rsidR="00BE68D4">
        <w:t xml:space="preserve"> on the right-hand side</w:t>
      </w:r>
      <w:r w:rsidRPr="00D1721A">
        <w:t>, which caused the model to miss attacks where the malicious payload was hidden at the very end of a lengthy input</w:t>
      </w:r>
      <w:r w:rsidR="001B552E">
        <w:t>.</w:t>
      </w:r>
    </w:p>
    <w:p w14:paraId="3593E20F" w14:textId="77777777" w:rsidR="00BE68D4" w:rsidRPr="00D1721A" w:rsidRDefault="00BE68D4" w:rsidP="00BE68D4">
      <w:pPr>
        <w:ind w:left="720"/>
      </w:pPr>
    </w:p>
    <w:p w14:paraId="33BA2BDC" w14:textId="77777777" w:rsidR="00D1721A" w:rsidRPr="00D1721A" w:rsidRDefault="00D1721A" w:rsidP="00D1721A">
      <w:pPr>
        <w:rPr>
          <w:b/>
          <w:bCs/>
        </w:rPr>
      </w:pPr>
      <w:r w:rsidRPr="00D1721A">
        <w:rPr>
          <w:b/>
          <w:bCs/>
        </w:rPr>
        <w:t>4. Milestone 3: DistilBERT Customization &amp; Training</w:t>
      </w:r>
    </w:p>
    <w:p w14:paraId="083168AC" w14:textId="77777777" w:rsidR="00D1721A" w:rsidRPr="00D1721A" w:rsidRDefault="00D1721A" w:rsidP="00D1721A">
      <w:r w:rsidRPr="00D1721A">
        <w:t>To overcome the baseline's structural limitations and achieve an FPR of less than 5%, a custom DistilBERT architecture was fine-tuned using three primary strategies:</w:t>
      </w:r>
    </w:p>
    <w:p w14:paraId="2FAE60CA" w14:textId="77777777" w:rsidR="00D1721A" w:rsidRPr="00D1721A" w:rsidRDefault="00D1721A" w:rsidP="00D1721A">
      <w:pPr>
        <w:numPr>
          <w:ilvl w:val="0"/>
          <w:numId w:val="3"/>
        </w:numPr>
      </w:pPr>
      <w:r w:rsidRPr="00D1721A">
        <w:rPr>
          <w:b/>
          <w:bCs/>
        </w:rPr>
        <w:t>Left-Side Tokenizer Engineering:</w:t>
      </w:r>
      <w:r w:rsidRPr="00D1721A">
        <w:t> To fix the low recall caused by context-window truncation, the DistilBERT tokenizer was initialized with truncation_side='left'. This ensures that for overly long prompts, the benign setup is discarded while the trailing malicious payload is retained for analysis.</w:t>
      </w:r>
    </w:p>
    <w:p w14:paraId="2B14F70C" w14:textId="30AA563E" w:rsidR="00D1721A" w:rsidRPr="00D1721A" w:rsidRDefault="00D1721A" w:rsidP="00D1721A">
      <w:pPr>
        <w:numPr>
          <w:ilvl w:val="0"/>
          <w:numId w:val="3"/>
        </w:numPr>
      </w:pPr>
      <w:r w:rsidRPr="00D1721A">
        <w:rPr>
          <w:b/>
          <w:bCs/>
        </w:rPr>
        <w:t>Asymmetric Class Weights:</w:t>
      </w:r>
      <w:r w:rsidRPr="00D1721A">
        <w:t xml:space="preserve"> To </w:t>
      </w:r>
      <w:r w:rsidR="001B552E">
        <w:t>tackle</w:t>
      </w:r>
      <w:r w:rsidRPr="00D1721A">
        <w:t xml:space="preserve"> the high FPR, </w:t>
      </w:r>
      <w:r w:rsidR="001B552E">
        <w:t>PyTorch’s</w:t>
      </w:r>
      <w:r w:rsidRPr="00D1721A">
        <w:t xml:space="preserve"> standard CrossEntropyLoss function was modified to penalize false positives more aggressively. Custom w coefficients were introduced to create an asymmetric penalty, modifying the loss function to ln</w:t>
      </w:r>
      <w:r w:rsidRPr="00D1721A">
        <w:rPr>
          <w:rFonts w:ascii="Arial" w:hAnsi="Arial" w:cs="Arial"/>
        </w:rPr>
        <w:t>​</w:t>
      </w:r>
      <w:r w:rsidRPr="00D1721A">
        <w:t>=−</w:t>
      </w:r>
      <w:proofErr w:type="spellStart"/>
      <w:r w:rsidRPr="00D1721A">
        <w:t>wy</w:t>
      </w:r>
      <w:proofErr w:type="spellEnd"/>
      <w:r w:rsidRPr="00D1721A">
        <w:rPr>
          <w:rFonts w:ascii="Arial" w:hAnsi="Arial" w:cs="Arial"/>
        </w:rPr>
        <w:t>​</w:t>
      </w:r>
      <w:r w:rsidRPr="00D1721A">
        <w:t>log(</w:t>
      </w:r>
      <w:proofErr w:type="spellStart"/>
      <w:r w:rsidRPr="00D1721A">
        <w:t>py</w:t>
      </w:r>
      <w:proofErr w:type="spellEnd"/>
      <w:r w:rsidRPr="00D1721A">
        <w:rPr>
          <w:rFonts w:ascii="Arial" w:hAnsi="Arial" w:cs="Arial"/>
        </w:rPr>
        <w:t>​</w:t>
      </w:r>
      <w:r w:rsidRPr="00D1721A">
        <w:t>). The weights were configured to w</w:t>
      </w:r>
      <w:r w:rsidR="001B552E">
        <w:t>_</w:t>
      </w:r>
      <w:r w:rsidRPr="00D1721A">
        <w:t>benign</w:t>
      </w:r>
      <w:r w:rsidRPr="00D1721A">
        <w:rPr>
          <w:rFonts w:ascii="Arial" w:hAnsi="Arial" w:cs="Arial"/>
        </w:rPr>
        <w:t>​</w:t>
      </w:r>
      <w:r w:rsidRPr="00D1721A">
        <w:t>=3.0 and w</w:t>
      </w:r>
      <w:r w:rsidR="001B552E">
        <w:t>_</w:t>
      </w:r>
      <w:r w:rsidRPr="00D1721A">
        <w:t>malicious</w:t>
      </w:r>
      <w:r w:rsidRPr="00D1721A">
        <w:rPr>
          <w:rFonts w:ascii="Arial" w:hAnsi="Arial" w:cs="Arial"/>
        </w:rPr>
        <w:t>​</w:t>
      </w:r>
      <w:r w:rsidRPr="00D1721A">
        <w:t>=1.0, forcing the optimizer toward a more conservative decision boundary.</w:t>
      </w:r>
    </w:p>
    <w:p w14:paraId="30D36A9C" w14:textId="77777777" w:rsidR="00D1721A" w:rsidRDefault="00D1721A" w:rsidP="00D1721A">
      <w:pPr>
        <w:numPr>
          <w:ilvl w:val="0"/>
          <w:numId w:val="3"/>
        </w:numPr>
      </w:pPr>
      <w:r w:rsidRPr="00D1721A">
        <w:rPr>
          <w:b/>
          <w:bCs/>
        </w:rPr>
        <w:t>Automated Epoch Grading:</w:t>
      </w:r>
      <w:r w:rsidRPr="00D1721A">
        <w:t> To prevent the model from memorizing the training data (overfitting), the 16% validation set was used to evaluate performance at the end of every epoch. The training algorithm was configured to monitor the FPR and automatically save the model weights from the epoch that yielded the lowest FPR.</w:t>
      </w:r>
    </w:p>
    <w:p w14:paraId="5D7CD2A9" w14:textId="77777777" w:rsidR="001B552E" w:rsidRPr="00D1721A" w:rsidRDefault="001B552E" w:rsidP="001B552E">
      <w:pPr>
        <w:ind w:left="720"/>
      </w:pPr>
    </w:p>
    <w:p w14:paraId="55E144E5" w14:textId="77777777" w:rsidR="00D1721A" w:rsidRPr="00D1721A" w:rsidRDefault="00D1721A" w:rsidP="00D1721A">
      <w:pPr>
        <w:rPr>
          <w:b/>
          <w:bCs/>
        </w:rPr>
      </w:pPr>
      <w:r w:rsidRPr="00D1721A">
        <w:rPr>
          <w:b/>
          <w:bCs/>
        </w:rPr>
        <w:t>5. Midterm Results &amp; Conclusion</w:t>
      </w:r>
    </w:p>
    <w:p w14:paraId="3E1CE88C" w14:textId="5DFBF02E" w:rsidR="00D1721A" w:rsidRPr="00D1721A" w:rsidRDefault="00D1721A" w:rsidP="00D1721A">
      <w:r w:rsidRPr="00D1721A">
        <w:t>The automated training loop identified Epoch 2 as the optimal architecture. This custom DistilBERT model was then evaluated blindly against the frozen 20% test set (1,104 prompts), yielding significant improvements over the baseline</w:t>
      </w:r>
      <w:r w:rsidR="001B552E">
        <w:t xml:space="preserve"> DeBERTa v3</w:t>
      </w:r>
      <w:r w:rsidRPr="00D1721A">
        <w:t>.</w:t>
      </w:r>
    </w:p>
    <w:p w14:paraId="2A6E6D2A" w14:textId="77777777" w:rsidR="00D1721A" w:rsidRDefault="00D1721A" w:rsidP="00D1721A"/>
    <w:p w14:paraId="2F0F1A45" w14:textId="0104A65A" w:rsidR="00D1721A" w:rsidRPr="00D1721A" w:rsidRDefault="00D1721A" w:rsidP="00D1721A">
      <w:pPr>
        <w:rPr>
          <w:b/>
          <w:bCs/>
        </w:rPr>
      </w:pPr>
      <w:r w:rsidRPr="00D1721A">
        <w:rPr>
          <w:b/>
          <w:bCs/>
        </w:rPr>
        <w:t>Comparative Performance Matrix</w:t>
      </w:r>
    </w:p>
    <w:tbl>
      <w:tblPr>
        <w:tblStyle w:val="GridTable4-Accent4"/>
        <w:tblW w:w="0" w:type="auto"/>
        <w:tblLook w:val="04A0" w:firstRow="1" w:lastRow="0" w:firstColumn="1" w:lastColumn="0" w:noHBand="0" w:noVBand="1"/>
      </w:tblPr>
      <w:tblGrid>
        <w:gridCol w:w="1975"/>
        <w:gridCol w:w="1675"/>
        <w:gridCol w:w="2262"/>
        <w:gridCol w:w="3438"/>
      </w:tblGrid>
      <w:tr w:rsidR="001B552E" w:rsidRPr="00D1721A" w14:paraId="57906C24" w14:textId="77777777" w:rsidTr="00D17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FA081" w14:textId="77777777" w:rsidR="00D1721A" w:rsidRPr="00D1721A" w:rsidRDefault="00D1721A" w:rsidP="00D1721A">
            <w:r w:rsidRPr="00D1721A">
              <w:t>Metric</w:t>
            </w:r>
          </w:p>
        </w:tc>
        <w:tc>
          <w:tcPr>
            <w:tcW w:w="0" w:type="auto"/>
            <w:hideMark/>
          </w:tcPr>
          <w:p w14:paraId="626D7417" w14:textId="77777777"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r w:rsidRPr="00D1721A">
              <w:t>ProtectAI Baseline</w:t>
            </w:r>
          </w:p>
          <w:p w14:paraId="1C0B8088" w14:textId="5753988A"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p>
        </w:tc>
        <w:tc>
          <w:tcPr>
            <w:tcW w:w="0" w:type="auto"/>
            <w:hideMark/>
          </w:tcPr>
          <w:p w14:paraId="004EA3A6" w14:textId="77777777"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r w:rsidRPr="00D1721A">
              <w:t>Custom DistilBERT</w:t>
            </w:r>
          </w:p>
          <w:p w14:paraId="63E8BA4B" w14:textId="689D767C"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p>
        </w:tc>
        <w:tc>
          <w:tcPr>
            <w:tcW w:w="0" w:type="auto"/>
            <w:hideMark/>
          </w:tcPr>
          <w:p w14:paraId="723FC8C7" w14:textId="77777777"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r w:rsidRPr="00D1721A">
              <w:t>Net Improvement</w:t>
            </w:r>
          </w:p>
          <w:p w14:paraId="14067A59" w14:textId="520D88C1" w:rsidR="00D1721A" w:rsidRPr="00D1721A" w:rsidRDefault="00D1721A" w:rsidP="00D1721A">
            <w:pPr>
              <w:cnfStyle w:val="100000000000" w:firstRow="1" w:lastRow="0" w:firstColumn="0" w:lastColumn="0" w:oddVBand="0" w:evenVBand="0" w:oddHBand="0" w:evenHBand="0" w:firstRowFirstColumn="0" w:firstRowLastColumn="0" w:lastRowFirstColumn="0" w:lastRowLastColumn="0"/>
            </w:pPr>
          </w:p>
        </w:tc>
      </w:tr>
      <w:tr w:rsidR="001B552E" w:rsidRPr="00D1721A" w14:paraId="0E33F140" w14:textId="77777777" w:rsidTr="00D17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189AD" w14:textId="77777777" w:rsidR="00D1721A" w:rsidRPr="00D1721A" w:rsidRDefault="00D1721A" w:rsidP="00D1721A">
            <w:r w:rsidRPr="00D1721A">
              <w:t>False Positive Rate (FPR)</w:t>
            </w:r>
          </w:p>
        </w:tc>
        <w:tc>
          <w:tcPr>
            <w:tcW w:w="0" w:type="auto"/>
            <w:hideMark/>
          </w:tcPr>
          <w:p w14:paraId="1C5BA191"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21.32%</w:t>
            </w:r>
          </w:p>
        </w:tc>
        <w:tc>
          <w:tcPr>
            <w:tcW w:w="0" w:type="auto"/>
            <w:hideMark/>
          </w:tcPr>
          <w:p w14:paraId="02520ADA"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4.05%</w:t>
            </w:r>
          </w:p>
        </w:tc>
        <w:tc>
          <w:tcPr>
            <w:tcW w:w="0" w:type="auto"/>
            <w:hideMark/>
          </w:tcPr>
          <w:p w14:paraId="2076F223" w14:textId="1F7E61C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 xml:space="preserve">- 17.27% (Passes &lt; 5% </w:t>
            </w:r>
            <w:r w:rsidR="001B552E">
              <w:t>target established in contract</w:t>
            </w:r>
            <w:r w:rsidRPr="00D1721A">
              <w:t>)</w:t>
            </w:r>
          </w:p>
        </w:tc>
      </w:tr>
      <w:tr w:rsidR="001B552E" w:rsidRPr="00D1721A" w14:paraId="0CC8EB41" w14:textId="77777777" w:rsidTr="00D1721A">
        <w:tc>
          <w:tcPr>
            <w:cnfStyle w:val="001000000000" w:firstRow="0" w:lastRow="0" w:firstColumn="1" w:lastColumn="0" w:oddVBand="0" w:evenVBand="0" w:oddHBand="0" w:evenHBand="0" w:firstRowFirstColumn="0" w:firstRowLastColumn="0" w:lastRowFirstColumn="0" w:lastRowLastColumn="0"/>
            <w:tcW w:w="0" w:type="auto"/>
            <w:hideMark/>
          </w:tcPr>
          <w:p w14:paraId="79BAE822" w14:textId="77777777" w:rsidR="00D1721A" w:rsidRPr="00D1721A" w:rsidRDefault="00D1721A" w:rsidP="00D1721A">
            <w:r w:rsidRPr="00D1721A">
              <w:t>F1-Score</w:t>
            </w:r>
          </w:p>
        </w:tc>
        <w:tc>
          <w:tcPr>
            <w:tcW w:w="0" w:type="auto"/>
            <w:hideMark/>
          </w:tcPr>
          <w:p w14:paraId="12684FEC"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66.05%</w:t>
            </w:r>
          </w:p>
        </w:tc>
        <w:tc>
          <w:tcPr>
            <w:tcW w:w="0" w:type="auto"/>
            <w:hideMark/>
          </w:tcPr>
          <w:p w14:paraId="46CED60B"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83.31%</w:t>
            </w:r>
          </w:p>
        </w:tc>
        <w:tc>
          <w:tcPr>
            <w:tcW w:w="0" w:type="auto"/>
            <w:hideMark/>
          </w:tcPr>
          <w:p w14:paraId="07F63E83"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+ 17.26%</w:t>
            </w:r>
          </w:p>
        </w:tc>
      </w:tr>
      <w:tr w:rsidR="001B552E" w:rsidRPr="00D1721A" w14:paraId="0105B38A" w14:textId="77777777" w:rsidTr="00D17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5D0EB" w14:textId="77777777" w:rsidR="00D1721A" w:rsidRPr="00D1721A" w:rsidRDefault="00D1721A" w:rsidP="00D1721A">
            <w:r w:rsidRPr="00D1721A">
              <w:t>Recall</w:t>
            </w:r>
          </w:p>
        </w:tc>
        <w:tc>
          <w:tcPr>
            <w:tcW w:w="0" w:type="auto"/>
            <w:hideMark/>
          </w:tcPr>
          <w:p w14:paraId="7B5C729A"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65.30%</w:t>
            </w:r>
          </w:p>
        </w:tc>
        <w:tc>
          <w:tcPr>
            <w:tcW w:w="0" w:type="auto"/>
            <w:hideMark/>
          </w:tcPr>
          <w:p w14:paraId="24A576BB"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75.80%</w:t>
            </w:r>
          </w:p>
        </w:tc>
        <w:tc>
          <w:tcPr>
            <w:tcW w:w="0" w:type="auto"/>
            <w:hideMark/>
          </w:tcPr>
          <w:p w14:paraId="7AC8B647"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+ 10.50%</w:t>
            </w:r>
          </w:p>
        </w:tc>
      </w:tr>
      <w:tr w:rsidR="001B552E" w:rsidRPr="00D1721A" w14:paraId="7776AA67" w14:textId="77777777" w:rsidTr="00D1721A">
        <w:tc>
          <w:tcPr>
            <w:cnfStyle w:val="001000000000" w:firstRow="0" w:lastRow="0" w:firstColumn="1" w:lastColumn="0" w:oddVBand="0" w:evenVBand="0" w:oddHBand="0" w:evenHBand="0" w:firstRowFirstColumn="0" w:firstRowLastColumn="0" w:lastRowFirstColumn="0" w:lastRowLastColumn="0"/>
            <w:tcW w:w="0" w:type="auto"/>
            <w:hideMark/>
          </w:tcPr>
          <w:p w14:paraId="52C55E45" w14:textId="77777777" w:rsidR="00D1721A" w:rsidRPr="00D1721A" w:rsidRDefault="00D1721A" w:rsidP="00D1721A">
            <w:r w:rsidRPr="00D1721A">
              <w:t>Precision</w:t>
            </w:r>
          </w:p>
        </w:tc>
        <w:tc>
          <w:tcPr>
            <w:tcW w:w="0" w:type="auto"/>
            <w:hideMark/>
          </w:tcPr>
          <w:p w14:paraId="78BE4C30"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66.82%</w:t>
            </w:r>
          </w:p>
        </w:tc>
        <w:tc>
          <w:tcPr>
            <w:tcW w:w="0" w:type="auto"/>
            <w:hideMark/>
          </w:tcPr>
          <w:p w14:paraId="377DD1E9"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92.48%</w:t>
            </w:r>
          </w:p>
        </w:tc>
        <w:tc>
          <w:tcPr>
            <w:tcW w:w="0" w:type="auto"/>
            <w:hideMark/>
          </w:tcPr>
          <w:p w14:paraId="70EAB6E0" w14:textId="77777777" w:rsidR="00D1721A" w:rsidRPr="00D1721A" w:rsidRDefault="00D1721A" w:rsidP="00D1721A">
            <w:pPr>
              <w:cnfStyle w:val="000000000000" w:firstRow="0" w:lastRow="0" w:firstColumn="0" w:lastColumn="0" w:oddVBand="0" w:evenVBand="0" w:oddHBand="0" w:evenHBand="0" w:firstRowFirstColumn="0" w:firstRowLastColumn="0" w:lastRowFirstColumn="0" w:lastRowLastColumn="0"/>
            </w:pPr>
            <w:r w:rsidRPr="00D1721A">
              <w:t>+ 25.66%</w:t>
            </w:r>
          </w:p>
        </w:tc>
      </w:tr>
      <w:tr w:rsidR="001B552E" w:rsidRPr="00D1721A" w14:paraId="098178AF" w14:textId="77777777" w:rsidTr="00D17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43B5D" w14:textId="77777777" w:rsidR="00D1721A" w:rsidRPr="00D1721A" w:rsidRDefault="00D1721A" w:rsidP="00D1721A">
            <w:r w:rsidRPr="00D1721A">
              <w:t>Accuracy</w:t>
            </w:r>
          </w:p>
        </w:tc>
        <w:tc>
          <w:tcPr>
            <w:tcW w:w="0" w:type="auto"/>
            <w:hideMark/>
          </w:tcPr>
          <w:p w14:paraId="6C1621B2"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73.37%</w:t>
            </w:r>
          </w:p>
        </w:tc>
        <w:tc>
          <w:tcPr>
            <w:tcW w:w="0" w:type="auto"/>
            <w:hideMark/>
          </w:tcPr>
          <w:p w14:paraId="28178B5F"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87.95%</w:t>
            </w:r>
          </w:p>
        </w:tc>
        <w:tc>
          <w:tcPr>
            <w:tcW w:w="0" w:type="auto"/>
            <w:hideMark/>
          </w:tcPr>
          <w:p w14:paraId="2A4A8FF5" w14:textId="77777777" w:rsidR="00D1721A" w:rsidRPr="00D1721A" w:rsidRDefault="00D1721A" w:rsidP="00D1721A">
            <w:pPr>
              <w:cnfStyle w:val="000000100000" w:firstRow="0" w:lastRow="0" w:firstColumn="0" w:lastColumn="0" w:oddVBand="0" w:evenVBand="0" w:oddHBand="1" w:evenHBand="0" w:firstRowFirstColumn="0" w:firstRowLastColumn="0" w:lastRowFirstColumn="0" w:lastRowLastColumn="0"/>
            </w:pPr>
            <w:r w:rsidRPr="00D1721A">
              <w:t>+ 14.58%</w:t>
            </w:r>
          </w:p>
        </w:tc>
      </w:tr>
      <w:tr w:rsidR="00045856" w:rsidRPr="00D1721A" w14:paraId="209BD20E" w14:textId="77777777" w:rsidTr="00D1721A">
        <w:tc>
          <w:tcPr>
            <w:cnfStyle w:val="001000000000" w:firstRow="0" w:lastRow="0" w:firstColumn="1" w:lastColumn="0" w:oddVBand="0" w:evenVBand="0" w:oddHBand="0" w:evenHBand="0" w:firstRowFirstColumn="0" w:firstRowLastColumn="0" w:lastRowFirstColumn="0" w:lastRowLastColumn="0"/>
            <w:tcW w:w="0" w:type="auto"/>
          </w:tcPr>
          <w:p w14:paraId="3795D0FC" w14:textId="4525FC33" w:rsidR="00045856" w:rsidRPr="00D1721A" w:rsidRDefault="00045856" w:rsidP="00045856">
            <w:r>
              <w:t>Avg Inference Latency</w:t>
            </w:r>
          </w:p>
        </w:tc>
        <w:tc>
          <w:tcPr>
            <w:tcW w:w="0" w:type="auto"/>
          </w:tcPr>
          <w:p w14:paraId="097F25D2" w14:textId="68243AE2" w:rsidR="00045856" w:rsidRPr="00045856" w:rsidRDefault="00045856" w:rsidP="00045856">
            <w:pPr>
              <w:cnfStyle w:val="000000000000" w:firstRow="0" w:lastRow="0" w:firstColumn="0" w:lastColumn="0" w:oddVBand="0" w:evenVBand="0" w:oddHBand="0" w:evenHBand="0" w:firstRowFirstColumn="0" w:firstRowLastColumn="0" w:lastRowFirstColumn="0" w:lastRowLastColumn="0"/>
            </w:pPr>
            <w:r w:rsidRPr="00045856">
              <w:t>10.</w:t>
            </w:r>
            <w:r w:rsidR="00B418C4">
              <w:t>9</w:t>
            </w:r>
            <w:r w:rsidRPr="00045856">
              <w:t xml:space="preserve"> </w:t>
            </w:r>
            <w:proofErr w:type="spellStart"/>
            <w:r w:rsidRPr="00045856">
              <w:t>ms</w:t>
            </w:r>
            <w:proofErr w:type="spellEnd"/>
            <w:r w:rsidRPr="00045856">
              <w:t xml:space="preserve"> / prompt</w:t>
            </w:r>
          </w:p>
        </w:tc>
        <w:tc>
          <w:tcPr>
            <w:tcW w:w="0" w:type="auto"/>
          </w:tcPr>
          <w:p w14:paraId="6DDAADB2" w14:textId="7D548580" w:rsidR="00045856" w:rsidRPr="00D1721A" w:rsidRDefault="00045856" w:rsidP="00045856">
            <w:pPr>
              <w:cnfStyle w:val="000000000000" w:firstRow="0" w:lastRow="0" w:firstColumn="0" w:lastColumn="0" w:oddVBand="0" w:evenVBand="0" w:oddHBand="0" w:evenHBand="0" w:firstRowFirstColumn="0" w:firstRowLastColumn="0" w:lastRowFirstColumn="0" w:lastRowLastColumn="0"/>
            </w:pPr>
            <w:r>
              <w:t>Pending Milestone 4 evaluation</w:t>
            </w:r>
          </w:p>
        </w:tc>
        <w:tc>
          <w:tcPr>
            <w:tcW w:w="0" w:type="auto"/>
          </w:tcPr>
          <w:p w14:paraId="79467FA5" w14:textId="620D2554" w:rsidR="00045856" w:rsidRPr="00D1721A" w:rsidRDefault="00045856" w:rsidP="00045856">
            <w:pPr>
              <w:cnfStyle w:val="000000000000" w:firstRow="0" w:lastRow="0" w:firstColumn="0" w:lastColumn="0" w:oddVBand="0" w:evenVBand="0" w:oddHBand="0" w:evenHBand="0" w:firstRowFirstColumn="0" w:firstRowLastColumn="0" w:lastRowFirstColumn="0" w:lastRowLastColumn="0"/>
            </w:pPr>
            <w:r>
              <w:t>N/a</w:t>
            </w:r>
          </w:p>
        </w:tc>
      </w:tr>
    </w:tbl>
    <w:p w14:paraId="55E2AD9F" w14:textId="77777777" w:rsidR="000A2630" w:rsidRDefault="000A2630" w:rsidP="00D1721A">
      <w:pPr>
        <w:rPr>
          <w:b/>
          <w:bCs/>
        </w:rPr>
      </w:pPr>
    </w:p>
    <w:p w14:paraId="46FF7A69" w14:textId="05AA6EA7" w:rsidR="00D1721A" w:rsidRPr="00D1721A" w:rsidRDefault="00D1721A" w:rsidP="00D1721A">
      <w:r w:rsidRPr="00D1721A">
        <w:rPr>
          <w:b/>
          <w:bCs/>
        </w:rPr>
        <w:lastRenderedPageBreak/>
        <w:t>Conclusion:</w:t>
      </w:r>
      <w:r w:rsidRPr="00D1721A">
        <w:t> The custom DistilBERT architecture successfully mitigated the architectural blind spots of the baseline framework. By leveraging left-side token truncation and asymmetric loss coefficients, the model successfully increased its F1-Score by over 17% while driving the False Positive Rate down to 4.05%, satisfying strict operational requirements.</w:t>
      </w:r>
      <w:r w:rsidR="00045856">
        <w:t xml:space="preserve"> Even though our F1 score fell short of 1.69% compared to the Contract Target of 85% due to advanced jailbreak adversarial dataset, we will attempt to improve F1 score in Milestone 4/5 by modifying </w:t>
      </w:r>
      <w:r w:rsidR="00B549CB">
        <w:t xml:space="preserve">our Training script to achieve &gt;=85% target. </w:t>
      </w:r>
    </w:p>
    <w:p w14:paraId="734C9FEA" w14:textId="77777777" w:rsidR="00D1721A" w:rsidRDefault="00D1721A"/>
    <w:p w14:paraId="56947365" w14:textId="77777777" w:rsidR="00BA21A0" w:rsidRDefault="00BA21A0"/>
    <w:p w14:paraId="598F5774" w14:textId="14FEC6CF" w:rsidR="00BA21A0" w:rsidRPr="00BA21A0" w:rsidRDefault="00BA21A0" w:rsidP="00BA21A0">
      <w:pPr>
        <w:rPr>
          <w:b/>
          <w:bCs/>
        </w:rPr>
      </w:pPr>
      <w:r>
        <w:rPr>
          <w:b/>
          <w:bCs/>
        </w:rPr>
        <w:t>6</w:t>
      </w:r>
      <w:r w:rsidRPr="00BA21A0">
        <w:rPr>
          <w:b/>
          <w:bCs/>
        </w:rPr>
        <w:t>. Plan Forward &amp; Upcoming Milestones</w:t>
      </w:r>
    </w:p>
    <w:p w14:paraId="6B1AED62" w14:textId="77777777" w:rsidR="00BA21A0" w:rsidRDefault="00BA21A0" w:rsidP="00BA21A0">
      <w:r w:rsidRPr="00BA21A0">
        <w:t>With the primary DistilBERT architecture successfully fine-tuned and passing the &lt; 5% False Positive Rate constraint, the project timeline remains fully on schedule. Our focus now shifts toward evaluating alternative paradigms, exhaustive benchmarking, and stress-testing the model against Out-of-Distribution (OOD) threats.</w:t>
      </w:r>
    </w:p>
    <w:p w14:paraId="470E5B52" w14:textId="77777777" w:rsidR="00BA21A0" w:rsidRPr="00BA21A0" w:rsidRDefault="00BA21A0" w:rsidP="00BA21A0">
      <w:pPr>
        <w:rPr>
          <w:i/>
          <w:iCs/>
        </w:rPr>
      </w:pPr>
    </w:p>
    <w:p w14:paraId="0311A631" w14:textId="77777777" w:rsidR="00BA21A0" w:rsidRPr="00BA21A0" w:rsidRDefault="00BA21A0" w:rsidP="00BA21A0">
      <w:pPr>
        <w:rPr>
          <w:b/>
          <w:bCs/>
          <w:i/>
          <w:iCs/>
        </w:rPr>
      </w:pPr>
      <w:r w:rsidRPr="00BA21A0">
        <w:rPr>
          <w:b/>
          <w:bCs/>
          <w:i/>
          <w:iCs/>
        </w:rPr>
        <w:t>Milestone 4: Alternative Paradigms &amp; Automation (Due July 5)</w:t>
      </w:r>
    </w:p>
    <w:p w14:paraId="57215455" w14:textId="77777777" w:rsidR="00BA21A0" w:rsidRPr="00BA21A0" w:rsidRDefault="00BA21A0" w:rsidP="00BA21A0">
      <w:r w:rsidRPr="00BA21A0">
        <w:t>To establish a comprehensive comparative baseline, we will implement two distinct, non-transformer-based classification strategies:</w:t>
      </w:r>
    </w:p>
    <w:p w14:paraId="34AD1301" w14:textId="77777777" w:rsidR="00BA21A0" w:rsidRPr="00BA21A0" w:rsidRDefault="00BA21A0" w:rsidP="00BA21A0">
      <w:pPr>
        <w:numPr>
          <w:ilvl w:val="0"/>
          <w:numId w:val="4"/>
        </w:numPr>
      </w:pPr>
      <w:r w:rsidRPr="00BA21A0">
        <w:rPr>
          <w:b/>
          <w:bCs/>
        </w:rPr>
        <w:t>Embedding Vector Database Classifier:</w:t>
      </w:r>
      <w:r w:rsidRPr="00BA21A0">
        <w:t> Constructing a semantic search guardrail using vector space embeddings to classify prompts based on cosine similarity to known attack signatures.</w:t>
      </w:r>
    </w:p>
    <w:p w14:paraId="6EBEDAD6" w14:textId="77777777" w:rsidR="00BA21A0" w:rsidRPr="00BA21A0" w:rsidRDefault="00BA21A0" w:rsidP="00BA21A0">
      <w:pPr>
        <w:numPr>
          <w:ilvl w:val="0"/>
          <w:numId w:val="4"/>
        </w:numPr>
      </w:pPr>
      <w:r w:rsidRPr="00BA21A0">
        <w:rPr>
          <w:b/>
          <w:bCs/>
        </w:rPr>
        <w:t>Local LLM-as-a-Judge:</w:t>
      </w:r>
      <w:r w:rsidRPr="00BA21A0">
        <w:t> Deploying a localized, quantized LLM instructed to evaluate incoming prompts via zero-shot reasoning.</w:t>
      </w:r>
    </w:p>
    <w:p w14:paraId="2ADE3CE7" w14:textId="77777777" w:rsidR="00BA21A0" w:rsidRDefault="00BA21A0" w:rsidP="00BA21A0">
      <w:pPr>
        <w:numPr>
          <w:ilvl w:val="0"/>
          <w:numId w:val="4"/>
        </w:numPr>
      </w:pPr>
      <w:r w:rsidRPr="00BA21A0">
        <w:rPr>
          <w:b/>
          <w:bCs/>
        </w:rPr>
        <w:t>Automated Benchmarking:</w:t>
      </w:r>
      <w:r w:rsidRPr="00BA21A0">
        <w:t> We will engineer an automated benchmarking script to run all deployed paradigms (Baseline, Custom DistilBERT, Vector DB, LLM-as-a-Judge) through the frozen Test Set to generate unified performance matrices.</w:t>
      </w:r>
    </w:p>
    <w:p w14:paraId="75354FF2" w14:textId="77777777" w:rsidR="00BA21A0" w:rsidRPr="00BA21A0" w:rsidRDefault="00BA21A0" w:rsidP="00BA21A0">
      <w:pPr>
        <w:ind w:left="360"/>
      </w:pPr>
    </w:p>
    <w:p w14:paraId="2AD338D2" w14:textId="77777777" w:rsidR="00BA21A0" w:rsidRPr="00BA21A0" w:rsidRDefault="00BA21A0" w:rsidP="00BA21A0">
      <w:pPr>
        <w:rPr>
          <w:b/>
          <w:bCs/>
          <w:i/>
          <w:iCs/>
        </w:rPr>
      </w:pPr>
      <w:r w:rsidRPr="00BA21A0">
        <w:rPr>
          <w:b/>
          <w:bCs/>
          <w:i/>
          <w:iCs/>
        </w:rPr>
        <w:t>Milestone 5: Exhaustive Benchmarking &amp; Final Reporting (Due July 19)</w:t>
      </w:r>
    </w:p>
    <w:p w14:paraId="04378E09" w14:textId="77777777" w:rsidR="00BA21A0" w:rsidRDefault="00BA21A0" w:rsidP="00BA21A0">
      <w:r w:rsidRPr="00BA21A0">
        <w:t>The final milestone will aggregate all metrics across all tested models to determine the optimal production architecture. This phase includes drafting the final comprehensive engineering report.</w:t>
      </w:r>
    </w:p>
    <w:p w14:paraId="4F71EF89" w14:textId="77777777" w:rsidR="00BA21A0" w:rsidRPr="00BA21A0" w:rsidRDefault="00BA21A0" w:rsidP="00BA21A0"/>
    <w:p w14:paraId="62509628" w14:textId="77777777" w:rsidR="00BA21A0" w:rsidRPr="00BA21A0" w:rsidRDefault="00BA21A0" w:rsidP="00BA21A0">
      <w:pPr>
        <w:rPr>
          <w:b/>
          <w:bCs/>
        </w:rPr>
      </w:pPr>
      <w:r w:rsidRPr="00BA21A0">
        <w:rPr>
          <w:b/>
          <w:bCs/>
        </w:rPr>
        <w:t>Anticipated Risks: The BIPIA OOD Challenge</w:t>
      </w:r>
    </w:p>
    <w:p w14:paraId="489D60C9" w14:textId="437FFC58" w:rsidR="00BA21A0" w:rsidRPr="00BA21A0" w:rsidRDefault="00BA21A0" w:rsidP="00BA21A0">
      <w:r w:rsidRPr="00BA21A0">
        <w:t>The most significant remaining technical risk is the </w:t>
      </w:r>
      <w:r w:rsidRPr="00BA21A0">
        <w:rPr>
          <w:b/>
          <w:bCs/>
        </w:rPr>
        <w:t>Out-of-Distribution (OOD)</w:t>
      </w:r>
      <w:r>
        <w:rPr>
          <w:b/>
          <w:bCs/>
        </w:rPr>
        <w:t xml:space="preserve"> </w:t>
      </w:r>
      <w:r w:rsidRPr="00BA21A0">
        <w:rPr>
          <w:b/>
          <w:bCs/>
        </w:rPr>
        <w:t>Generalization requirement</w:t>
      </w:r>
      <w:r w:rsidRPr="00BA21A0">
        <w:t>, which mandates a target F1-Score of </w:t>
      </w:r>
      <w:r>
        <w:t>&gt;=</w:t>
      </w:r>
      <w:r w:rsidRPr="00BA21A0">
        <w:t> 0.70 against an unseen indirect injection dataset.</w:t>
      </w:r>
    </w:p>
    <w:p w14:paraId="5896DA35" w14:textId="77777777" w:rsidR="00BA21A0" w:rsidRPr="00BA21A0" w:rsidRDefault="00BA21A0" w:rsidP="00BA21A0">
      <w:pPr>
        <w:numPr>
          <w:ilvl w:val="0"/>
          <w:numId w:val="5"/>
        </w:numPr>
      </w:pPr>
      <w:r w:rsidRPr="00BA21A0">
        <w:rPr>
          <w:b/>
          <w:bCs/>
        </w:rPr>
        <w:t>The Vulnerability:</w:t>
      </w:r>
      <w:r w:rsidRPr="00BA21A0">
        <w:t> Our custom model has been trained exclusively on </w:t>
      </w:r>
      <w:r w:rsidRPr="00BA21A0">
        <w:rPr>
          <w:i/>
          <w:iCs/>
        </w:rPr>
        <w:t>direct</w:t>
      </w:r>
      <w:r w:rsidRPr="00BA21A0">
        <w:t> prompt injections. Indirect injections (such as those found in the BIPIA dataset, where malicious payloads are hidden inside seemingly benign external text or web pages) possess fundamentally different semantic structures.</w:t>
      </w:r>
    </w:p>
    <w:p w14:paraId="2E3DFF44" w14:textId="50F105C9" w:rsidR="00BA21A0" w:rsidRPr="00BA21A0" w:rsidRDefault="00BA21A0" w:rsidP="00BA21A0">
      <w:pPr>
        <w:numPr>
          <w:ilvl w:val="0"/>
          <w:numId w:val="5"/>
        </w:numPr>
      </w:pPr>
      <w:r w:rsidRPr="00BA21A0">
        <w:rPr>
          <w:b/>
          <w:bCs/>
        </w:rPr>
        <w:t>Mitigation Strategy:</w:t>
      </w:r>
      <w:r w:rsidRPr="00BA21A0">
        <w:t xml:space="preserve"> We </w:t>
      </w:r>
      <w:r>
        <w:t>will source</w:t>
      </w:r>
      <w:r w:rsidRPr="00BA21A0">
        <w:t xml:space="preserve"> the BIPIA dataset to design our OOD evaluation protocol. If the current model struggles to generalize to these indirect attacks, we will </w:t>
      </w:r>
      <w:r>
        <w:t xml:space="preserve">potentially </w:t>
      </w:r>
      <w:r w:rsidRPr="00BA21A0">
        <w:t>execute hyperparameter sweeps—specifically fine-tuning the w</w:t>
      </w:r>
      <w:r>
        <w:t xml:space="preserve"> </w:t>
      </w:r>
      <w:r w:rsidRPr="00BA21A0">
        <w:lastRenderedPageBreak/>
        <w:t>coefficients (e.g., w_benign) and adjusting learning rates—to increase the model's adaptability without sacrificing our established 4.05% FPR.</w:t>
      </w:r>
    </w:p>
    <w:p w14:paraId="11E9E138" w14:textId="77777777" w:rsidR="00BA21A0" w:rsidRDefault="00BA21A0" w:rsidP="00BA21A0">
      <w:pPr>
        <w:rPr>
          <w:b/>
          <w:bCs/>
        </w:rPr>
      </w:pPr>
    </w:p>
    <w:p w14:paraId="1B76AFA5" w14:textId="4977BF12" w:rsidR="00BA21A0" w:rsidRPr="00BA21A0" w:rsidRDefault="00BA21A0" w:rsidP="00BA21A0">
      <w:pPr>
        <w:rPr>
          <w:b/>
          <w:bCs/>
          <w:i/>
          <w:iCs/>
        </w:rPr>
      </w:pPr>
      <w:r w:rsidRPr="00BA21A0">
        <w:rPr>
          <w:b/>
          <w:bCs/>
          <w:i/>
          <w:iCs/>
        </w:rPr>
        <w:t>Timeline Confidence</w:t>
      </w:r>
    </w:p>
    <w:p w14:paraId="333CFB8C" w14:textId="5A570065" w:rsidR="00BA21A0" w:rsidRPr="00BA21A0" w:rsidRDefault="00BA21A0" w:rsidP="00BA21A0">
      <w:r w:rsidRPr="00BA21A0">
        <w:t xml:space="preserve">We maintain </w:t>
      </w:r>
      <w:r>
        <w:t>our confidence</w:t>
      </w:r>
      <w:r w:rsidRPr="00BA21A0">
        <w:t xml:space="preserve"> in the current timeline. The successful deployment of the custom DistilBERT model to the Hugging Face Hub secures the core deliverable, allowing ample bandwidth to tackle the BIPIA OOD protocol and alternative baseline implementations before the July deadlines.</w:t>
      </w:r>
    </w:p>
    <w:p w14:paraId="7F7BE3CB" w14:textId="77777777" w:rsidR="00BA21A0" w:rsidRDefault="00BA21A0"/>
    <w:sectPr w:rsidR="00BA21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6BE4"/>
    <w:multiLevelType w:val="multilevel"/>
    <w:tmpl w:val="C48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4B47"/>
    <w:multiLevelType w:val="multilevel"/>
    <w:tmpl w:val="4AF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6259B"/>
    <w:multiLevelType w:val="multilevel"/>
    <w:tmpl w:val="BCB2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F65095"/>
    <w:multiLevelType w:val="multilevel"/>
    <w:tmpl w:val="658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63104"/>
    <w:multiLevelType w:val="multilevel"/>
    <w:tmpl w:val="683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372495">
    <w:abstractNumId w:val="4"/>
  </w:num>
  <w:num w:numId="2" w16cid:durableId="179702057">
    <w:abstractNumId w:val="1"/>
  </w:num>
  <w:num w:numId="3" w16cid:durableId="132912924">
    <w:abstractNumId w:val="3"/>
  </w:num>
  <w:num w:numId="4" w16cid:durableId="1787966934">
    <w:abstractNumId w:val="2"/>
  </w:num>
  <w:num w:numId="5" w16cid:durableId="124557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1A"/>
    <w:rsid w:val="00045856"/>
    <w:rsid w:val="000A2630"/>
    <w:rsid w:val="001277CA"/>
    <w:rsid w:val="001B552E"/>
    <w:rsid w:val="00351B8E"/>
    <w:rsid w:val="005C71B8"/>
    <w:rsid w:val="00B418C4"/>
    <w:rsid w:val="00B549CB"/>
    <w:rsid w:val="00BA21A0"/>
    <w:rsid w:val="00BE68D4"/>
    <w:rsid w:val="00C54E2C"/>
    <w:rsid w:val="00D1721A"/>
    <w:rsid w:val="00DB63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1347B3C"/>
  <w15:chartTrackingRefBased/>
  <w15:docId w15:val="{96B666DE-CC6A-194F-9953-8DBFE97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21A"/>
  </w:style>
  <w:style w:type="paragraph" w:styleId="Heading1">
    <w:name w:val="heading 1"/>
    <w:basedOn w:val="Normal"/>
    <w:next w:val="Normal"/>
    <w:link w:val="Heading1Char"/>
    <w:uiPriority w:val="9"/>
    <w:qFormat/>
    <w:rsid w:val="00D17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2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2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2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2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21A"/>
    <w:rPr>
      <w:rFonts w:eastAsiaTheme="majorEastAsia" w:cstheme="majorBidi"/>
      <w:color w:val="272727" w:themeColor="text1" w:themeTint="D8"/>
    </w:rPr>
  </w:style>
  <w:style w:type="paragraph" w:styleId="Title">
    <w:name w:val="Title"/>
    <w:basedOn w:val="Normal"/>
    <w:next w:val="Normal"/>
    <w:link w:val="TitleChar"/>
    <w:uiPriority w:val="10"/>
    <w:qFormat/>
    <w:rsid w:val="00D172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2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2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721A"/>
    <w:rPr>
      <w:i/>
      <w:iCs/>
      <w:color w:val="404040" w:themeColor="text1" w:themeTint="BF"/>
    </w:rPr>
  </w:style>
  <w:style w:type="paragraph" w:styleId="ListParagraph">
    <w:name w:val="List Paragraph"/>
    <w:basedOn w:val="Normal"/>
    <w:uiPriority w:val="34"/>
    <w:qFormat/>
    <w:rsid w:val="00D1721A"/>
    <w:pPr>
      <w:ind w:left="720"/>
      <w:contextualSpacing/>
    </w:pPr>
  </w:style>
  <w:style w:type="character" w:styleId="IntenseEmphasis">
    <w:name w:val="Intense Emphasis"/>
    <w:basedOn w:val="DefaultParagraphFont"/>
    <w:uiPriority w:val="21"/>
    <w:qFormat/>
    <w:rsid w:val="00D1721A"/>
    <w:rPr>
      <w:i/>
      <w:iCs/>
      <w:color w:val="0F4761" w:themeColor="accent1" w:themeShade="BF"/>
    </w:rPr>
  </w:style>
  <w:style w:type="paragraph" w:styleId="IntenseQuote">
    <w:name w:val="Intense Quote"/>
    <w:basedOn w:val="Normal"/>
    <w:next w:val="Normal"/>
    <w:link w:val="IntenseQuoteChar"/>
    <w:uiPriority w:val="30"/>
    <w:qFormat/>
    <w:rsid w:val="00D17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21A"/>
    <w:rPr>
      <w:i/>
      <w:iCs/>
      <w:color w:val="0F4761" w:themeColor="accent1" w:themeShade="BF"/>
    </w:rPr>
  </w:style>
  <w:style w:type="character" w:styleId="IntenseReference">
    <w:name w:val="Intense Reference"/>
    <w:basedOn w:val="DefaultParagraphFont"/>
    <w:uiPriority w:val="32"/>
    <w:qFormat/>
    <w:rsid w:val="00D1721A"/>
    <w:rPr>
      <w:b/>
      <w:bCs/>
      <w:smallCaps/>
      <w:color w:val="0F4761" w:themeColor="accent1" w:themeShade="BF"/>
      <w:spacing w:val="5"/>
    </w:rPr>
  </w:style>
  <w:style w:type="table" w:styleId="GridTable1Light-Accent1">
    <w:name w:val="Grid Table 1 Light Accent 1"/>
    <w:basedOn w:val="TableNormal"/>
    <w:uiPriority w:val="46"/>
    <w:rsid w:val="00D1721A"/>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D1721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98727">
      <w:bodyDiv w:val="1"/>
      <w:marLeft w:val="0"/>
      <w:marRight w:val="0"/>
      <w:marTop w:val="0"/>
      <w:marBottom w:val="0"/>
      <w:divBdr>
        <w:top w:val="none" w:sz="0" w:space="0" w:color="auto"/>
        <w:left w:val="none" w:sz="0" w:space="0" w:color="auto"/>
        <w:bottom w:val="none" w:sz="0" w:space="0" w:color="auto"/>
        <w:right w:val="none" w:sz="0" w:space="0" w:color="auto"/>
      </w:divBdr>
      <w:divsChild>
        <w:div w:id="1869029071">
          <w:marLeft w:val="0"/>
          <w:marRight w:val="0"/>
          <w:marTop w:val="0"/>
          <w:marBottom w:val="0"/>
          <w:divBdr>
            <w:top w:val="none" w:sz="0" w:space="0" w:color="auto"/>
            <w:left w:val="none" w:sz="0" w:space="0" w:color="auto"/>
            <w:bottom w:val="none" w:sz="0" w:space="0" w:color="auto"/>
            <w:right w:val="none" w:sz="0" w:space="0" w:color="auto"/>
          </w:divBdr>
          <w:divsChild>
            <w:div w:id="1614750638">
              <w:marLeft w:val="0"/>
              <w:marRight w:val="0"/>
              <w:marTop w:val="0"/>
              <w:marBottom w:val="0"/>
              <w:divBdr>
                <w:top w:val="none" w:sz="0" w:space="0" w:color="auto"/>
                <w:left w:val="none" w:sz="0" w:space="0" w:color="auto"/>
                <w:bottom w:val="none" w:sz="0" w:space="0" w:color="auto"/>
                <w:right w:val="none" w:sz="0" w:space="0" w:color="auto"/>
              </w:divBdr>
            </w:div>
          </w:divsChild>
        </w:div>
        <w:div w:id="1978484943">
          <w:marLeft w:val="0"/>
          <w:marRight w:val="0"/>
          <w:marTop w:val="0"/>
          <w:marBottom w:val="0"/>
          <w:divBdr>
            <w:top w:val="none" w:sz="0" w:space="0" w:color="auto"/>
            <w:left w:val="none" w:sz="0" w:space="0" w:color="auto"/>
            <w:bottom w:val="none" w:sz="0" w:space="0" w:color="auto"/>
            <w:right w:val="none" w:sz="0" w:space="0" w:color="auto"/>
          </w:divBdr>
          <w:divsChild>
            <w:div w:id="178399244">
              <w:marLeft w:val="0"/>
              <w:marRight w:val="0"/>
              <w:marTop w:val="0"/>
              <w:marBottom w:val="0"/>
              <w:divBdr>
                <w:top w:val="none" w:sz="0" w:space="0" w:color="auto"/>
                <w:left w:val="none" w:sz="0" w:space="0" w:color="auto"/>
                <w:bottom w:val="none" w:sz="0" w:space="0" w:color="auto"/>
                <w:right w:val="none" w:sz="0" w:space="0" w:color="auto"/>
              </w:divBdr>
            </w:div>
          </w:divsChild>
        </w:div>
        <w:div w:id="1800298555">
          <w:marLeft w:val="0"/>
          <w:marRight w:val="0"/>
          <w:marTop w:val="0"/>
          <w:marBottom w:val="0"/>
          <w:divBdr>
            <w:top w:val="none" w:sz="0" w:space="0" w:color="auto"/>
            <w:left w:val="none" w:sz="0" w:space="0" w:color="auto"/>
            <w:bottom w:val="none" w:sz="0" w:space="0" w:color="auto"/>
            <w:right w:val="none" w:sz="0" w:space="0" w:color="auto"/>
          </w:divBdr>
          <w:divsChild>
            <w:div w:id="1805732225">
              <w:marLeft w:val="0"/>
              <w:marRight w:val="0"/>
              <w:marTop w:val="0"/>
              <w:marBottom w:val="0"/>
              <w:divBdr>
                <w:top w:val="none" w:sz="0" w:space="0" w:color="auto"/>
                <w:left w:val="none" w:sz="0" w:space="0" w:color="auto"/>
                <w:bottom w:val="none" w:sz="0" w:space="0" w:color="auto"/>
                <w:right w:val="none" w:sz="0" w:space="0" w:color="auto"/>
              </w:divBdr>
            </w:div>
          </w:divsChild>
        </w:div>
        <w:div w:id="1906449730">
          <w:marLeft w:val="0"/>
          <w:marRight w:val="0"/>
          <w:marTop w:val="0"/>
          <w:marBottom w:val="0"/>
          <w:divBdr>
            <w:top w:val="none" w:sz="0" w:space="0" w:color="auto"/>
            <w:left w:val="none" w:sz="0" w:space="0" w:color="auto"/>
            <w:bottom w:val="none" w:sz="0" w:space="0" w:color="auto"/>
            <w:right w:val="none" w:sz="0" w:space="0" w:color="auto"/>
          </w:divBdr>
          <w:divsChild>
            <w:div w:id="1794906817">
              <w:marLeft w:val="0"/>
              <w:marRight w:val="0"/>
              <w:marTop w:val="0"/>
              <w:marBottom w:val="0"/>
              <w:divBdr>
                <w:top w:val="none" w:sz="0" w:space="0" w:color="auto"/>
                <w:left w:val="none" w:sz="0" w:space="0" w:color="auto"/>
                <w:bottom w:val="none" w:sz="0" w:space="0" w:color="auto"/>
                <w:right w:val="none" w:sz="0" w:space="0" w:color="auto"/>
              </w:divBdr>
            </w:div>
          </w:divsChild>
        </w:div>
        <w:div w:id="124474895">
          <w:marLeft w:val="0"/>
          <w:marRight w:val="0"/>
          <w:marTop w:val="0"/>
          <w:marBottom w:val="0"/>
          <w:divBdr>
            <w:top w:val="none" w:sz="0" w:space="0" w:color="auto"/>
            <w:left w:val="none" w:sz="0" w:space="0" w:color="auto"/>
            <w:bottom w:val="none" w:sz="0" w:space="0" w:color="auto"/>
            <w:right w:val="none" w:sz="0" w:space="0" w:color="auto"/>
          </w:divBdr>
          <w:divsChild>
            <w:div w:id="1797095113">
              <w:marLeft w:val="0"/>
              <w:marRight w:val="0"/>
              <w:marTop w:val="0"/>
              <w:marBottom w:val="0"/>
              <w:divBdr>
                <w:top w:val="none" w:sz="0" w:space="0" w:color="auto"/>
                <w:left w:val="none" w:sz="0" w:space="0" w:color="auto"/>
                <w:bottom w:val="none" w:sz="0" w:space="0" w:color="auto"/>
                <w:right w:val="none" w:sz="0" w:space="0" w:color="auto"/>
              </w:divBdr>
            </w:div>
          </w:divsChild>
        </w:div>
        <w:div w:id="803933444">
          <w:marLeft w:val="0"/>
          <w:marRight w:val="0"/>
          <w:marTop w:val="0"/>
          <w:marBottom w:val="0"/>
          <w:divBdr>
            <w:top w:val="none" w:sz="0" w:space="0" w:color="auto"/>
            <w:left w:val="none" w:sz="0" w:space="0" w:color="auto"/>
            <w:bottom w:val="none" w:sz="0" w:space="0" w:color="auto"/>
            <w:right w:val="none" w:sz="0" w:space="0" w:color="auto"/>
          </w:divBdr>
          <w:divsChild>
            <w:div w:id="696271698">
              <w:marLeft w:val="0"/>
              <w:marRight w:val="0"/>
              <w:marTop w:val="0"/>
              <w:marBottom w:val="0"/>
              <w:divBdr>
                <w:top w:val="none" w:sz="0" w:space="0" w:color="auto"/>
                <w:left w:val="none" w:sz="0" w:space="0" w:color="auto"/>
                <w:bottom w:val="none" w:sz="0" w:space="0" w:color="auto"/>
                <w:right w:val="none" w:sz="0" w:space="0" w:color="auto"/>
              </w:divBdr>
            </w:div>
          </w:divsChild>
        </w:div>
        <w:div w:id="2070690812">
          <w:marLeft w:val="0"/>
          <w:marRight w:val="0"/>
          <w:marTop w:val="0"/>
          <w:marBottom w:val="0"/>
          <w:divBdr>
            <w:top w:val="none" w:sz="0" w:space="0" w:color="auto"/>
            <w:left w:val="none" w:sz="0" w:space="0" w:color="auto"/>
            <w:bottom w:val="none" w:sz="0" w:space="0" w:color="auto"/>
            <w:right w:val="none" w:sz="0" w:space="0" w:color="auto"/>
          </w:divBdr>
          <w:divsChild>
            <w:div w:id="1318609183">
              <w:marLeft w:val="0"/>
              <w:marRight w:val="0"/>
              <w:marTop w:val="0"/>
              <w:marBottom w:val="0"/>
              <w:divBdr>
                <w:top w:val="none" w:sz="0" w:space="0" w:color="auto"/>
                <w:left w:val="none" w:sz="0" w:space="0" w:color="auto"/>
                <w:bottom w:val="none" w:sz="0" w:space="0" w:color="auto"/>
                <w:right w:val="none" w:sz="0" w:space="0" w:color="auto"/>
              </w:divBdr>
            </w:div>
          </w:divsChild>
        </w:div>
        <w:div w:id="1310206154">
          <w:marLeft w:val="0"/>
          <w:marRight w:val="0"/>
          <w:marTop w:val="0"/>
          <w:marBottom w:val="0"/>
          <w:divBdr>
            <w:top w:val="none" w:sz="0" w:space="0" w:color="auto"/>
            <w:left w:val="none" w:sz="0" w:space="0" w:color="auto"/>
            <w:bottom w:val="none" w:sz="0" w:space="0" w:color="auto"/>
            <w:right w:val="none" w:sz="0" w:space="0" w:color="auto"/>
          </w:divBdr>
          <w:divsChild>
            <w:div w:id="1378240582">
              <w:marLeft w:val="0"/>
              <w:marRight w:val="0"/>
              <w:marTop w:val="0"/>
              <w:marBottom w:val="0"/>
              <w:divBdr>
                <w:top w:val="none" w:sz="0" w:space="0" w:color="auto"/>
                <w:left w:val="none" w:sz="0" w:space="0" w:color="auto"/>
                <w:bottom w:val="none" w:sz="0" w:space="0" w:color="auto"/>
                <w:right w:val="none" w:sz="0" w:space="0" w:color="auto"/>
              </w:divBdr>
            </w:div>
          </w:divsChild>
        </w:div>
        <w:div w:id="1611083114">
          <w:marLeft w:val="0"/>
          <w:marRight w:val="0"/>
          <w:marTop w:val="0"/>
          <w:marBottom w:val="0"/>
          <w:divBdr>
            <w:top w:val="none" w:sz="0" w:space="0" w:color="auto"/>
            <w:left w:val="none" w:sz="0" w:space="0" w:color="auto"/>
            <w:bottom w:val="none" w:sz="0" w:space="0" w:color="auto"/>
            <w:right w:val="none" w:sz="0" w:space="0" w:color="auto"/>
          </w:divBdr>
          <w:divsChild>
            <w:div w:id="1509830812">
              <w:marLeft w:val="0"/>
              <w:marRight w:val="0"/>
              <w:marTop w:val="0"/>
              <w:marBottom w:val="0"/>
              <w:divBdr>
                <w:top w:val="none" w:sz="0" w:space="0" w:color="auto"/>
                <w:left w:val="none" w:sz="0" w:space="0" w:color="auto"/>
                <w:bottom w:val="none" w:sz="0" w:space="0" w:color="auto"/>
                <w:right w:val="none" w:sz="0" w:space="0" w:color="auto"/>
              </w:divBdr>
            </w:div>
          </w:divsChild>
        </w:div>
        <w:div w:id="1934127853">
          <w:marLeft w:val="0"/>
          <w:marRight w:val="0"/>
          <w:marTop w:val="0"/>
          <w:marBottom w:val="0"/>
          <w:divBdr>
            <w:top w:val="none" w:sz="0" w:space="0" w:color="auto"/>
            <w:left w:val="none" w:sz="0" w:space="0" w:color="auto"/>
            <w:bottom w:val="none" w:sz="0" w:space="0" w:color="auto"/>
            <w:right w:val="none" w:sz="0" w:space="0" w:color="auto"/>
          </w:divBdr>
          <w:divsChild>
            <w:div w:id="1363823287">
              <w:marLeft w:val="0"/>
              <w:marRight w:val="0"/>
              <w:marTop w:val="0"/>
              <w:marBottom w:val="0"/>
              <w:divBdr>
                <w:top w:val="none" w:sz="0" w:space="0" w:color="auto"/>
                <w:left w:val="none" w:sz="0" w:space="0" w:color="auto"/>
                <w:bottom w:val="none" w:sz="0" w:space="0" w:color="auto"/>
                <w:right w:val="none" w:sz="0" w:space="0" w:color="auto"/>
              </w:divBdr>
            </w:div>
          </w:divsChild>
        </w:div>
        <w:div w:id="27872268">
          <w:marLeft w:val="0"/>
          <w:marRight w:val="0"/>
          <w:marTop w:val="0"/>
          <w:marBottom w:val="0"/>
          <w:divBdr>
            <w:top w:val="none" w:sz="0" w:space="0" w:color="auto"/>
            <w:left w:val="none" w:sz="0" w:space="0" w:color="auto"/>
            <w:bottom w:val="none" w:sz="0" w:space="0" w:color="auto"/>
            <w:right w:val="none" w:sz="0" w:space="0" w:color="auto"/>
          </w:divBdr>
          <w:divsChild>
            <w:div w:id="215819453">
              <w:marLeft w:val="0"/>
              <w:marRight w:val="0"/>
              <w:marTop w:val="0"/>
              <w:marBottom w:val="0"/>
              <w:divBdr>
                <w:top w:val="none" w:sz="0" w:space="0" w:color="auto"/>
                <w:left w:val="none" w:sz="0" w:space="0" w:color="auto"/>
                <w:bottom w:val="none" w:sz="0" w:space="0" w:color="auto"/>
                <w:right w:val="none" w:sz="0" w:space="0" w:color="auto"/>
              </w:divBdr>
            </w:div>
          </w:divsChild>
        </w:div>
        <w:div w:id="306935924">
          <w:marLeft w:val="0"/>
          <w:marRight w:val="0"/>
          <w:marTop w:val="0"/>
          <w:marBottom w:val="0"/>
          <w:divBdr>
            <w:top w:val="none" w:sz="0" w:space="0" w:color="auto"/>
            <w:left w:val="none" w:sz="0" w:space="0" w:color="auto"/>
            <w:bottom w:val="none" w:sz="0" w:space="0" w:color="auto"/>
            <w:right w:val="none" w:sz="0" w:space="0" w:color="auto"/>
          </w:divBdr>
          <w:divsChild>
            <w:div w:id="1978603929">
              <w:marLeft w:val="0"/>
              <w:marRight w:val="0"/>
              <w:marTop w:val="0"/>
              <w:marBottom w:val="0"/>
              <w:divBdr>
                <w:top w:val="none" w:sz="0" w:space="0" w:color="auto"/>
                <w:left w:val="none" w:sz="0" w:space="0" w:color="auto"/>
                <w:bottom w:val="none" w:sz="0" w:space="0" w:color="auto"/>
                <w:right w:val="none" w:sz="0" w:space="0" w:color="auto"/>
              </w:divBdr>
            </w:div>
          </w:divsChild>
        </w:div>
        <w:div w:id="430275769">
          <w:marLeft w:val="0"/>
          <w:marRight w:val="0"/>
          <w:marTop w:val="0"/>
          <w:marBottom w:val="0"/>
          <w:divBdr>
            <w:top w:val="none" w:sz="0" w:space="0" w:color="auto"/>
            <w:left w:val="none" w:sz="0" w:space="0" w:color="auto"/>
            <w:bottom w:val="none" w:sz="0" w:space="0" w:color="auto"/>
            <w:right w:val="none" w:sz="0" w:space="0" w:color="auto"/>
          </w:divBdr>
          <w:divsChild>
            <w:div w:id="793403516">
              <w:marLeft w:val="0"/>
              <w:marRight w:val="0"/>
              <w:marTop w:val="0"/>
              <w:marBottom w:val="0"/>
              <w:divBdr>
                <w:top w:val="none" w:sz="0" w:space="0" w:color="auto"/>
                <w:left w:val="none" w:sz="0" w:space="0" w:color="auto"/>
                <w:bottom w:val="none" w:sz="0" w:space="0" w:color="auto"/>
                <w:right w:val="none" w:sz="0" w:space="0" w:color="auto"/>
              </w:divBdr>
            </w:div>
          </w:divsChild>
        </w:div>
        <w:div w:id="1547445637">
          <w:marLeft w:val="0"/>
          <w:marRight w:val="0"/>
          <w:marTop w:val="0"/>
          <w:marBottom w:val="0"/>
          <w:divBdr>
            <w:top w:val="none" w:sz="0" w:space="0" w:color="auto"/>
            <w:left w:val="none" w:sz="0" w:space="0" w:color="auto"/>
            <w:bottom w:val="none" w:sz="0" w:space="0" w:color="auto"/>
            <w:right w:val="none" w:sz="0" w:space="0" w:color="auto"/>
          </w:divBdr>
          <w:divsChild>
            <w:div w:id="1926574988">
              <w:marLeft w:val="0"/>
              <w:marRight w:val="0"/>
              <w:marTop w:val="0"/>
              <w:marBottom w:val="0"/>
              <w:divBdr>
                <w:top w:val="none" w:sz="0" w:space="0" w:color="auto"/>
                <w:left w:val="none" w:sz="0" w:space="0" w:color="auto"/>
                <w:bottom w:val="none" w:sz="0" w:space="0" w:color="auto"/>
                <w:right w:val="none" w:sz="0" w:space="0" w:color="auto"/>
              </w:divBdr>
              <w:divsChild>
                <w:div w:id="2137794879">
                  <w:marLeft w:val="0"/>
                  <w:marRight w:val="0"/>
                  <w:marTop w:val="0"/>
                  <w:marBottom w:val="0"/>
                  <w:divBdr>
                    <w:top w:val="none" w:sz="0" w:space="0" w:color="auto"/>
                    <w:left w:val="none" w:sz="0" w:space="0" w:color="auto"/>
                    <w:bottom w:val="none" w:sz="0" w:space="0" w:color="auto"/>
                    <w:right w:val="none" w:sz="0" w:space="0" w:color="auto"/>
                  </w:divBdr>
                </w:div>
              </w:divsChild>
            </w:div>
            <w:div w:id="155191492">
              <w:marLeft w:val="0"/>
              <w:marRight w:val="0"/>
              <w:marTop w:val="0"/>
              <w:marBottom w:val="0"/>
              <w:divBdr>
                <w:top w:val="none" w:sz="0" w:space="0" w:color="auto"/>
                <w:left w:val="none" w:sz="0" w:space="0" w:color="auto"/>
                <w:bottom w:val="none" w:sz="0" w:space="0" w:color="auto"/>
                <w:right w:val="none" w:sz="0" w:space="0" w:color="auto"/>
              </w:divBdr>
              <w:divsChild>
                <w:div w:id="636567023">
                  <w:marLeft w:val="0"/>
                  <w:marRight w:val="0"/>
                  <w:marTop w:val="0"/>
                  <w:marBottom w:val="0"/>
                  <w:divBdr>
                    <w:top w:val="none" w:sz="0" w:space="0" w:color="auto"/>
                    <w:left w:val="none" w:sz="0" w:space="0" w:color="auto"/>
                    <w:bottom w:val="none" w:sz="0" w:space="0" w:color="auto"/>
                    <w:right w:val="none" w:sz="0" w:space="0" w:color="auto"/>
                  </w:divBdr>
                </w:div>
              </w:divsChild>
            </w:div>
            <w:div w:id="1551726119">
              <w:marLeft w:val="0"/>
              <w:marRight w:val="0"/>
              <w:marTop w:val="0"/>
              <w:marBottom w:val="0"/>
              <w:divBdr>
                <w:top w:val="none" w:sz="0" w:space="0" w:color="auto"/>
                <w:left w:val="none" w:sz="0" w:space="0" w:color="auto"/>
                <w:bottom w:val="none" w:sz="0" w:space="0" w:color="auto"/>
                <w:right w:val="none" w:sz="0" w:space="0" w:color="auto"/>
              </w:divBdr>
              <w:divsChild>
                <w:div w:id="14161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3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8702812">
              <w:marLeft w:val="0"/>
              <w:marRight w:val="0"/>
              <w:marTop w:val="0"/>
              <w:marBottom w:val="0"/>
              <w:divBdr>
                <w:top w:val="none" w:sz="0" w:space="0" w:color="auto"/>
                <w:left w:val="none" w:sz="0" w:space="0" w:color="auto"/>
                <w:bottom w:val="none" w:sz="0" w:space="0" w:color="auto"/>
                <w:right w:val="none" w:sz="0" w:space="0" w:color="auto"/>
              </w:divBdr>
              <w:divsChild>
                <w:div w:id="21454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0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3</cp:revision>
  <dcterms:created xsi:type="dcterms:W3CDTF">2026-06-28T20:10:00Z</dcterms:created>
  <dcterms:modified xsi:type="dcterms:W3CDTF">2026-06-28T20:19:00Z</dcterms:modified>
</cp:coreProperties>
</file>