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Hướng dẫn chạy — dữ liệu NIST đúng cấu hình demo</w:t>
      </w:r>
    </w:p>
    <w:p>
      <w:pPr>
        <w:pStyle w:val="Heading1"/>
      </w:pPr>
      <w:r>
        <w:t xml:space="preserve">1. Trạng thái</w:t>
      </w:r>
    </w:p>
    <w:p>
      <w:r>
        <w:t xml:space="preserve">Demo dùng AES-256-GCM, RSA-2048 OAEP SHA-256/MGF1-SHA-256, label rỗng, khóa AES32 byte. Dữ liệu tham chiếu hiện khớp chính cấu hình này. Bộ mẫu128/SHA512 và CAVP mirror cũ đã được thay thế.</w:t>
      </w:r>
    </w:p>
    <w:p>
      <w:r>
        <w:t xml:space="preserve">Dữ liệu mới do công cụ NIST GenVal sinh cục bộ từ mã nguồn ACVP-Server ở commit cố định; không nói đây là file mẫu tải sẵn từ GitHub, không phải NIST trực tiếp cấp chứng nhận.</w:t>
      </w:r>
    </w:p>
    <w:p>
      <w:pPr>
        <w:pStyle w:val="Heading1"/>
      </w:pPr>
      <w:r>
        <w:t xml:space="preserve">2. Chạy ứng dụng và kiểm thử</w:t>
      </w:r>
    </w:p>
    <w:p>
      <w:r>
        <w:t xml:space="preserve">Cần JDK21, Maven3.9+, Python3.9+ (standard library), openssl CLI tương thích pkeyutl. Dependency Java khóa trong pom.xml.</w:t>
      </w:r>
      <w:r>
        <w:br/>
      </w:r>
      <w:r>
        <w:t xml:space="preserve">python3 scripts/verify_data.py</w:t>
      </w:r>
      <w:r>
        <w:br/>
      </w:r>
      <w:r>
        <w:t xml:space="preserve">mvn clean test</w:t>
      </w:r>
      <w:r>
        <w:br/>
      </w:r>
      <w:r>
        <w:t xml:space="preserve">python3 scripts/demo.py init</w:t>
      </w:r>
      <w:r>
        <w:br/>
      </w:r>
      <w:r>
        <w:t xml:space="preserve">python3 scripts/demo.py run</w:t>
      </w:r>
    </w:p>
    <w:p>
      <w:r>
        <w:t xml:space="preserve">Mở http://127.0.0.1:8080. Tab trao đổi tệp mô phỏng cả hai bên. Tab bằng chứng tính140 ca mới:120 AES256 và20 giải bọc OAEP256. Mở hàng để xem source/expected/actual. Dừng bằng Ctrl+C.</w:t>
      </w:r>
    </w:p>
    <w:p>
      <w:r>
        <w:t xml:space="preserve">Khoá lưu PKCS#12 có mật khẩu; nạp lại khi restart. Xem docs/03_Hoan_thien_va_thuyet_trinh.md để quản lý khoá và dùng chữ ký. Không dùng dữ liệu nhạy cảm; đây chưa là E2EE chống server. Chỉ chạy loopback.</w:t>
      </w:r>
    </w:p>
    <w:p>
      <w:pPr>
        <w:pStyle w:val="Heading1"/>
      </w:pPr>
      <w:r>
        <w:t xml:space="preserve">3. Bộ bằng chứng giữa kỳ</w:t>
      </w:r>
    </w:p>
    <w:p>
      <w:r>
        <w:t xml:space="preserve">sh scripts/run_midterm.sh</w:t>
      </w:r>
    </w:p>
    <w:p>
      <w:r>
        <w:t xml:space="preserve">Tạo artifacts/run-&lt;UTC&gt; với raw.csv,summary.csv,RESULTS.docx,JUnit XML/log, môi trường và checksum.72 phép đo=3 nguồn giả lập×4 kích thước×2mode×3lần. Không chọn lần nhanh nhất.</w:t>
      </w:r>
    </w:p>
    <w:p>
      <w:r>
        <w:t xml:space="preserve">JUnit đọc bằng chứng NIST validator đã lưu, kiểm tra hash source để không dùng chứng cứ cũ khi code wrap/unwrap thay đổi. Chạy JUnit không tự khởi động server NIST, không cần cài.NET cho sử dụng bình thường.</w:t>
      </w:r>
    </w:p>
    <w:p>
      <w:pPr>
        <w:pStyle w:val="Heading1"/>
      </w:pPr>
      <w:r>
        <w:t xml:space="preserve">4. Sinh lại dữ liệu bằng NIST (chỉ khi cần)</w:t>
      </w:r>
    </w:p>
    <w:p>
      <w:r>
        <w:t xml:space="preserve">Yêu cầu thêm.NET8/9 SDK, mạng NuGet và cổng loopback. Không cần làm bước này mỗi lần mã hóa. Bản đã sinh được đóng băng trong src/test/resources/nist-acvp/generated-*.</w:t>
      </w:r>
    </w:p>
    <w:p>
      <w:r>
        <w:t xml:space="preserve">python3 scripts/setup_nist_source.py --destination /tmp/nist-reference</w:t>
      </w:r>
      <w:r>
        <w:br/>
      </w:r>
      <w:r>
        <w:t xml:space="preserve">Sau đó build2 project và khởi động Orleans host theo tools/nist-generation/config.json. Chạy:</w:t>
      </w:r>
      <w:r>
        <w:br/>
      </w:r>
      <w:r>
        <w:t xml:space="preserve">python3 scripts/generate_nist_vectors.py --source &lt;nguồn-đã-build&gt;</w:t>
      </w:r>
    </w:p>
    <w:p>
      <w:r>
        <w:t xml:space="preserve">Công cụ sinh ngẫu nhiên mới, nên các byte khác bản trước là bình thường. registration.json khóa cấu hình; commit khóa mã nguồn. expectedResults/internalProjection do NIST generator tính, không do Java bài tạo.</w:t>
      </w:r>
    </w:p>
    <w:p>
      <w:pPr>
        <w:pStyle w:val="Heading1"/>
      </w:pPr>
      <w:r>
        <w:t xml:space="preserve">5. Để NIST validator kiểm tra wrap/unwrap mới</w:t>
      </w:r>
    </w:p>
    <w:p>
      <w:r>
        <w:t xml:space="preserve">Biên dịch Java trước: mvn compile.</w:t>
      </w:r>
      <w:r>
        <w:br/>
      </w:r>
      <w:r>
        <w:t xml:space="preserve">Chạy lớp vn.edu.atbm.mssv1150080127.util.KtsOaepVectors với classpath target/classes và gson2.10.1.jar (Gson có trong Maven cache). Lớp tạo iutResponses.json bằng10 wrapKey và10 unwrapKey thật.</w:t>
      </w:r>
    </w:p>
    <w:p>
      <w:r>
        <w:t xml:space="preserve">Lệnh macOS/Linux:</w:t>
      </w:r>
      <w:r>
        <w:br/>
      </w:r>
      <w:r>
        <w:t xml:space="preserve">java -cp "target/classes:$HOME/.m2/repository/com/google/code/gson/gson/2.10.1/gson-2.10.1.jar" vn.edu.atbm.mssv1150080127.util.KtsOaepVectors</w:t>
      </w:r>
      <w:r>
        <w:br/>
      </w:r>
      <w:r>
        <w:t xml:space="preserve">python3 scripts/generate_nist_vectors.py --source &lt;nguồn-đã-build&gt; --validate</w:t>
      </w:r>
      <w:r>
        <w:br/>
      </w:r>
      <w:r>
        <w:t xml:space="preserve">python3 scripts/prepare_acvp.py</w:t>
      </w:r>
      <w:r>
        <w:br/>
      </w:r>
      <w:r>
        <w:t xml:space="preserve">python3 scripts/verify_data.py</w:t>
      </w:r>
      <w:r>
        <w:br/>
      </w:r>
      <w:r>
        <w:t xml:space="preserve">mvn clean test</w:t>
      </w:r>
    </w:p>
    <w:p>
      <w:r>
        <w:t xml:space="preserve">Validator NIST chạy cục bộ phải chấp nhận20 response đúng và từ chối một response cố tình sửa dkm. Script lưu validation.json, negative-validation.json và java-validation-evidence.json. Sau đó tạo lại Word bằng python3 scripts/create_documents.py.</w:t>
      </w:r>
    </w:p>
    <w:p>
      <w:pPr>
        <w:pStyle w:val="Heading1"/>
      </w:pPr>
      <w:r>
        <w:t xml:space="preserve">6. Tài liệu học và cấu trúc</w:t>
      </w:r>
    </w:p>
    <w:p>
      <w:r>
        <w:t xml:space="preserve">docs/01_Lam_chu_kiem_thu_NIST.docx giải thích chuỗi bằng chứng mới. docs/02_Bao_cao_tien_do.docx ghi phạm vi giữa kỳ và giới hạn.</w:t>
      </w:r>
    </w:p>
    <w:tbl>
      <w:tblPr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2400" w:type="dxa"/>
          </w:tcPr>
          <w:p>
            <w:r>
              <w:t xml:space="preserve">File</w:t>
            </w:r>
          </w:p>
        </w:tc>
        <w:tc>
          <w:tcPr>
            <w:tcW w:w="2400" w:type="dxa"/>
          </w:tcPr>
          <w:p>
            <w:r>
              <w:t xml:space="preserve">Vai trò</w:t>
            </w:r>
          </w:p>
        </w:tc>
      </w:tr>
      <w:tr>
        <w:tc>
          <w:tcPr>
            <w:tcW w:w="2400" w:type="dxa"/>
          </w:tcPr>
          <w:p>
            <w:r>
              <w:t xml:space="preserve">crypto/AesGcm.java</w:t>
            </w:r>
          </w:p>
        </w:tc>
        <w:tc>
          <w:tcPr>
            <w:tcW w:w="2400" w:type="dxa"/>
          </w:tcPr>
          <w:p>
            <w:r>
              <w:t xml:space="preserve">AES-GCM dùng chung cho demo và vector.</w:t>
            </w:r>
          </w:p>
        </w:tc>
      </w:tr>
      <w:tr>
        <w:tc>
          <w:tcPr>
            <w:tcW w:w="2400" w:type="dxa"/>
          </w:tcPr>
          <w:p>
            <w:r>
              <w:t xml:space="preserve">crypto/RsaKeyManager.java</w:t>
            </w:r>
          </w:p>
        </w:tc>
        <w:tc>
          <w:tcPr>
            <w:tcW w:w="2400" w:type="dxa"/>
          </w:tcPr>
          <w:p>
            <w:r>
              <w:t xml:space="preserve">wrapKey/unwrapKey thực tế, AES32 byte, OAEP SHA256, label rỗng.</w:t>
            </w:r>
          </w:p>
        </w:tc>
      </w:tr>
      <w:tr>
        <w:tc>
          <w:tcPr>
            <w:tcW w:w="2400" w:type="dxa"/>
          </w:tcPr>
          <w:p>
            <w:r>
              <w:t xml:space="preserve">crypto/RsaOaep.java</w:t>
            </w:r>
          </w:p>
        </w:tc>
        <w:tc>
          <w:tcPr>
            <w:tcW w:w="2400" w:type="dxa"/>
          </w:tcPr>
          <w:p>
            <w:r>
              <w:t xml:space="preserve">Primitive OAEP được RsaKeyManager gọi.</w:t>
            </w:r>
          </w:p>
        </w:tc>
      </w:tr>
      <w:tr>
        <w:tc>
          <w:tcPr>
            <w:tcW w:w="2400" w:type="dxa"/>
          </w:tcPr>
          <w:p>
            <w:r>
              <w:t xml:space="preserve">crypto/SecurePackageEngine.java</w:t>
            </w:r>
          </w:p>
        </w:tc>
        <w:tc>
          <w:tcPr>
            <w:tcW w:w="2400" w:type="dxa"/>
          </w:tcPr>
          <w:p>
            <w:r>
              <w:t xml:space="preserve">Dựng/đọc gói, sinh khóa/nonce, gọi AES và RSA dùng chung.</w:t>
            </w:r>
          </w:p>
        </w:tc>
      </w:tr>
      <w:tr>
        <w:tc>
          <w:tcPr>
            <w:tcW w:w="2400" w:type="dxa"/>
          </w:tcPr>
          <w:p>
            <w:r>
              <w:t xml:space="preserve">util/NistAcvpParser.java</w:t>
            </w:r>
          </w:p>
        </w:tc>
        <w:tc>
          <w:tcPr>
            <w:tcW w:w="2400" w:type="dxa"/>
          </w:tcPr>
          <w:p>
            <w:r>
              <w:t xml:space="preserve">Đọc dữ liệu AES, kiểm tra trường/độ dài.</w:t>
            </w:r>
          </w:p>
        </w:tc>
      </w:tr>
      <w:tr>
        <w:tc>
          <w:tcPr>
            <w:tcW w:w="2400" w:type="dxa"/>
          </w:tcPr>
          <w:p>
            <w:r>
              <w:t xml:space="preserve">util/AesGcmVectorVerifier.java</w:t>
            </w:r>
          </w:p>
        </w:tc>
        <w:tc>
          <w:tcPr>
            <w:tcW w:w="2400" w:type="dxa"/>
          </w:tcPr>
          <w:p>
            <w:r>
              <w:t xml:space="preserve">So kết quả AES với đáp án NIST GenVal.</w:t>
            </w:r>
          </w:p>
        </w:tc>
      </w:tr>
      <w:tr>
        <w:tc>
          <w:tcPr>
            <w:tcW w:w="2400" w:type="dxa"/>
          </w:tcPr>
          <w:p>
            <w:r>
              <w:t xml:space="preserve">util/KtsOaepVectors.java</w:t>
            </w:r>
          </w:p>
        </w:tc>
        <w:tc>
          <w:tcPr>
            <w:tcW w:w="2400" w:type="dxa"/>
          </w:tcPr>
          <w:p>
            <w:r>
              <w:t xml:space="preserve">Đọc KTS đúng256; gọi unwrapKey thật; tạo response bằng wrapKey/unwrapKey thật để NIST validator chấm.</w:t>
            </w:r>
          </w:p>
        </w:tc>
      </w:tr>
      <w:tr>
        <w:tc>
          <w:tcPr>
            <w:tcW w:w="2400" w:type="dxa"/>
          </w:tcPr>
          <w:p>
            <w:r>
              <w:t xml:space="preserve">util/ReferenceChecks.java</w:t>
            </w:r>
          </w:p>
        </w:tc>
        <w:tc>
          <w:tcPr>
            <w:tcW w:w="2400" w:type="dxa"/>
          </w:tcPr>
          <w:p>
            <w:r>
              <w:t xml:space="preserve">Thực thi140 ca đối chiếu trên web.</w:t>
            </w:r>
          </w:p>
        </w:tc>
      </w:tr>
    </w:tbl>
    <w:sectPr>
      <w:pgSz w:w="11906" w:h="16838"/>
      <w:pgMar w:top="1100" w:right="1100" w:bottom="1100" w:left="11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3"/>
        <w:lang w:val="vi-VN"/>
      </w:rPr>
    </w:rPrDefault>
    <w:pPrDefault>
      <w:pPr>
        <w:spacing w:after="140" w:line="285" w:lineRule="auto"/>
      </w:pPr>
    </w:pPrDefault>
  </w:docDefaults>
  <w:style w:type="paragraph" w:styleId="Normal" w:default="1">
    <w:name w:val="Normal"/>
  </w:style>
  <w:style w:type="paragraph" w:styleId="Title">
    <w:name w:val="Title"/>
    <w:rPr>
      <w:b/>
      <w:sz w:val="38"/>
      <w:color w:val="125C56"/>
    </w:rPr>
  </w:style>
  <w:style w:type="paragraph" w:styleId="Heading1">
    <w:name w:val="heading 1"/>
    <w:pPr>
      <w:keepNext/>
      <w:spacing w:before="260" w:after="140"/>
      <w:outlineLvl w:val="0"/>
    </w:pPr>
    <w:rPr>
      <w:b/>
      <w:sz w:val="29"/>
      <w:color w:val="19314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