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kiểm định thông tin dự báo của cảm xúc và câu chuyện trong tin tức tiếng Anh đối với lợi suất, biến động thực hiện và khối lượng giao dịch của năm tiền mã hóa giai đoạn 2023–2026. Từ 142.646 tin, nghiên cứu xây dựng chỉ số ngày bằng hai từ điển tài chính, FinBERT và phân loại câu chuyện, với mỗi tin gán theo giờ công bố hợp lệ hoặc giờ xuất hiện đầu tiên. Nghiên cứu dùng 300 nhãn độc lập, hồi quy HAC, sự kiện theo giờ, kiểm định Granger và dự báo ngoài mẫu. FinBERT phân biệt tin tốt và xấu tốt hơn hai từ điển (AUC 0,894 so với 0,718 và 0,726). Sau hiệu chỉnh kiểm định bội, không thấy lợi suất bất thường có hướng, nhưng khối lượng bất thường tăng quanh tin. Lợi suất dẫn trước cảm xúc ở cả 05 tài sản theo nghĩa Granger; chiều ngược lại và lợi ích dự báo ngoài mẫu của văn bản chưa có ý nghĩa. Kết quả chưa ủng hộ dùng cảm xúc tin tức để dự báo lợi suất hằng ngày. Do GKG chỉ cung cấp một lô mỗi giờ và rất ít giờ đăng được xác minh, quan hệ dẫn trước cần diễn giải thận trọng, không chứng minh nhân quả.</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tests whether sentiment and narratives in English-language news add predictive information for returns, realized volatility, and trading volume of BTC, ETH, SOL, BNB, and XRP in 2023–2026. From 142,646 articles, it constructs daily indices using two financial dictionaries, FinBERT, and narrative classification, dating each article by a valid publication time or its first observed time. The analysis uses 300 independently labeled headlines, HAC predictive regressions, hourly event studies, Granger tests, and out-of-sample forecasts. FinBERT distinguishes positive from negative headlines better than both dictionaries (AUC 0.894 versus 0.718 and 0.726). After multiple-testing correction, news is not associated with directional abnormal returns, although abnormal trading volume rises around news arrivals. Returns Granger-predict sentiment for all five assets; the reverse direction and out-of-sample forecast gains from text are not statistically significant. The results do not support daily news sentiment as a reliable return forecast signal. Because GKG provides only one batch per hour and very few publication times can be verified, predictive lead-lag relations require caution and do not establish causality.</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các nghiên cứu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25"/>
        <w:gridCol w:w="1047"/>
        <w:gridCol w:w="1047"/>
        <w:gridCol w:w="959"/>
        <w:gridCol w:w="1047"/>
        <w:gridCol w:w="1047"/>
      </w:tblGrid>
      <w:tr>
        <w:trPr>
          <w:cantSplit/>
          <w:tblHeader/>
        </w:trPr>
        <w:tc>
          <w:tcPr>
            <w:tcW w:type="dxa" w:w="392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5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Lợi suất log ngày (%)</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0,112</w:t>
            </w:r>
          </w:p>
        </w:tc>
        <w:tc>
          <w:tcPr>
            <w:tcW w:type="dxa" w:w="959"/>
            <w:tcBorders/>
          </w:tcPr>
          <w:p>
            <w:pPr>
              <w:spacing w:line="240" w:lineRule="auto"/>
              <w:ind w:firstLine="0"/>
              <w:jc w:val="right"/>
            </w:pPr>
            <w:r>
              <w:rPr>
                <w:rFonts w:ascii="Times New Roman" w:hAnsi="Times New Roman" w:eastAsia="Times New Roman" w:cs="Times New Roman"/>
                <w:sz w:val="22"/>
              </w:rPr>
              <w:t>3,464</w:t>
            </w:r>
          </w:p>
        </w:tc>
        <w:tc>
          <w:tcPr>
            <w:tcW w:type="dxa" w:w="1047"/>
            <w:tcBorders/>
          </w:tcPr>
          <w:p>
            <w:pPr>
              <w:spacing w:line="240" w:lineRule="auto"/>
              <w:ind w:firstLine="0"/>
              <w:jc w:val="right"/>
            </w:pPr>
            <w:r>
              <w:rPr>
                <w:rFonts w:ascii="Times New Roman" w:hAnsi="Times New Roman" w:eastAsia="Times New Roman" w:cs="Times New Roman"/>
                <w:sz w:val="22"/>
              </w:rPr>
              <w:t>−22,881</w:t>
            </w:r>
          </w:p>
        </w:tc>
        <w:tc>
          <w:tcPr>
            <w:tcW w:type="dxa" w:w="104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47"/>
            <w:tcBorders/>
          </w:tcPr>
          <w:p>
            <w:pPr>
              <w:spacing w:line="240" w:lineRule="auto"/>
              <w:ind w:firstLine="0"/>
              <w:jc w:val="right"/>
            </w:pPr>
            <w:r>
              <w:rPr>
                <w:rFonts w:ascii="Times New Roman" w:hAnsi="Times New Roman" w:eastAsia="Times New Roman" w:cs="Times New Roman"/>
                <w:sz w:val="22"/>
              </w:rPr>
              <w:t>6.755</w:t>
            </w:r>
          </w:p>
        </w:tc>
        <w:tc>
          <w:tcPr>
            <w:tcW w:type="dxa" w:w="1047"/>
            <w:tcBorders/>
          </w:tcPr>
          <w:p>
            <w:pPr>
              <w:spacing w:line="240" w:lineRule="auto"/>
              <w:ind w:firstLine="0"/>
              <w:jc w:val="right"/>
            </w:pPr>
            <w:r>
              <w:rPr>
                <w:rFonts w:ascii="Times New Roman" w:hAnsi="Times New Roman" w:eastAsia="Times New Roman" w:cs="Times New Roman"/>
                <w:sz w:val="22"/>
              </w:rPr>
              <w:t>12,348</w:t>
            </w:r>
          </w:p>
        </w:tc>
        <w:tc>
          <w:tcPr>
            <w:tcW w:type="dxa" w:w="959"/>
            <w:tcBorders/>
          </w:tcPr>
          <w:p>
            <w:pPr>
              <w:spacing w:line="240" w:lineRule="auto"/>
              <w:ind w:firstLine="0"/>
              <w:jc w:val="right"/>
            </w:pPr>
            <w:r>
              <w:rPr>
                <w:rFonts w:ascii="Times New Roman" w:hAnsi="Times New Roman" w:eastAsia="Times New Roman" w:cs="Times New Roman"/>
                <w:sz w:val="22"/>
              </w:rPr>
              <w:t>24,341</w:t>
            </w:r>
          </w:p>
        </w:tc>
        <w:tc>
          <w:tcPr>
            <w:tcW w:type="dxa" w:w="1047"/>
            <w:tcBorders/>
          </w:tcPr>
          <w:p>
            <w:pPr>
              <w:spacing w:line="240" w:lineRule="auto"/>
              <w:ind w:firstLine="0"/>
              <w:jc w:val="right"/>
            </w:pPr>
            <w:r>
              <w:rPr>
                <w:rFonts w:ascii="Times New Roman" w:hAnsi="Times New Roman" w:eastAsia="Times New Roman" w:cs="Times New Roman"/>
                <w:sz w:val="22"/>
              </w:rPr>
              <w:t>0,096</w:t>
            </w:r>
          </w:p>
        </w:tc>
        <w:tc>
          <w:tcPr>
            <w:tcW w:type="dxa" w:w="104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khối lượng USD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19,859</w:t>
            </w:r>
          </w:p>
        </w:tc>
        <w:tc>
          <w:tcPr>
            <w:tcW w:type="dxa" w:w="959"/>
            <w:tcBorders/>
          </w:tcPr>
          <w:p>
            <w:pPr>
              <w:spacing w:line="240" w:lineRule="auto"/>
              <w:ind w:firstLine="0"/>
              <w:jc w:val="right"/>
            </w:pPr>
            <w:r>
              <w:rPr>
                <w:rFonts w:ascii="Times New Roman" w:hAnsi="Times New Roman" w:eastAsia="Times New Roman" w:cs="Times New Roman"/>
                <w:sz w:val="22"/>
              </w:rPr>
              <w:t>1,223</w:t>
            </w:r>
          </w:p>
        </w:tc>
        <w:tc>
          <w:tcPr>
            <w:tcW w:type="dxa" w:w="1047"/>
            <w:tcBorders/>
          </w:tcPr>
          <w:p>
            <w:pPr>
              <w:spacing w:line="240" w:lineRule="auto"/>
              <w:ind w:firstLine="0"/>
              <w:jc w:val="right"/>
            </w:pPr>
            <w:r>
              <w:rPr>
                <w:rFonts w:ascii="Times New Roman" w:hAnsi="Times New Roman" w:eastAsia="Times New Roman" w:cs="Times New Roman"/>
                <w:sz w:val="22"/>
              </w:rPr>
              <w:t>16,346</w:t>
            </w:r>
          </w:p>
        </w:tc>
        <w:tc>
          <w:tcPr>
            <w:tcW w:type="dxa" w:w="1047"/>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2,142</w:t>
            </w:r>
          </w:p>
        </w:tc>
        <w:tc>
          <w:tcPr>
            <w:tcW w:type="dxa" w:w="959"/>
            <w:tcBorders/>
          </w:tcPr>
          <w:p>
            <w:pPr>
              <w:spacing w:line="240" w:lineRule="auto"/>
              <w:ind w:firstLine="0"/>
              <w:jc w:val="right"/>
            </w:pPr>
            <w:r>
              <w:rPr>
                <w:rFonts w:ascii="Times New Roman" w:hAnsi="Times New Roman" w:eastAsia="Times New Roman" w:cs="Times New Roman"/>
                <w:sz w:val="22"/>
              </w:rPr>
              <w:t>1,338</w:t>
            </w:r>
          </w:p>
        </w:tc>
        <w:tc>
          <w:tcPr>
            <w:tcW w:type="dxa" w:w="1047"/>
            <w:tcBorders/>
          </w:tcPr>
          <w:p>
            <w:pPr>
              <w:spacing w:line="240" w:lineRule="auto"/>
              <w:ind w:firstLine="0"/>
              <w:jc w:val="right"/>
            </w:pPr>
            <w:r>
              <w:rPr>
                <w:rFonts w:ascii="Times New Roman" w:hAnsi="Times New Roman" w:eastAsia="Times New Roman" w:cs="Times New Roman"/>
                <w:sz w:val="22"/>
              </w:rPr>
              <w:t>0,000</w:t>
            </w:r>
          </w:p>
        </w:tc>
        <w:tc>
          <w:tcPr>
            <w:tcW w:type="dxa" w:w="1047"/>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FinBERT (Sent)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0,1088</w:t>
            </w:r>
          </w:p>
        </w:tc>
        <w:tc>
          <w:tcPr>
            <w:tcW w:type="dxa" w:w="959"/>
            <w:tcBorders/>
          </w:tcPr>
          <w:p>
            <w:pPr>
              <w:spacing w:line="240" w:lineRule="auto"/>
              <w:ind w:firstLine="0"/>
              <w:jc w:val="right"/>
            </w:pPr>
            <w:r>
              <w:rPr>
                <w:rFonts w:ascii="Times New Roman" w:hAnsi="Times New Roman" w:eastAsia="Times New Roman" w:cs="Times New Roman"/>
                <w:sz w:val="22"/>
              </w:rPr>
              <w:t>0,2859</w:t>
            </w:r>
          </w:p>
        </w:tc>
        <w:tc>
          <w:tcPr>
            <w:tcW w:type="dxa" w:w="1047"/>
            <w:tcBorders/>
          </w:tcPr>
          <w:p>
            <w:pPr>
              <w:spacing w:line="240" w:lineRule="auto"/>
              <w:ind w:firstLine="0"/>
              <w:jc w:val="right"/>
            </w:pPr>
            <w:r>
              <w:rPr>
                <w:rFonts w:ascii="Times New Roman" w:hAnsi="Times New Roman" w:eastAsia="Times New Roman" w:cs="Times New Roman"/>
                <w:sz w:val="22"/>
              </w:rPr>
              <w:t>−0,9663</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−0,0213</w:t>
            </w:r>
          </w:p>
        </w:tc>
        <w:tc>
          <w:tcPr>
            <w:tcW w:type="dxa" w:w="959"/>
            <w:tcBorders/>
          </w:tcPr>
          <w:p>
            <w:pPr>
              <w:spacing w:line="240" w:lineRule="auto"/>
              <w:ind w:firstLine="0"/>
              <w:jc w:val="right"/>
            </w:pPr>
            <w:r>
              <w:rPr>
                <w:rFonts w:ascii="Times New Roman" w:hAnsi="Times New Roman" w:eastAsia="Times New Roman" w:cs="Times New Roman"/>
                <w:sz w:val="22"/>
              </w:rPr>
              <w:t>0,2646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Harvard IV-4</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0,1102</w:t>
            </w:r>
          </w:p>
        </w:tc>
        <w:tc>
          <w:tcPr>
            <w:tcW w:type="dxa" w:w="959"/>
            <w:tcBorders/>
          </w:tcPr>
          <w:p>
            <w:pPr>
              <w:spacing w:line="240" w:lineRule="auto"/>
              <w:ind w:firstLine="0"/>
              <w:jc w:val="right"/>
            </w:pPr>
            <w:r>
              <w:rPr>
                <w:rFonts w:ascii="Times New Roman" w:hAnsi="Times New Roman" w:eastAsia="Times New Roman" w:cs="Times New Roman"/>
                <w:sz w:val="22"/>
              </w:rPr>
              <w:t>0,3256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xấu (NegSent)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0,1506</w:t>
            </w:r>
          </w:p>
        </w:tc>
        <w:tc>
          <w:tcPr>
            <w:tcW w:type="dxa" w:w="959"/>
            <w:tcBorders/>
          </w:tcPr>
          <w:p>
            <w:pPr>
              <w:spacing w:line="240" w:lineRule="auto"/>
              <w:ind w:firstLine="0"/>
              <w:jc w:val="right"/>
            </w:pPr>
            <w:r>
              <w:rPr>
                <w:rFonts w:ascii="Times New Roman" w:hAnsi="Times New Roman" w:eastAsia="Times New Roman" w:cs="Times New Roman"/>
                <w:sz w:val="22"/>
              </w:rPr>
              <w:t>0,1587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tốt (PosSent)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0,2594</w:t>
            </w:r>
          </w:p>
        </w:tc>
        <w:tc>
          <w:tcPr>
            <w:tcW w:type="dxa" w:w="959"/>
            <w:tcBorders/>
          </w:tcPr>
          <w:p>
            <w:pPr>
              <w:spacing w:line="240" w:lineRule="auto"/>
              <w:ind w:firstLine="0"/>
              <w:jc w:val="right"/>
            </w:pPr>
            <w:r>
              <w:rPr>
                <w:rFonts w:ascii="Times New Roman" w:hAnsi="Times New Roman" w:eastAsia="Times New Roman" w:cs="Times New Roman"/>
                <w:sz w:val="22"/>
              </w:rPr>
              <w:t>0,1785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47"/>
            <w:tcBorders/>
          </w:tcPr>
          <w:p>
            <w:pPr>
              <w:spacing w:line="240" w:lineRule="auto"/>
              <w:ind w:firstLine="0"/>
              <w:jc w:val="right"/>
            </w:pPr>
            <w:r>
              <w:rPr>
                <w:rFonts w:ascii="Times New Roman" w:hAnsi="Times New Roman" w:eastAsia="Times New Roman" w:cs="Times New Roman"/>
                <w:sz w:val="22"/>
              </w:rPr>
              <w:t>6.017</w:t>
            </w:r>
          </w:p>
        </w:tc>
        <w:tc>
          <w:tcPr>
            <w:tcW w:type="dxa" w:w="1047"/>
            <w:tcBorders/>
          </w:tcPr>
          <w:p>
            <w:pPr>
              <w:spacing w:line="240" w:lineRule="auto"/>
              <w:ind w:firstLine="0"/>
              <w:jc w:val="right"/>
            </w:pPr>
            <w:r>
              <w:rPr>
                <w:rFonts w:ascii="Times New Roman" w:hAnsi="Times New Roman" w:eastAsia="Times New Roman" w:cs="Times New Roman"/>
                <w:sz w:val="22"/>
              </w:rPr>
              <w:t>0,6017</w:t>
            </w:r>
          </w:p>
        </w:tc>
        <w:tc>
          <w:tcPr>
            <w:tcW w:type="dxa" w:w="959"/>
            <w:tcBorders/>
          </w:tcPr>
          <w:p>
            <w:pPr>
              <w:spacing w:line="240" w:lineRule="auto"/>
              <w:ind w:firstLine="0"/>
              <w:jc w:val="right"/>
            </w:pPr>
            <w:r>
              <w:rPr>
                <w:rFonts w:ascii="Times New Roman" w:hAnsi="Times New Roman" w:eastAsia="Times New Roman" w:cs="Times New Roman"/>
                <w:sz w:val="22"/>
              </w:rPr>
              <w:t>0,4478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47"/>
            <w:tcBorders/>
          </w:tcPr>
          <w:p>
            <w:pPr>
              <w:spacing w:line="240" w:lineRule="auto"/>
              <w:ind w:firstLine="0"/>
              <w:jc w:val="right"/>
            </w:pPr>
            <w:r>
              <w:rPr>
                <w:rFonts w:ascii="Times New Roman" w:hAnsi="Times New Roman" w:eastAsia="Times New Roman" w:cs="Times New Roman"/>
                <w:sz w:val="22"/>
              </w:rPr>
              <w:t>6.011</w:t>
            </w:r>
          </w:p>
        </w:tc>
        <w:tc>
          <w:tcPr>
            <w:tcW w:type="dxa" w:w="1047"/>
            <w:tcBorders/>
          </w:tcPr>
          <w:p>
            <w:pPr>
              <w:spacing w:line="240" w:lineRule="auto"/>
              <w:ind w:firstLine="0"/>
              <w:jc w:val="right"/>
            </w:pPr>
            <w:r>
              <w:rPr>
                <w:rFonts w:ascii="Times New Roman" w:hAnsi="Times New Roman" w:eastAsia="Times New Roman" w:cs="Times New Roman"/>
                <w:sz w:val="22"/>
              </w:rPr>
              <w:t>0,4843</w:t>
            </w:r>
          </w:p>
        </w:tc>
        <w:tc>
          <w:tcPr>
            <w:tcW w:type="dxa" w:w="959"/>
            <w:tcBorders/>
          </w:tcPr>
          <w:p>
            <w:pPr>
              <w:spacing w:line="240" w:lineRule="auto"/>
              <w:ind w:firstLine="0"/>
              <w:jc w:val="right"/>
            </w:pPr>
            <w:r>
              <w:rPr>
                <w:rFonts w:ascii="Times New Roman" w:hAnsi="Times New Roman" w:eastAsia="Times New Roman" w:cs="Times New Roman"/>
                <w:sz w:val="22"/>
              </w:rPr>
              <w:t>0,1696</w:t>
            </w:r>
          </w:p>
        </w:tc>
        <w:tc>
          <w:tcPr>
            <w:tcW w:type="dxa" w:w="1047"/>
            <w:tcBorders/>
          </w:tcPr>
          <w:p>
            <w:pPr>
              <w:spacing w:line="240" w:lineRule="auto"/>
              <w:ind w:firstLine="0"/>
              <w:jc w:val="right"/>
            </w:pPr>
            <w:r>
              <w:rPr>
                <w:rFonts w:ascii="Times New Roman" w:hAnsi="Times New Roman" w:eastAsia="Times New Roman" w:cs="Times New Roman"/>
                <w:sz w:val="22"/>
              </w:rPr>
              <w:t>0,0007</w:t>
            </w:r>
          </w:p>
        </w:tc>
        <w:tc>
          <w:tcPr>
            <w:tcW w:type="dxa" w:w="1047"/>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0,0219</w:t>
            </w:r>
          </w:p>
        </w:tc>
        <w:tc>
          <w:tcPr>
            <w:tcW w:type="dxa" w:w="959"/>
            <w:tcBorders/>
          </w:tcPr>
          <w:p>
            <w:pPr>
              <w:spacing w:line="240" w:lineRule="auto"/>
              <w:ind w:firstLine="0"/>
              <w:jc w:val="right"/>
            </w:pPr>
            <w:r>
              <w:rPr>
                <w:rFonts w:ascii="Times New Roman" w:hAnsi="Times New Roman" w:eastAsia="Times New Roman" w:cs="Times New Roman"/>
                <w:sz w:val="22"/>
              </w:rPr>
              <w:t>0,0625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0,2631</w:t>
            </w:r>
          </w:p>
        </w:tc>
        <w:tc>
          <w:tcPr>
            <w:tcW w:type="dxa" w:w="959"/>
            <w:tcBorders/>
          </w:tcPr>
          <w:p>
            <w:pPr>
              <w:spacing w:line="240" w:lineRule="auto"/>
              <w:ind w:firstLine="0"/>
              <w:jc w:val="right"/>
            </w:pPr>
            <w:r>
              <w:rPr>
                <w:rFonts w:ascii="Times New Roman" w:hAnsi="Times New Roman" w:eastAsia="Times New Roman" w:cs="Times New Roman"/>
                <w:sz w:val="22"/>
              </w:rPr>
              <w:t>0,2425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0,0499</w:t>
            </w:r>
          </w:p>
        </w:tc>
        <w:tc>
          <w:tcPr>
            <w:tcW w:type="dxa" w:w="959"/>
            <w:tcBorders/>
          </w:tcPr>
          <w:p>
            <w:pPr>
              <w:spacing w:line="240" w:lineRule="auto"/>
              <w:ind w:firstLine="0"/>
              <w:jc w:val="right"/>
            </w:pPr>
            <w:r>
              <w:rPr>
                <w:rFonts w:ascii="Times New Roman" w:hAnsi="Times New Roman" w:eastAsia="Times New Roman" w:cs="Times New Roman"/>
                <w:sz w:val="22"/>
              </w:rPr>
              <w:t>0,1151</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Stablecoin</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0,0104</w:t>
            </w:r>
          </w:p>
        </w:tc>
        <w:tc>
          <w:tcPr>
            <w:tcW w:type="dxa" w:w="959"/>
            <w:tcBorders/>
          </w:tcPr>
          <w:p>
            <w:pPr>
              <w:spacing w:line="240" w:lineRule="auto"/>
              <w:ind w:firstLine="0"/>
              <w:jc w:val="right"/>
            </w:pPr>
            <w:r>
              <w:rPr>
                <w:rFonts w:ascii="Times New Roman" w:hAnsi="Times New Roman" w:eastAsia="Times New Roman" w:cs="Times New Roman"/>
                <w:sz w:val="22"/>
              </w:rPr>
              <w:t>0,0517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DeFi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0,0076</w:t>
            </w:r>
          </w:p>
        </w:tc>
        <w:tc>
          <w:tcPr>
            <w:tcW w:type="dxa" w:w="959"/>
            <w:tcBorders/>
          </w:tcPr>
          <w:p>
            <w:pPr>
              <w:spacing w:line="240" w:lineRule="auto"/>
              <w:ind w:firstLine="0"/>
              <w:jc w:val="right"/>
            </w:pPr>
            <w:r>
              <w:rPr>
                <w:rFonts w:ascii="Times New Roman" w:hAnsi="Times New Roman" w:eastAsia="Times New Roman" w:cs="Times New Roman"/>
                <w:sz w:val="22"/>
              </w:rPr>
              <w:t>0,0543</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Token AI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0,0384</w:t>
            </w:r>
          </w:p>
        </w:tc>
        <w:tc>
          <w:tcPr>
            <w:tcW w:type="dxa" w:w="959"/>
            <w:tcBorders/>
          </w:tcPr>
          <w:p>
            <w:pPr>
              <w:spacing w:line="240" w:lineRule="auto"/>
              <w:ind w:firstLine="0"/>
              <w:jc w:val="right"/>
            </w:pPr>
            <w:r>
              <w:rPr>
                <w:rFonts w:ascii="Times New Roman" w:hAnsi="Times New Roman" w:eastAsia="Times New Roman" w:cs="Times New Roman"/>
                <w:sz w:val="22"/>
              </w:rPr>
              <w:t>0,0990</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0,0157</w:t>
            </w:r>
          </w:p>
        </w:tc>
        <w:tc>
          <w:tcPr>
            <w:tcW w:type="dxa" w:w="959"/>
            <w:tcBorders/>
          </w:tcPr>
          <w:p>
            <w:pPr>
              <w:spacing w:line="240" w:lineRule="auto"/>
              <w:ind w:firstLine="0"/>
              <w:jc w:val="right"/>
            </w:pPr>
            <w:r>
              <w:rPr>
                <w:rFonts w:ascii="Times New Roman" w:hAnsi="Times New Roman" w:eastAsia="Times New Roman" w:cs="Times New Roman"/>
                <w:sz w:val="22"/>
              </w:rPr>
              <w:t>0,0698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0,2672</w:t>
            </w:r>
          </w:p>
        </w:tc>
        <w:tc>
          <w:tcPr>
            <w:tcW w:type="dxa" w:w="959"/>
            <w:tcBorders/>
          </w:tcPr>
          <w:p>
            <w:pPr>
              <w:spacing w:line="240" w:lineRule="auto"/>
              <w:ind w:firstLine="0"/>
              <w:jc w:val="right"/>
            </w:pPr>
            <w:r>
              <w:rPr>
                <w:rFonts w:ascii="Times New Roman" w:hAnsi="Times New Roman" w:eastAsia="Times New Roman" w:cs="Times New Roman"/>
                <w:sz w:val="22"/>
              </w:rPr>
              <w:t>0,2354</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Policy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105,07</w:t>
            </w:r>
          </w:p>
        </w:tc>
        <w:tc>
          <w:tcPr>
            <w:tcW w:type="dxa" w:w="959"/>
            <w:tcBorders/>
          </w:tcPr>
          <w:p>
            <w:pPr>
              <w:spacing w:line="240" w:lineRule="auto"/>
              <w:ind w:firstLine="0"/>
              <w:jc w:val="right"/>
            </w:pPr>
            <w:r>
              <w:rPr>
                <w:rFonts w:ascii="Times New Roman" w:hAnsi="Times New Roman" w:eastAsia="Times New Roman" w:cs="Times New Roman"/>
                <w:sz w:val="22"/>
              </w:rPr>
              <w:t>6,67</w:t>
            </w:r>
          </w:p>
        </w:tc>
        <w:tc>
          <w:tcPr>
            <w:tcW w:type="dxa" w:w="1047"/>
            <w:tcBorders/>
          </w:tcPr>
          <w:p>
            <w:pPr>
              <w:spacing w:line="240" w:lineRule="auto"/>
              <w:ind w:firstLine="0"/>
              <w:jc w:val="right"/>
            </w:pPr>
            <w:r>
              <w:rPr>
                <w:rFonts w:ascii="Times New Roman" w:hAnsi="Times New Roman" w:eastAsia="Times New Roman" w:cs="Times New Roman"/>
                <w:sz w:val="22"/>
              </w:rPr>
              <w:t>100,90</w:t>
            </w:r>
          </w:p>
        </w:tc>
        <w:tc>
          <w:tcPr>
            <w:tcW w:type="dxa" w:w="104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Price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105,84</w:t>
            </w:r>
          </w:p>
        </w:tc>
        <w:tc>
          <w:tcPr>
            <w:tcW w:type="dxa" w:w="959"/>
            <w:tcBorders/>
          </w:tcPr>
          <w:p>
            <w:pPr>
              <w:spacing w:line="240" w:lineRule="auto"/>
              <w:ind w:firstLine="0"/>
              <w:jc w:val="right"/>
            </w:pPr>
            <w:r>
              <w:rPr>
                <w:rFonts w:ascii="Times New Roman" w:hAnsi="Times New Roman" w:eastAsia="Times New Roman" w:cs="Times New Roman"/>
                <w:sz w:val="22"/>
              </w:rPr>
              <w:t>4,87</w:t>
            </w:r>
          </w:p>
        </w:tc>
        <w:tc>
          <w:tcPr>
            <w:tcW w:type="dxa" w:w="1047"/>
            <w:tcBorders/>
          </w:tcPr>
          <w:p>
            <w:pPr>
              <w:spacing w:line="240" w:lineRule="auto"/>
              <w:ind w:firstLine="0"/>
              <w:jc w:val="right"/>
            </w:pPr>
            <w:r>
              <w:rPr>
                <w:rFonts w:ascii="Times New Roman" w:hAnsi="Times New Roman" w:eastAsia="Times New Roman" w:cs="Times New Roman"/>
                <w:sz w:val="22"/>
              </w:rPr>
              <w:t>101,74</w:t>
            </w:r>
          </w:p>
        </w:tc>
        <w:tc>
          <w:tcPr>
            <w:tcW w:type="dxa" w:w="104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47"/>
            <w:tcBorders/>
          </w:tcPr>
          <w:p>
            <w:pPr>
              <w:spacing w:line="240" w:lineRule="auto"/>
              <w:ind w:firstLine="0"/>
              <w:jc w:val="right"/>
            </w:pPr>
            <w:r>
              <w:rPr>
                <w:rFonts w:ascii="Times New Roman" w:hAnsi="Times New Roman" w:eastAsia="Times New Roman" w:cs="Times New Roman"/>
                <w:sz w:val="22"/>
              </w:rPr>
              <w:t>148.066</w:t>
            </w:r>
          </w:p>
        </w:tc>
        <w:tc>
          <w:tcPr>
            <w:tcW w:type="dxa" w:w="1047"/>
            <w:tcBorders/>
          </w:tcPr>
          <w:p>
            <w:pPr>
              <w:spacing w:line="240" w:lineRule="auto"/>
              <w:ind w:firstLine="0"/>
              <w:jc w:val="right"/>
            </w:pPr>
            <w:r>
              <w:rPr>
                <w:rFonts w:ascii="Times New Roman" w:hAnsi="Times New Roman" w:eastAsia="Times New Roman" w:cs="Times New Roman"/>
                <w:sz w:val="22"/>
              </w:rPr>
              <w:t>0,0435</w:t>
            </w:r>
          </w:p>
        </w:tc>
        <w:tc>
          <w:tcPr>
            <w:tcW w:type="dxa" w:w="959"/>
            <w:tcBorders/>
          </w:tcPr>
          <w:p>
            <w:pPr>
              <w:spacing w:line="240" w:lineRule="auto"/>
              <w:ind w:firstLine="0"/>
              <w:jc w:val="right"/>
            </w:pPr>
            <w:r>
              <w:rPr>
                <w:rFonts w:ascii="Times New Roman" w:hAnsi="Times New Roman" w:eastAsia="Times New Roman" w:cs="Times New Roman"/>
                <w:sz w:val="22"/>
              </w:rPr>
              <w:t>0,5189</w:t>
            </w:r>
          </w:p>
        </w:tc>
        <w:tc>
          <w:tcPr>
            <w:tcW w:type="dxa" w:w="1047"/>
            <w:tcBorders/>
          </w:tcPr>
          <w:p>
            <w:pPr>
              <w:spacing w:line="240" w:lineRule="auto"/>
              <w:ind w:firstLine="0"/>
              <w:jc w:val="right"/>
            </w:pPr>
            <w:r>
              <w:rPr>
                <w:rFonts w:ascii="Times New Roman" w:hAnsi="Times New Roman" w:eastAsia="Times New Roman" w:cs="Times New Roman"/>
                <w:sz w:val="22"/>
              </w:rPr>
              <w:t>−0,9692</w:t>
            </w:r>
          </w:p>
        </w:tc>
        <w:tc>
          <w:tcPr>
            <w:tcW w:type="dxa" w:w="104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47"/>
            <w:tcBorders/>
          </w:tcPr>
          <w:p>
            <w:pPr>
              <w:spacing w:line="240" w:lineRule="auto"/>
              <w:ind w:firstLine="0"/>
              <w:jc w:val="right"/>
            </w:pPr>
            <w:r>
              <w:rPr>
                <w:rFonts w:ascii="Times New Roman" w:hAnsi="Times New Roman" w:eastAsia="Times New Roman" w:cs="Times New Roman"/>
                <w:sz w:val="22"/>
              </w:rPr>
              <w:t>150.160</w:t>
            </w:r>
          </w:p>
        </w:tc>
        <w:tc>
          <w:tcPr>
            <w:tcW w:type="dxa" w:w="1047"/>
            <w:tcBorders/>
          </w:tcPr>
          <w:p>
            <w:pPr>
              <w:spacing w:line="240" w:lineRule="auto"/>
              <w:ind w:firstLine="0"/>
              <w:jc w:val="right"/>
            </w:pPr>
            <w:r>
              <w:rPr>
                <w:rFonts w:ascii="Times New Roman" w:hAnsi="Times New Roman" w:eastAsia="Times New Roman" w:cs="Times New Roman"/>
                <w:sz w:val="22"/>
              </w:rPr>
              <w:t>−0,0761</w:t>
            </w:r>
          </w:p>
        </w:tc>
        <w:tc>
          <w:tcPr>
            <w:tcW w:type="dxa" w:w="959"/>
            <w:tcBorders/>
          </w:tcPr>
          <w:p>
            <w:pPr>
              <w:spacing w:line="240" w:lineRule="auto"/>
              <w:ind w:firstLine="0"/>
              <w:jc w:val="right"/>
            </w:pPr>
            <w:r>
              <w:rPr>
                <w:rFonts w:ascii="Times New Roman" w:hAnsi="Times New Roman" w:eastAsia="Times New Roman" w:cs="Times New Roman"/>
                <w:sz w:val="22"/>
              </w:rPr>
              <w:t>0,5434</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CAR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−0,010</w:t>
            </w:r>
          </w:p>
        </w:tc>
        <w:tc>
          <w:tcPr>
            <w:tcW w:type="dxa" w:w="959"/>
            <w:tcBorders/>
          </w:tcPr>
          <w:p>
            <w:pPr>
              <w:spacing w:line="240" w:lineRule="auto"/>
              <w:ind w:firstLine="0"/>
              <w:jc w:val="right"/>
            </w:pPr>
            <w:r>
              <w:rPr>
                <w:rFonts w:ascii="Times New Roman" w:hAnsi="Times New Roman" w:eastAsia="Times New Roman" w:cs="Times New Roman"/>
                <w:sz w:val="22"/>
              </w:rPr>
              <w:t>1,233</w:t>
            </w:r>
          </w:p>
        </w:tc>
        <w:tc>
          <w:tcPr>
            <w:tcW w:type="dxa" w:w="1047"/>
            <w:tcBorders/>
          </w:tcPr>
          <w:p>
            <w:pPr>
              <w:spacing w:line="240" w:lineRule="auto"/>
              <w:ind w:firstLine="0"/>
              <w:jc w:val="right"/>
            </w:pPr>
            <w:r>
              <w:rPr>
                <w:rFonts w:ascii="Times New Roman" w:hAnsi="Times New Roman" w:eastAsia="Times New Roman" w:cs="Times New Roman"/>
                <w:sz w:val="22"/>
              </w:rPr>
              <w:t>−12,443</w:t>
            </w:r>
          </w:p>
        </w:tc>
        <w:tc>
          <w:tcPr>
            <w:tcW w:type="dxa" w:w="104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0,193</w:t>
            </w:r>
          </w:p>
        </w:tc>
        <w:tc>
          <w:tcPr>
            <w:tcW w:type="dxa" w:w="959"/>
            <w:tcBorders/>
          </w:tcPr>
          <w:p>
            <w:pPr>
              <w:spacing w:line="240" w:lineRule="auto"/>
              <w:ind w:firstLine="0"/>
              <w:jc w:val="right"/>
            </w:pPr>
            <w:r>
              <w:rPr>
                <w:rFonts w:ascii="Times New Roman" w:hAnsi="Times New Roman" w:eastAsia="Times New Roman" w:cs="Times New Roman"/>
                <w:sz w:val="22"/>
              </w:rPr>
              <w:t>1,389</w:t>
            </w:r>
          </w:p>
        </w:tc>
        <w:tc>
          <w:tcPr>
            <w:tcW w:type="dxa" w:w="1047"/>
            <w:tcBorders/>
          </w:tcPr>
          <w:p>
            <w:pPr>
              <w:spacing w:line="240" w:lineRule="auto"/>
              <w:ind w:firstLine="0"/>
              <w:jc w:val="right"/>
            </w:pPr>
            <w:r>
              <w:rPr>
                <w:rFonts w:ascii="Times New Roman" w:hAnsi="Times New Roman" w:eastAsia="Times New Roman" w:cs="Times New Roman"/>
                <w:sz w:val="22"/>
              </w:rPr>
              <w:t>−7,326</w:t>
            </w:r>
          </w:p>
        </w:tc>
        <w:tc>
          <w:tcPr>
            <w:tcW w:type="dxa" w:w="104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25"/>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150.104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0,150</w:t>
            </w:r>
          </w:p>
        </w:tc>
        <w:tc>
          <w:tcPr>
            <w:tcW w:type="dxa" w:w="959"/>
            <w:tcBorders>
              <w:bottom w:val="single" w:sz="8" w:color="000000"/>
            </w:tcBorders>
          </w:tcPr>
          <w:p>
            <w:pPr>
              <w:spacing w:line="240" w:lineRule="auto"/>
              <w:ind w:firstLine="0"/>
              <w:jc w:val="right"/>
            </w:pPr>
            <w:r>
              <w:rPr>
                <w:rFonts w:ascii="Times New Roman" w:hAnsi="Times New Roman" w:eastAsia="Times New Roman" w:cs="Times New Roman"/>
                <w:sz w:val="22"/>
              </w:rPr>
              <w:t>0,624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với kho tin đầy đủ, BTC, ETH và XRP có tin gắn mã ở trên 90% số ngày, nên chỉ số của các tài sản này phản ánh tin riêng về chúng. Ngược lại, BNB chỉ có tin gắn mã ở 58,5% số ngày và phần lớn ngày dùng cho mô hình phải lấy chỉ số chung của thị trường, nên ước lượng cho BNB không thể diễn giải như tác động riêng của tin về BNB. Điều này được lý giải do tin được gắn mã bằng cách tìm tên hoặc ký hiệu tài sản trong tiêu đề, nên tài sản ít được báo chí nhắc đến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42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Trên Nhãn Yếu Và Nhãn Thủ Công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4297"/>
        <w:gridCol w:w="955"/>
        <w:gridCol w:w="955"/>
        <w:gridCol w:w="955"/>
        <w:gridCol w:w="955"/>
        <w:gridCol w:w="955"/>
      </w:tblGrid>
      <w:tr>
        <w:trPr>
          <w:cantSplit/>
          <w:tblHeader/>
        </w:trPr>
        <w:tc>
          <w:tcPr>
            <w:tcW w:type="dxa" w:w="4297"/>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A. Nhãn yếu CryptoPanic</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0,155</w:t>
            </w:r>
          </w:p>
        </w:tc>
        <w:tc>
          <w:tcPr>
            <w:tcW w:type="dxa" w:w="955"/>
            <w:tcBorders/>
          </w:tcPr>
          <w:p>
            <w:pPr>
              <w:spacing w:line="240" w:lineRule="auto"/>
              <w:ind w:firstLine="0"/>
              <w:jc w:val="right"/>
            </w:pPr>
            <w:r>
              <w:rPr>
                <w:rFonts w:ascii="Times New Roman" w:hAnsi="Times New Roman" w:eastAsia="Times New Roman" w:cs="Times New Roman"/>
                <w:sz w:val="22"/>
              </w:rPr>
              <w:t>0,184</w:t>
            </w:r>
          </w:p>
        </w:tc>
        <w:tc>
          <w:tcPr>
            <w:tcW w:type="dxa" w:w="955"/>
            <w:tcBorders/>
          </w:tcPr>
          <w:p>
            <w:pPr>
              <w:spacing w:line="240" w:lineRule="auto"/>
              <w:ind w:firstLine="0"/>
              <w:jc w:val="right"/>
            </w:pPr>
            <w:r>
              <w:rPr>
                <w:rFonts w:ascii="Times New Roman" w:hAnsi="Times New Roman" w:eastAsia="Times New Roman" w:cs="Times New Roman"/>
                <w:sz w:val="22"/>
              </w:rPr>
              <w:t>0,612</w:t>
            </w:r>
          </w:p>
        </w:tc>
        <w:tc>
          <w:tcPr>
            <w:tcW w:type="dxa" w:w="955"/>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0,312</w:t>
            </w:r>
          </w:p>
        </w:tc>
        <w:tc>
          <w:tcPr>
            <w:tcW w:type="dxa" w:w="955"/>
            <w:tcBorders/>
          </w:tcPr>
          <w:p>
            <w:pPr>
              <w:spacing w:line="240" w:lineRule="auto"/>
              <w:ind w:firstLine="0"/>
              <w:jc w:val="right"/>
            </w:pPr>
            <w:r>
              <w:rPr>
                <w:rFonts w:ascii="Times New Roman" w:hAnsi="Times New Roman" w:eastAsia="Times New Roman" w:cs="Times New Roman"/>
                <w:sz w:val="22"/>
              </w:rPr>
              <w:t>0,245</w:t>
            </w:r>
          </w:p>
        </w:tc>
        <w:tc>
          <w:tcPr>
            <w:tcW w:type="dxa" w:w="955"/>
            <w:tcBorders/>
          </w:tcPr>
          <w:p>
            <w:pPr>
              <w:spacing w:line="240" w:lineRule="auto"/>
              <w:ind w:firstLine="0"/>
              <w:jc w:val="right"/>
            </w:pPr>
            <w:r>
              <w:rPr>
                <w:rFonts w:ascii="Times New Roman" w:hAnsi="Times New Roman" w:eastAsia="Times New Roman" w:cs="Times New Roman"/>
                <w:sz w:val="22"/>
              </w:rPr>
              <w:t>0,571</w:t>
            </w:r>
          </w:p>
        </w:tc>
        <w:tc>
          <w:tcPr>
            <w:tcW w:type="dxa" w:w="955"/>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0,748</w:t>
            </w:r>
          </w:p>
        </w:tc>
        <w:tc>
          <w:tcPr>
            <w:tcW w:type="dxa" w:w="955"/>
            <w:tcBorders/>
          </w:tcPr>
          <w:p>
            <w:pPr>
              <w:spacing w:line="240" w:lineRule="auto"/>
              <w:ind w:firstLine="0"/>
              <w:jc w:val="right"/>
            </w:pPr>
            <w:r>
              <w:rPr>
                <w:rFonts w:ascii="Times New Roman" w:hAnsi="Times New Roman" w:eastAsia="Times New Roman" w:cs="Times New Roman"/>
                <w:sz w:val="22"/>
              </w:rPr>
              <w:t>0,637</w:t>
            </w:r>
          </w:p>
        </w:tc>
        <w:tc>
          <w:tcPr>
            <w:tcW w:type="dxa" w:w="955"/>
            <w:tcBorders/>
          </w:tcPr>
          <w:p>
            <w:pPr>
              <w:spacing w:line="240" w:lineRule="auto"/>
              <w:ind w:firstLine="0"/>
              <w:jc w:val="right"/>
            </w:pPr>
            <w:r>
              <w:rPr>
                <w:rFonts w:ascii="Times New Roman" w:hAnsi="Times New Roman" w:eastAsia="Times New Roman" w:cs="Times New Roman"/>
                <w:sz w:val="22"/>
              </w:rPr>
              <w:t>0,712</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CryptoBERT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0,802</w:t>
            </w:r>
          </w:p>
        </w:tc>
        <w:tc>
          <w:tcPr>
            <w:tcW w:type="dxa" w:w="955"/>
            <w:tcBorders/>
          </w:tcPr>
          <w:p>
            <w:pPr>
              <w:spacing w:line="240" w:lineRule="auto"/>
              <w:ind w:firstLine="0"/>
              <w:jc w:val="right"/>
            </w:pPr>
            <w:r>
              <w:rPr>
                <w:rFonts w:ascii="Times New Roman" w:hAnsi="Times New Roman" w:eastAsia="Times New Roman" w:cs="Times New Roman"/>
                <w:sz w:val="22"/>
              </w:rPr>
              <w:t>0,520</w:t>
            </w:r>
          </w:p>
        </w:tc>
        <w:tc>
          <w:tcPr>
            <w:tcW w:type="dxa" w:w="955"/>
            <w:tcBorders/>
          </w:tcPr>
          <w:p>
            <w:pPr>
              <w:spacing w:line="240" w:lineRule="auto"/>
              <w:ind w:firstLine="0"/>
              <w:jc w:val="right"/>
            </w:pPr>
            <w:r>
              <w:rPr>
                <w:rFonts w:ascii="Times New Roman" w:hAnsi="Times New Roman" w:eastAsia="Times New Roman" w:cs="Times New Roman"/>
                <w:sz w:val="22"/>
              </w:rPr>
              <w:t>0,591</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B. Cảm xúc,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0,553</w:t>
            </w:r>
          </w:p>
        </w:tc>
        <w:tc>
          <w:tcPr>
            <w:tcW w:type="dxa" w:w="955"/>
            <w:tcBorders/>
          </w:tcPr>
          <w:p>
            <w:pPr>
              <w:spacing w:line="240" w:lineRule="auto"/>
              <w:ind w:firstLine="0"/>
              <w:jc w:val="right"/>
            </w:pPr>
            <w:r>
              <w:rPr>
                <w:rFonts w:ascii="Times New Roman" w:hAnsi="Times New Roman" w:eastAsia="Times New Roman" w:cs="Times New Roman"/>
                <w:sz w:val="22"/>
              </w:rPr>
              <w:t>0,460</w:t>
            </w:r>
          </w:p>
        </w:tc>
        <w:tc>
          <w:tcPr>
            <w:tcW w:type="dxa" w:w="955"/>
            <w:tcBorders/>
          </w:tcPr>
          <w:p>
            <w:pPr>
              <w:spacing w:line="240" w:lineRule="auto"/>
              <w:ind w:firstLine="0"/>
              <w:jc w:val="right"/>
            </w:pPr>
            <w:r>
              <w:rPr>
                <w:rFonts w:ascii="Times New Roman" w:hAnsi="Times New Roman" w:eastAsia="Times New Roman" w:cs="Times New Roman"/>
                <w:sz w:val="22"/>
              </w:rPr>
              <w:t>0,718</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0,487</w:t>
            </w:r>
          </w:p>
        </w:tc>
        <w:tc>
          <w:tcPr>
            <w:tcW w:type="dxa" w:w="955"/>
            <w:tcBorders/>
          </w:tcPr>
          <w:p>
            <w:pPr>
              <w:spacing w:line="240" w:lineRule="auto"/>
              <w:ind w:firstLine="0"/>
              <w:jc w:val="right"/>
            </w:pPr>
            <w:r>
              <w:rPr>
                <w:rFonts w:ascii="Times New Roman" w:hAnsi="Times New Roman" w:eastAsia="Times New Roman" w:cs="Times New Roman"/>
                <w:sz w:val="22"/>
              </w:rPr>
              <w:t>0,459</w:t>
            </w:r>
          </w:p>
        </w:tc>
        <w:tc>
          <w:tcPr>
            <w:tcW w:type="dxa" w:w="955"/>
            <w:tcBorders/>
          </w:tcPr>
          <w:p>
            <w:pPr>
              <w:spacing w:line="240" w:lineRule="auto"/>
              <w:ind w:firstLine="0"/>
              <w:jc w:val="right"/>
            </w:pPr>
            <w:r>
              <w:rPr>
                <w:rFonts w:ascii="Times New Roman" w:hAnsi="Times New Roman" w:eastAsia="Times New Roman" w:cs="Times New Roman"/>
                <w:sz w:val="22"/>
              </w:rPr>
              <w:t>0,726</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0,580</w:t>
            </w:r>
          </w:p>
        </w:tc>
        <w:tc>
          <w:tcPr>
            <w:tcW w:type="dxa" w:w="955"/>
            <w:tcBorders/>
          </w:tcPr>
          <w:p>
            <w:pPr>
              <w:spacing w:line="240" w:lineRule="auto"/>
              <w:ind w:firstLine="0"/>
              <w:jc w:val="right"/>
            </w:pPr>
            <w:r>
              <w:rPr>
                <w:rFonts w:ascii="Times New Roman" w:hAnsi="Times New Roman" w:eastAsia="Times New Roman" w:cs="Times New Roman"/>
                <w:sz w:val="22"/>
              </w:rPr>
              <w:t>0,531</w:t>
            </w:r>
          </w:p>
        </w:tc>
        <w:tc>
          <w:tcPr>
            <w:tcW w:type="dxa" w:w="955"/>
            <w:tcBorders/>
          </w:tcPr>
          <w:p>
            <w:pPr>
              <w:spacing w:line="240" w:lineRule="auto"/>
              <w:ind w:firstLine="0"/>
              <w:jc w:val="right"/>
            </w:pPr>
            <w:r>
              <w:rPr>
                <w:rFonts w:ascii="Times New Roman" w:hAnsi="Times New Roman" w:eastAsia="Times New Roman" w:cs="Times New Roman"/>
                <w:sz w:val="22"/>
              </w:rPr>
              <w:t>0,894</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C. Câu chuyện thị trường,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LDA</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0,187</w:t>
            </w:r>
          </w:p>
        </w:tc>
        <w:tc>
          <w:tcPr>
            <w:tcW w:type="dxa" w:w="955"/>
            <w:tcBorders/>
          </w:tcPr>
          <w:p>
            <w:pPr>
              <w:spacing w:line="240" w:lineRule="auto"/>
              <w:ind w:firstLine="0"/>
              <w:jc w:val="right"/>
            </w:pPr>
            <w:r>
              <w:rPr>
                <w:rFonts w:ascii="Times New Roman" w:hAnsi="Times New Roman" w:eastAsia="Times New Roman" w:cs="Times New Roman"/>
                <w:sz w:val="22"/>
              </w:rPr>
              <w:t>0,091</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BERTopic</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0,370</w:t>
            </w:r>
          </w:p>
        </w:tc>
        <w:tc>
          <w:tcPr>
            <w:tcW w:type="dxa" w:w="955"/>
            <w:tcBorders/>
          </w:tcPr>
          <w:p>
            <w:pPr>
              <w:spacing w:line="240" w:lineRule="auto"/>
              <w:ind w:firstLine="0"/>
              <w:jc w:val="right"/>
            </w:pPr>
            <w:r>
              <w:rPr>
                <w:rFonts w:ascii="Times New Roman" w:hAnsi="Times New Roman" w:eastAsia="Times New Roman" w:cs="Times New Roman"/>
                <w:sz w:val="22"/>
              </w:rPr>
              <w:t>0,229</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bottom w:val="single" w:sz="8" w:color="000000"/>
            </w:tcBorders>
          </w:tcPr>
          <w:p>
            <w:pPr>
              <w:spacing w:line="240" w:lineRule="auto"/>
              <w:ind w:firstLine="0"/>
              <w:jc w:val="left"/>
            </w:pPr>
            <w:r>
              <w:rPr>
                <w:rFonts w:ascii="Times New Roman" w:hAnsi="Times New Roman" w:eastAsia="Times New Roman" w:cs="Times New Roman"/>
                <w:sz w:val="22"/>
              </w:rPr>
              <w:t>Zero-shot (vectơ nhúng)</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300</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0,377</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0,333</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gồm 6.995 tiêu đề CryptoPanic có ít nhất 03 phiếu và chênh lệch phiếu tích cực và tiêu cực từ 02 phiếu trở lên, trong đó 81,6% có nhãn tích cực; "Phân định" là tỷ lệ tin mà thước đo cho điểm khác 0, điểm bằng 0 được tính là dự đoán sai. Panel B và C gồm 300 tiêu đề chọn ngẫu nhiên trước kỳ đánh giá, gán ba nhãn cảm xúc (tích cực, trung tính, tiêu cực) và một trong 08 câu chuyện thị trường hoặc nhóm khác; AUC tính trên các tiêu đề tích cực và tiêu cực.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do nhóm tác giả gán nhãn thủ công ở Panel B của Bảng 5 củng cố nhận định này: FinBERT đạt AUC 0,894, cao hơn rõ so với Loughran - McDonald (0,718) và Harvard IV-4 (0,726), và có F1 trung bình cao nhất (0,531). Độ chính xác của mọi thước đo chỉ ở mức trung bình (FinBERT 0,580) vì 58,0% tiêu đề được gán nhãn trung tính, nhóm mà các thước đo khó tách khỏi tin tốt hoặc tin xấu nhẹ. Đối với câu chuyện thị trường, Panel C cho thấy phân loại zero-shot đạt độ chính xác 0,377 và F1 trung bình 0,333, cao hơn BERTopic (0,370; 0,229) và LDA (0,187; 0,091), nhưng độ chính xác này vẫn thấp hơn tỷ lệ 42,0% tiêu đề mà người gán xếp vào nhóm khác. Điều này có nghĩa là zero-shot nhận diện các câu chuyện định trước tốt hơn hai mô hình chủ đề, song xếp nhiều tiêu đề không thuộc 08 câu chuyện vào một câu chuyện cụ thể, nên các biến chú ý cần được hiểu là thước đo có nhiễu và kết quả không có ý nghĩa ở RQ3 có thể một phần do sai số đo lường.</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73"/>
        <w:gridCol w:w="1949"/>
        <w:gridCol w:w="1874"/>
        <w:gridCol w:w="1874"/>
      </w:tblGrid>
      <w:tr>
        <w:trPr>
          <w:cantSplit/>
          <w:tblHeader/>
        </w:trPr>
        <w:tc>
          <w:tcPr>
            <w:tcW w:type="dxa" w:w="337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−0,00042 (0,00548)</w:t>
            </w:r>
          </w:p>
        </w:tc>
        <w:tc>
          <w:tcPr>
            <w:tcW w:type="dxa" w:w="1874"/>
            <w:tcBorders/>
          </w:tcPr>
          <w:p>
            <w:pPr>
              <w:spacing w:line="240" w:lineRule="auto"/>
              <w:ind w:firstLine="0"/>
              <w:jc w:val="right"/>
            </w:pPr>
            <w:r>
              <w:rPr>
                <w:rFonts w:ascii="Times New Roman" w:hAnsi="Times New Roman" w:eastAsia="Times New Roman" w:cs="Times New Roman"/>
                <w:sz w:val="22"/>
              </w:rPr>
              <w:t>0,00651 (0,00478)</w:t>
            </w:r>
          </w:p>
        </w:tc>
        <w:tc>
          <w:tcPr>
            <w:tcW w:type="dxa" w:w="1874"/>
            <w:tcBorders/>
          </w:tcPr>
          <w:p>
            <w:pPr>
              <w:spacing w:line="240" w:lineRule="auto"/>
              <w:ind w:firstLine="0"/>
              <w:jc w:val="right"/>
            </w:pPr>
            <w:r>
              <w:rPr>
                <w:rFonts w:ascii="Times New Roman" w:hAnsi="Times New Roman" w:eastAsia="Times New Roman" w:cs="Times New Roman"/>
                <w:sz w:val="22"/>
              </w:rPr>
              <w:t>0,00328 (0,00676)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0,00269 (0,00622)</w:t>
            </w:r>
          </w:p>
        </w:tc>
        <w:tc>
          <w:tcPr>
            <w:tcW w:type="dxa" w:w="1874"/>
            <w:tcBorders/>
          </w:tcPr>
          <w:p>
            <w:pPr>
              <w:spacing w:line="240" w:lineRule="auto"/>
              <w:ind w:firstLine="0"/>
              <w:jc w:val="right"/>
            </w:pPr>
            <w:r>
              <w:rPr>
                <w:rFonts w:ascii="Times New Roman" w:hAnsi="Times New Roman" w:eastAsia="Times New Roman" w:cs="Times New Roman"/>
                <w:sz w:val="22"/>
              </w:rPr>
              <w:t>0,00454 (0,00481)</w:t>
            </w:r>
          </w:p>
        </w:tc>
        <w:tc>
          <w:tcPr>
            <w:tcW w:type="dxa" w:w="1874"/>
            <w:tcBorders/>
          </w:tcPr>
          <w:p>
            <w:pPr>
              <w:spacing w:line="240" w:lineRule="auto"/>
              <w:ind w:firstLine="0"/>
              <w:jc w:val="right"/>
            </w:pPr>
            <w:r>
              <w:rPr>
                <w:rFonts w:ascii="Times New Roman" w:hAnsi="Times New Roman" w:eastAsia="Times New Roman" w:cs="Times New Roman"/>
                <w:sz w:val="22"/>
              </w:rPr>
              <w:t>0,00639 (0,00608)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−0,00624 (0,00622)</w:t>
            </w:r>
          </w:p>
        </w:tc>
        <w:tc>
          <w:tcPr>
            <w:tcW w:type="dxa" w:w="1874"/>
            <w:tcBorders/>
          </w:tcPr>
          <w:p>
            <w:pPr>
              <w:spacing w:line="240" w:lineRule="auto"/>
              <w:ind w:firstLine="0"/>
              <w:jc w:val="right"/>
            </w:pPr>
            <w:r>
              <w:rPr>
                <w:rFonts w:ascii="Times New Roman" w:hAnsi="Times New Roman" w:eastAsia="Times New Roman" w:cs="Times New Roman"/>
                <w:sz w:val="22"/>
              </w:rPr>
              <w:t>−0,00041 (0,00506)</w:t>
            </w:r>
          </w:p>
        </w:tc>
        <w:tc>
          <w:tcPr>
            <w:tcW w:type="dxa" w:w="1874"/>
            <w:tcBorders/>
          </w:tcPr>
          <w:p>
            <w:pPr>
              <w:spacing w:line="240" w:lineRule="auto"/>
              <w:ind w:firstLine="0"/>
              <w:jc w:val="right"/>
            </w:pPr>
            <w:r>
              <w:rPr>
                <w:rFonts w:ascii="Times New Roman" w:hAnsi="Times New Roman" w:eastAsia="Times New Roman" w:cs="Times New Roman"/>
                <w:sz w:val="22"/>
              </w:rPr>
              <w:t>0,00890 (0,00634)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−0,00239 (0,00529)</w:t>
            </w:r>
          </w:p>
        </w:tc>
        <w:tc>
          <w:tcPr>
            <w:tcW w:type="dxa" w:w="1874"/>
            <w:tcBorders/>
          </w:tcPr>
          <w:p>
            <w:pPr>
              <w:spacing w:line="240" w:lineRule="auto"/>
              <w:ind w:firstLine="0"/>
              <w:jc w:val="right"/>
            </w:pPr>
            <w:r>
              <w:rPr>
                <w:rFonts w:ascii="Times New Roman" w:hAnsi="Times New Roman" w:eastAsia="Times New Roman" w:cs="Times New Roman"/>
                <w:sz w:val="22"/>
              </w:rPr>
              <w:t>0,00751** (0,00345)</w:t>
            </w:r>
          </w:p>
        </w:tc>
        <w:tc>
          <w:tcPr>
            <w:tcW w:type="dxa" w:w="1874"/>
            <w:tcBorders/>
          </w:tcPr>
          <w:p>
            <w:pPr>
              <w:spacing w:line="240" w:lineRule="auto"/>
              <w:ind w:firstLine="0"/>
              <w:jc w:val="right"/>
            </w:pPr>
            <w:r>
              <w:rPr>
                <w:rFonts w:ascii="Times New Roman" w:hAnsi="Times New Roman" w:eastAsia="Times New Roman" w:cs="Times New Roman"/>
                <w:sz w:val="22"/>
              </w:rPr>
              <w:t>0,01037** (0,00456)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−0,00563 (0,00546)</w:t>
            </w:r>
          </w:p>
        </w:tc>
        <w:tc>
          <w:tcPr>
            <w:tcW w:type="dxa" w:w="1874"/>
            <w:tcBorders/>
          </w:tcPr>
          <w:p>
            <w:pPr>
              <w:spacing w:line="240" w:lineRule="auto"/>
              <w:ind w:firstLine="0"/>
              <w:jc w:val="right"/>
            </w:pPr>
            <w:r>
              <w:rPr>
                <w:rFonts w:ascii="Times New Roman" w:hAnsi="Times New Roman" w:eastAsia="Times New Roman" w:cs="Times New Roman"/>
                <w:sz w:val="22"/>
              </w:rPr>
              <w:t>0,00328 (0,00530)</w:t>
            </w:r>
          </w:p>
        </w:tc>
        <w:tc>
          <w:tcPr>
            <w:tcW w:type="dxa" w:w="1874"/>
            <w:tcBorders/>
          </w:tcPr>
          <w:p>
            <w:pPr>
              <w:spacing w:line="240" w:lineRule="auto"/>
              <w:ind w:firstLine="0"/>
              <w:jc w:val="right"/>
            </w:pPr>
            <w:r>
              <w:rPr>
                <w:rFonts w:ascii="Times New Roman" w:hAnsi="Times New Roman" w:eastAsia="Times New Roman" w:cs="Times New Roman"/>
                <w:sz w:val="22"/>
              </w:rPr>
              <w:t>−0,00304 (0,00798)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0,00034* (0,00019)</w:t>
            </w:r>
          </w:p>
        </w:tc>
        <w:tc>
          <w:tcPr>
            <w:tcW w:type="dxa" w:w="1874"/>
            <w:tcBorders/>
          </w:tcPr>
          <w:p>
            <w:pPr>
              <w:spacing w:line="240" w:lineRule="auto"/>
              <w:ind w:firstLine="0"/>
              <w:jc w:val="right"/>
            </w:pPr>
            <w:r>
              <w:rPr>
                <w:rFonts w:ascii="Times New Roman" w:hAnsi="Times New Roman" w:eastAsia="Times New Roman" w:cs="Times New Roman"/>
                <w:sz w:val="22"/>
              </w:rPr>
              <w:t>0,00005 (0,00013)</w:t>
            </w:r>
          </w:p>
        </w:tc>
        <w:tc>
          <w:tcPr>
            <w:tcW w:type="dxa" w:w="1874"/>
            <w:tcBorders/>
          </w:tcPr>
          <w:p>
            <w:pPr>
              <w:spacing w:line="240" w:lineRule="auto"/>
              <w:ind w:firstLine="0"/>
              <w:jc w:val="right"/>
            </w:pPr>
            <w:r>
              <w:rPr>
                <w:rFonts w:ascii="Times New Roman" w:hAnsi="Times New Roman" w:eastAsia="Times New Roman" w:cs="Times New Roman"/>
                <w:sz w:val="22"/>
              </w:rPr>
              <w:t>0,00000 (0,00020)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0,00018 (0,00026)</w:t>
            </w:r>
          </w:p>
        </w:tc>
        <w:tc>
          <w:tcPr>
            <w:tcW w:type="dxa" w:w="1874"/>
            <w:tcBorders/>
          </w:tcPr>
          <w:p>
            <w:pPr>
              <w:spacing w:line="240" w:lineRule="auto"/>
              <w:ind w:firstLine="0"/>
              <w:jc w:val="right"/>
            </w:pPr>
            <w:r>
              <w:rPr>
                <w:rFonts w:ascii="Times New Roman" w:hAnsi="Times New Roman" w:eastAsia="Times New Roman" w:cs="Times New Roman"/>
                <w:sz w:val="22"/>
              </w:rPr>
              <w:t>0,00036* (0,00019)</w:t>
            </w:r>
          </w:p>
        </w:tc>
        <w:tc>
          <w:tcPr>
            <w:tcW w:type="dxa" w:w="1874"/>
            <w:tcBorders/>
          </w:tcPr>
          <w:p>
            <w:pPr>
              <w:spacing w:line="240" w:lineRule="auto"/>
              <w:ind w:firstLine="0"/>
              <w:jc w:val="right"/>
            </w:pPr>
            <w:r>
              <w:rPr>
                <w:rFonts w:ascii="Times New Roman" w:hAnsi="Times New Roman" w:eastAsia="Times New Roman" w:cs="Times New Roman"/>
                <w:sz w:val="22"/>
              </w:rPr>
              <w:t>0,00056* (0,00031)</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−0,00108*** (0,00036)</w:t>
            </w:r>
          </w:p>
        </w:tc>
        <w:tc>
          <w:tcPr>
            <w:tcW w:type="dxa" w:w="1874"/>
            <w:tcBorders/>
          </w:tcPr>
          <w:p>
            <w:pPr>
              <w:spacing w:line="240" w:lineRule="auto"/>
              <w:ind w:firstLine="0"/>
              <w:jc w:val="right"/>
            </w:pPr>
            <w:r>
              <w:rPr>
                <w:rFonts w:ascii="Times New Roman" w:hAnsi="Times New Roman" w:eastAsia="Times New Roman" w:cs="Times New Roman"/>
                <w:sz w:val="22"/>
              </w:rPr>
              <w:t>−0,00067** (0,00029)</w:t>
            </w:r>
          </w:p>
        </w:tc>
        <w:tc>
          <w:tcPr>
            <w:tcW w:type="dxa" w:w="1874"/>
            <w:tcBorders/>
          </w:tcPr>
          <w:p>
            <w:pPr>
              <w:spacing w:line="240" w:lineRule="auto"/>
              <w:ind w:firstLine="0"/>
              <w:jc w:val="right"/>
            </w:pPr>
            <w:r>
              <w:rPr>
                <w:rFonts w:ascii="Times New Roman" w:hAnsi="Times New Roman" w:eastAsia="Times New Roman" w:cs="Times New Roman"/>
                <w:sz w:val="22"/>
              </w:rPr>
              <w:t>−0,00026 (0,00030)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−0,00029 (0,00021)</w:t>
            </w:r>
          </w:p>
        </w:tc>
        <w:tc>
          <w:tcPr>
            <w:tcW w:type="dxa" w:w="1874"/>
            <w:tcBorders/>
          </w:tcPr>
          <w:p>
            <w:pPr>
              <w:spacing w:line="240" w:lineRule="auto"/>
              <w:ind w:firstLine="0"/>
              <w:jc w:val="right"/>
            </w:pPr>
            <w:r>
              <w:rPr>
                <w:rFonts w:ascii="Times New Roman" w:hAnsi="Times New Roman" w:eastAsia="Times New Roman" w:cs="Times New Roman"/>
                <w:sz w:val="22"/>
              </w:rPr>
              <w:t>0,00024 (0,00018)</w:t>
            </w:r>
          </w:p>
        </w:tc>
        <w:tc>
          <w:tcPr>
            <w:tcW w:type="dxa" w:w="1874"/>
            <w:tcBorders/>
          </w:tcPr>
          <w:p>
            <w:pPr>
              <w:spacing w:line="240" w:lineRule="auto"/>
              <w:ind w:firstLine="0"/>
              <w:jc w:val="right"/>
            </w:pPr>
            <w:r>
              <w:rPr>
                <w:rFonts w:ascii="Times New Roman" w:hAnsi="Times New Roman" w:eastAsia="Times New Roman" w:cs="Times New Roman"/>
                <w:sz w:val="22"/>
              </w:rPr>
              <w:t>−0,00002 (0,00018)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−0,00071 (0,00050)</w:t>
            </w:r>
          </w:p>
        </w:tc>
        <w:tc>
          <w:tcPr>
            <w:tcW w:type="dxa" w:w="1874"/>
            <w:tcBorders/>
          </w:tcPr>
          <w:p>
            <w:pPr>
              <w:spacing w:line="240" w:lineRule="auto"/>
              <w:ind w:firstLine="0"/>
              <w:jc w:val="right"/>
            </w:pPr>
            <w:r>
              <w:rPr>
                <w:rFonts w:ascii="Times New Roman" w:hAnsi="Times New Roman" w:eastAsia="Times New Roman" w:cs="Times New Roman"/>
                <w:sz w:val="22"/>
              </w:rPr>
              <w:t>−0,00005 (0,00052)</w:t>
            </w:r>
          </w:p>
        </w:tc>
        <w:tc>
          <w:tcPr>
            <w:tcW w:type="dxa" w:w="1874"/>
            <w:tcBorders/>
          </w:tcPr>
          <w:p>
            <w:pPr>
              <w:spacing w:line="240" w:lineRule="auto"/>
              <w:ind w:firstLine="0"/>
              <w:jc w:val="right"/>
            </w:pPr>
            <w:r>
              <w:rPr>
                <w:rFonts w:ascii="Times New Roman" w:hAnsi="Times New Roman" w:eastAsia="Times New Roman" w:cs="Times New Roman"/>
                <w:sz w:val="22"/>
              </w:rPr>
              <w:t>−0,00147 (0,00118)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0,30546** (0,13077)</w:t>
            </w:r>
          </w:p>
        </w:tc>
        <w:tc>
          <w:tcPr>
            <w:tcW w:type="dxa" w:w="1874"/>
            <w:tcBorders/>
          </w:tcPr>
          <w:p>
            <w:pPr>
              <w:spacing w:line="240" w:lineRule="auto"/>
              <w:ind w:firstLine="0"/>
              <w:jc w:val="right"/>
            </w:pPr>
            <w:r>
              <w:rPr>
                <w:rFonts w:ascii="Times New Roman" w:hAnsi="Times New Roman" w:eastAsia="Times New Roman" w:cs="Times New Roman"/>
                <w:sz w:val="22"/>
              </w:rPr>
              <w:t>0,10663 (0,10495)</w:t>
            </w:r>
          </w:p>
        </w:tc>
        <w:tc>
          <w:tcPr>
            <w:tcW w:type="dxa" w:w="1874"/>
            <w:tcBorders/>
          </w:tcPr>
          <w:p>
            <w:pPr>
              <w:spacing w:line="240" w:lineRule="auto"/>
              <w:ind w:firstLine="0"/>
              <w:jc w:val="right"/>
            </w:pPr>
            <w:r>
              <w:rPr>
                <w:rFonts w:ascii="Times New Roman" w:hAnsi="Times New Roman" w:eastAsia="Times New Roman" w:cs="Times New Roman"/>
                <w:sz w:val="22"/>
              </w:rPr>
              <w:t>0,26038** (0,11963)</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0,13061 (0,08194)</w:t>
            </w:r>
          </w:p>
        </w:tc>
        <w:tc>
          <w:tcPr>
            <w:tcW w:type="dxa" w:w="1874"/>
            <w:tcBorders/>
          </w:tcPr>
          <w:p>
            <w:pPr>
              <w:spacing w:line="240" w:lineRule="auto"/>
              <w:ind w:firstLine="0"/>
              <w:jc w:val="right"/>
            </w:pPr>
            <w:r>
              <w:rPr>
                <w:rFonts w:ascii="Times New Roman" w:hAnsi="Times New Roman" w:eastAsia="Times New Roman" w:cs="Times New Roman"/>
                <w:sz w:val="22"/>
              </w:rPr>
              <w:t>0,07246 (0,06176)</w:t>
            </w:r>
          </w:p>
        </w:tc>
        <w:tc>
          <w:tcPr>
            <w:tcW w:type="dxa" w:w="1874"/>
            <w:tcBorders/>
          </w:tcPr>
          <w:p>
            <w:pPr>
              <w:spacing w:line="240" w:lineRule="auto"/>
              <w:ind w:firstLine="0"/>
              <w:jc w:val="right"/>
            </w:pPr>
            <w:r>
              <w:rPr>
                <w:rFonts w:ascii="Times New Roman" w:hAnsi="Times New Roman" w:eastAsia="Times New Roman" w:cs="Times New Roman"/>
                <w:sz w:val="22"/>
              </w:rPr>
              <w:t>0,19400*** (0,07444)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−0,01337 (0,06231)</w:t>
            </w:r>
          </w:p>
        </w:tc>
        <w:tc>
          <w:tcPr>
            <w:tcW w:type="dxa" w:w="1874"/>
            <w:tcBorders/>
          </w:tcPr>
          <w:p>
            <w:pPr>
              <w:spacing w:line="240" w:lineRule="auto"/>
              <w:ind w:firstLine="0"/>
              <w:jc w:val="right"/>
            </w:pPr>
            <w:r>
              <w:rPr>
                <w:rFonts w:ascii="Times New Roman" w:hAnsi="Times New Roman" w:eastAsia="Times New Roman" w:cs="Times New Roman"/>
                <w:sz w:val="22"/>
              </w:rPr>
              <w:t>−0,10448* (0,05439)</w:t>
            </w:r>
          </w:p>
        </w:tc>
        <w:tc>
          <w:tcPr>
            <w:tcW w:type="dxa" w:w="1874"/>
            <w:tcBorders/>
          </w:tcPr>
          <w:p>
            <w:pPr>
              <w:spacing w:line="240" w:lineRule="auto"/>
              <w:ind w:firstLine="0"/>
              <w:jc w:val="right"/>
            </w:pPr>
            <w:r>
              <w:rPr>
                <w:rFonts w:ascii="Times New Roman" w:hAnsi="Times New Roman" w:eastAsia="Times New Roman" w:cs="Times New Roman"/>
                <w:sz w:val="22"/>
              </w:rPr>
              <w:t>−0,01366 (0,06526)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−0,10293 (0,08584)</w:t>
            </w:r>
          </w:p>
        </w:tc>
        <w:tc>
          <w:tcPr>
            <w:tcW w:type="dxa" w:w="1874"/>
            <w:tcBorders/>
          </w:tcPr>
          <w:p>
            <w:pPr>
              <w:spacing w:line="240" w:lineRule="auto"/>
              <w:ind w:firstLine="0"/>
              <w:jc w:val="right"/>
            </w:pPr>
            <w:r>
              <w:rPr>
                <w:rFonts w:ascii="Times New Roman" w:hAnsi="Times New Roman" w:eastAsia="Times New Roman" w:cs="Times New Roman"/>
                <w:sz w:val="22"/>
              </w:rPr>
              <w:t>0,12398 (0,07827)</w:t>
            </w:r>
          </w:p>
        </w:tc>
        <w:tc>
          <w:tcPr>
            <w:tcW w:type="dxa" w:w="1874"/>
            <w:tcBorders/>
          </w:tcPr>
          <w:p>
            <w:pPr>
              <w:spacing w:line="240" w:lineRule="auto"/>
              <w:ind w:firstLine="0"/>
              <w:jc w:val="right"/>
            </w:pPr>
            <w:r>
              <w:rPr>
                <w:rFonts w:ascii="Times New Roman" w:hAnsi="Times New Roman" w:eastAsia="Times New Roman" w:cs="Times New Roman"/>
                <w:sz w:val="22"/>
              </w:rPr>
              <w:t>−0,06547 (0,07330)</w:t>
            </w:r>
          </w:p>
        </w:tc>
      </w:tr>
      <w:tr>
        <w:trPr>
          <w:cantSplit/>
        </w:trPr>
        <w:tc>
          <w:tcPr>
            <w:tcW w:type="dxa" w:w="3373"/>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949"/>
            <w:tcBorders>
              <w:bottom w:val="single" w:sz="8" w:color="000000"/>
            </w:tcBorders>
          </w:tcPr>
          <w:p>
            <w:pPr>
              <w:spacing w:line="240" w:lineRule="auto"/>
              <w:ind w:firstLine="0"/>
              <w:jc w:val="right"/>
            </w:pPr>
            <w:r>
              <w:rPr>
                <w:rFonts w:ascii="Times New Roman" w:hAnsi="Times New Roman" w:eastAsia="Times New Roman" w:cs="Times New Roman"/>
                <w:sz w:val="22"/>
              </w:rPr>
              <w:t>−0,03243 (0,06965)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−0,03586 (0,05825)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292"/>
        <w:gridCol w:w="1146"/>
        <w:gridCol w:w="955"/>
        <w:gridCol w:w="1050"/>
        <w:gridCol w:w="1241"/>
        <w:gridCol w:w="1241"/>
        <w:gridCol w:w="1146"/>
      </w:tblGrid>
      <w:tr>
        <w:trPr>
          <w:cantSplit/>
          <w:tblHeader/>
        </w:trPr>
        <w:tc>
          <w:tcPr>
            <w:tcW w:type="dxa" w:w="229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05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Toàn bộ</w:t>
            </w:r>
          </w:p>
        </w:tc>
        <w:tc>
          <w:tcPr>
            <w:tcW w:type="dxa" w:w="1146"/>
            <w:tcBorders/>
          </w:tcPr>
          <w:p>
            <w:pPr>
              <w:spacing w:line="240" w:lineRule="auto"/>
              <w:ind w:firstLine="0"/>
              <w:jc w:val="right"/>
            </w:pPr>
            <w:r>
              <w:rPr>
                <w:rFonts w:ascii="Times New Roman" w:hAnsi="Times New Roman" w:eastAsia="Times New Roman" w:cs="Times New Roman"/>
                <w:sz w:val="19"/>
              </w:rPr>
              <w:t>150.104</w:t>
            </w:r>
          </w:p>
        </w:tc>
        <w:tc>
          <w:tcPr>
            <w:tcW w:type="dxa" w:w="955"/>
            <w:tcBorders/>
          </w:tcPr>
          <w:p>
            <w:pPr>
              <w:spacing w:line="240" w:lineRule="auto"/>
              <w:ind w:firstLine="0"/>
              <w:jc w:val="right"/>
            </w:pPr>
            <w:r>
              <w:rPr>
                <w:rFonts w:ascii="Times New Roman" w:hAnsi="Times New Roman" w:eastAsia="Times New Roman" w:cs="Times New Roman"/>
                <w:sz w:val="19"/>
              </w:rPr>
              <w:t>1.363</w:t>
            </w:r>
          </w:p>
        </w:tc>
        <w:tc>
          <w:tcPr>
            <w:tcW w:type="dxa" w:w="1050"/>
            <w:tcBorders/>
          </w:tcPr>
          <w:p>
            <w:pPr>
              <w:spacing w:line="240" w:lineRule="auto"/>
              <w:ind w:firstLine="0"/>
              <w:jc w:val="right"/>
            </w:pPr>
            <w:r>
              <w:rPr>
                <w:rFonts w:ascii="Times New Roman" w:hAnsi="Times New Roman" w:eastAsia="Times New Roman" w:cs="Times New Roman"/>
                <w:sz w:val="19"/>
              </w:rPr>
              <w:t>−0,007</w:t>
            </w:r>
          </w:p>
        </w:tc>
        <w:tc>
          <w:tcPr>
            <w:tcW w:type="dxa" w:w="1241"/>
            <w:tcBorders/>
          </w:tcPr>
          <w:p>
            <w:pPr>
              <w:spacing w:line="240" w:lineRule="auto"/>
              <w:ind w:firstLine="0"/>
              <w:jc w:val="right"/>
            </w:pPr>
            <w:r>
              <w:rPr>
                <w:rFonts w:ascii="Times New Roman" w:hAnsi="Times New Roman" w:eastAsia="Times New Roman" w:cs="Times New Roman"/>
                <w:sz w:val="19"/>
              </w:rPr>
              <w:t>0,054</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Quy định pháp lý</w:t>
            </w:r>
          </w:p>
        </w:tc>
        <w:tc>
          <w:tcPr>
            <w:tcW w:type="dxa" w:w="1146"/>
            <w:tcBorders/>
          </w:tcPr>
          <w:p>
            <w:pPr>
              <w:spacing w:line="240" w:lineRule="auto"/>
              <w:ind w:firstLine="0"/>
              <w:jc w:val="right"/>
            </w:pPr>
            <w:r>
              <w:rPr>
                <w:rFonts w:ascii="Times New Roman" w:hAnsi="Times New Roman" w:eastAsia="Times New Roman" w:cs="Times New Roman"/>
                <w:sz w:val="19"/>
              </w:rPr>
              <w:t>14.123</w:t>
            </w:r>
          </w:p>
        </w:tc>
        <w:tc>
          <w:tcPr>
            <w:tcW w:type="dxa" w:w="955"/>
            <w:tcBorders/>
          </w:tcPr>
          <w:p>
            <w:pPr>
              <w:spacing w:line="240" w:lineRule="auto"/>
              <w:ind w:firstLine="0"/>
              <w:jc w:val="right"/>
            </w:pPr>
            <w:r>
              <w:rPr>
                <w:rFonts w:ascii="Times New Roman" w:hAnsi="Times New Roman" w:eastAsia="Times New Roman" w:cs="Times New Roman"/>
                <w:sz w:val="19"/>
              </w:rPr>
              <w:t>1.333</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0,018</w:t>
            </w:r>
          </w:p>
        </w:tc>
        <w:tc>
          <w:tcPr>
            <w:tcW w:type="dxa" w:w="1241"/>
            <w:tcBorders/>
          </w:tcPr>
          <w:p>
            <w:pPr>
              <w:spacing w:line="240" w:lineRule="auto"/>
              <w:ind w:firstLine="0"/>
              <w:jc w:val="right"/>
            </w:pPr>
            <w:r>
              <w:rPr>
                <w:rFonts w:ascii="Times New Roman" w:hAnsi="Times New Roman" w:eastAsia="Times New Roman" w:cs="Times New Roman"/>
                <w:sz w:val="19"/>
              </w:rPr>
              <w:t>0,013</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ETF và tổ chức</w:t>
            </w:r>
          </w:p>
        </w:tc>
        <w:tc>
          <w:tcPr>
            <w:tcW w:type="dxa" w:w="1146"/>
            <w:tcBorders/>
          </w:tcPr>
          <w:p>
            <w:pPr>
              <w:spacing w:line="240" w:lineRule="auto"/>
              <w:ind w:firstLine="0"/>
              <w:jc w:val="right"/>
            </w:pPr>
            <w:r>
              <w:rPr>
                <w:rFonts w:ascii="Times New Roman" w:hAnsi="Times New Roman" w:eastAsia="Times New Roman" w:cs="Times New Roman"/>
                <w:sz w:val="19"/>
              </w:rPr>
              <w:t>40.425</w:t>
            </w:r>
          </w:p>
        </w:tc>
        <w:tc>
          <w:tcPr>
            <w:tcW w:type="dxa" w:w="955"/>
            <w:tcBorders/>
          </w:tcPr>
          <w:p>
            <w:pPr>
              <w:spacing w:line="240" w:lineRule="auto"/>
              <w:ind w:firstLine="0"/>
              <w:jc w:val="right"/>
            </w:pPr>
            <w:r>
              <w:rPr>
                <w:rFonts w:ascii="Times New Roman" w:hAnsi="Times New Roman" w:eastAsia="Times New Roman" w:cs="Times New Roman"/>
                <w:sz w:val="19"/>
              </w:rPr>
              <w:t>1.352</w:t>
            </w:r>
          </w:p>
        </w:tc>
        <w:tc>
          <w:tcPr>
            <w:tcW w:type="dxa" w:w="1050"/>
            <w:tcBorders/>
          </w:tcPr>
          <w:p>
            <w:pPr>
              <w:spacing w:line="240" w:lineRule="auto"/>
              <w:ind w:firstLine="0"/>
              <w:jc w:val="right"/>
            </w:pPr>
            <w:r>
              <w:rPr>
                <w:rFonts w:ascii="Times New Roman" w:hAnsi="Times New Roman" w:eastAsia="Times New Roman" w:cs="Times New Roman"/>
                <w:sz w:val="19"/>
              </w:rPr>
              <w:t>−0,017</w:t>
            </w:r>
          </w:p>
        </w:tc>
        <w:tc>
          <w:tcPr>
            <w:tcW w:type="dxa" w:w="1241"/>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An ninh và tấn công</w:t>
            </w:r>
          </w:p>
        </w:tc>
        <w:tc>
          <w:tcPr>
            <w:tcW w:type="dxa" w:w="1146"/>
            <w:tcBorders/>
          </w:tcPr>
          <w:p>
            <w:pPr>
              <w:spacing w:line="240" w:lineRule="auto"/>
              <w:ind w:firstLine="0"/>
              <w:jc w:val="right"/>
            </w:pPr>
            <w:r>
              <w:rPr>
                <w:rFonts w:ascii="Times New Roman" w:hAnsi="Times New Roman" w:eastAsia="Times New Roman" w:cs="Times New Roman"/>
                <w:sz w:val="19"/>
              </w:rPr>
              <w:t>17.235</w:t>
            </w:r>
          </w:p>
        </w:tc>
        <w:tc>
          <w:tcPr>
            <w:tcW w:type="dxa" w:w="955"/>
            <w:tcBorders/>
          </w:tcPr>
          <w:p>
            <w:pPr>
              <w:spacing w:line="240" w:lineRule="auto"/>
              <w:ind w:firstLine="0"/>
              <w:jc w:val="right"/>
            </w:pPr>
            <w:r>
              <w:rPr>
                <w:rFonts w:ascii="Times New Roman" w:hAnsi="Times New Roman" w:eastAsia="Times New Roman" w:cs="Times New Roman"/>
                <w:sz w:val="19"/>
              </w:rPr>
              <w:t>1.350</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0,059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Stablecoin</w:t>
            </w:r>
          </w:p>
        </w:tc>
        <w:tc>
          <w:tcPr>
            <w:tcW w:type="dxa" w:w="1146"/>
            <w:tcBorders/>
          </w:tcPr>
          <w:p>
            <w:pPr>
              <w:spacing w:line="240" w:lineRule="auto"/>
              <w:ind w:firstLine="0"/>
              <w:jc w:val="right"/>
            </w:pPr>
            <w:r>
              <w:rPr>
                <w:rFonts w:ascii="Times New Roman" w:hAnsi="Times New Roman" w:eastAsia="Times New Roman" w:cs="Times New Roman"/>
                <w:sz w:val="19"/>
              </w:rPr>
              <w:t>3.474</w:t>
            </w:r>
          </w:p>
        </w:tc>
        <w:tc>
          <w:tcPr>
            <w:tcW w:type="dxa" w:w="955"/>
            <w:tcBorders/>
          </w:tcPr>
          <w:p>
            <w:pPr>
              <w:spacing w:line="240" w:lineRule="auto"/>
              <w:ind w:firstLine="0"/>
              <w:jc w:val="right"/>
            </w:pPr>
            <w:r>
              <w:rPr>
                <w:rFonts w:ascii="Times New Roman" w:hAnsi="Times New Roman" w:eastAsia="Times New Roman" w:cs="Times New Roman"/>
                <w:sz w:val="19"/>
              </w:rPr>
              <w:t>1.105</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0,008</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DeFi</w:t>
            </w:r>
          </w:p>
        </w:tc>
        <w:tc>
          <w:tcPr>
            <w:tcW w:type="dxa" w:w="1146"/>
            <w:tcBorders/>
          </w:tcPr>
          <w:p>
            <w:pPr>
              <w:spacing w:line="240" w:lineRule="auto"/>
              <w:ind w:firstLine="0"/>
              <w:jc w:val="right"/>
            </w:pPr>
            <w:r>
              <w:rPr>
                <w:rFonts w:ascii="Times New Roman" w:hAnsi="Times New Roman" w:eastAsia="Times New Roman" w:cs="Times New Roman"/>
                <w:sz w:val="19"/>
              </w:rPr>
              <w:t>1.405</w:t>
            </w:r>
          </w:p>
        </w:tc>
        <w:tc>
          <w:tcPr>
            <w:tcW w:type="dxa" w:w="955"/>
            <w:tcBorders/>
          </w:tcPr>
          <w:p>
            <w:pPr>
              <w:spacing w:line="240" w:lineRule="auto"/>
              <w:ind w:firstLine="0"/>
              <w:jc w:val="right"/>
            </w:pPr>
            <w:r>
              <w:rPr>
                <w:rFonts w:ascii="Times New Roman" w:hAnsi="Times New Roman" w:eastAsia="Times New Roman" w:cs="Times New Roman"/>
                <w:sz w:val="19"/>
              </w:rPr>
              <w:t>769</w:t>
            </w:r>
          </w:p>
        </w:tc>
        <w:tc>
          <w:tcPr>
            <w:tcW w:type="dxa" w:w="1050"/>
            <w:tcBorders/>
          </w:tcPr>
          <w:p>
            <w:pPr>
              <w:spacing w:line="240" w:lineRule="auto"/>
              <w:ind w:firstLine="0"/>
              <w:jc w:val="right"/>
            </w:pPr>
            <w:r>
              <w:rPr>
                <w:rFonts w:ascii="Times New Roman" w:hAnsi="Times New Roman" w:eastAsia="Times New Roman" w:cs="Times New Roman"/>
                <w:sz w:val="19"/>
              </w:rPr>
              <w:t>0,051</w:t>
            </w:r>
          </w:p>
        </w:tc>
        <w:tc>
          <w:tcPr>
            <w:tcW w:type="dxa" w:w="1241"/>
            <w:tcBorders/>
          </w:tcPr>
          <w:p>
            <w:pPr>
              <w:spacing w:line="240" w:lineRule="auto"/>
              <w:ind w:firstLine="0"/>
              <w:jc w:val="right"/>
            </w:pPr>
            <w:r>
              <w:rPr>
                <w:rFonts w:ascii="Times New Roman" w:hAnsi="Times New Roman" w:eastAsia="Times New Roman" w:cs="Times New Roman"/>
                <w:sz w:val="19"/>
              </w:rPr>
              <w:t>0,202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0,122</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Token AI</w:t>
            </w:r>
          </w:p>
        </w:tc>
        <w:tc>
          <w:tcPr>
            <w:tcW w:type="dxa" w:w="1146"/>
            <w:tcBorders/>
          </w:tcPr>
          <w:p>
            <w:pPr>
              <w:spacing w:line="240" w:lineRule="auto"/>
              <w:ind w:firstLine="0"/>
              <w:jc w:val="right"/>
            </w:pPr>
            <w:r>
              <w:rPr>
                <w:rFonts w:ascii="Times New Roman" w:hAnsi="Times New Roman" w:eastAsia="Times New Roman" w:cs="Times New Roman"/>
                <w:sz w:val="19"/>
              </w:rPr>
              <w:t>11.878</w:t>
            </w:r>
          </w:p>
        </w:tc>
        <w:tc>
          <w:tcPr>
            <w:tcW w:type="dxa" w:w="955"/>
            <w:tcBorders/>
          </w:tcPr>
          <w:p>
            <w:pPr>
              <w:spacing w:line="240" w:lineRule="auto"/>
              <w:ind w:firstLine="0"/>
              <w:jc w:val="right"/>
            </w:pPr>
            <w:r>
              <w:rPr>
                <w:rFonts w:ascii="Times New Roman" w:hAnsi="Times New Roman" w:eastAsia="Times New Roman" w:cs="Times New Roman"/>
                <w:sz w:val="19"/>
              </w:rPr>
              <w:t>1.325</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0,072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0,496</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Vĩ mô và tiền tệ</w:t>
            </w:r>
          </w:p>
        </w:tc>
        <w:tc>
          <w:tcPr>
            <w:tcW w:type="dxa" w:w="1146"/>
            <w:tcBorders/>
          </w:tcPr>
          <w:p>
            <w:pPr>
              <w:spacing w:line="240" w:lineRule="auto"/>
              <w:ind w:firstLine="0"/>
              <w:jc w:val="right"/>
            </w:pPr>
            <w:r>
              <w:rPr>
                <w:rFonts w:ascii="Times New Roman" w:hAnsi="Times New Roman" w:eastAsia="Times New Roman" w:cs="Times New Roman"/>
                <w:sz w:val="19"/>
              </w:rPr>
              <w:t>3.479</w:t>
            </w:r>
          </w:p>
        </w:tc>
        <w:tc>
          <w:tcPr>
            <w:tcW w:type="dxa" w:w="955"/>
            <w:tcBorders/>
          </w:tcPr>
          <w:p>
            <w:pPr>
              <w:spacing w:line="240" w:lineRule="auto"/>
              <w:ind w:firstLine="0"/>
              <w:jc w:val="right"/>
            </w:pPr>
            <w:r>
              <w:rPr>
                <w:rFonts w:ascii="Times New Roman" w:hAnsi="Times New Roman" w:eastAsia="Times New Roman" w:cs="Times New Roman"/>
                <w:sz w:val="19"/>
              </w:rPr>
              <w:t>1.131</w:t>
            </w:r>
          </w:p>
        </w:tc>
        <w:tc>
          <w:tcPr>
            <w:tcW w:type="dxa" w:w="1050"/>
            <w:tcBorders/>
          </w:tcPr>
          <w:p>
            <w:pPr>
              <w:spacing w:line="240" w:lineRule="auto"/>
              <w:ind w:firstLine="0"/>
              <w:jc w:val="right"/>
            </w:pPr>
            <w:r>
              <w:rPr>
                <w:rFonts w:ascii="Times New Roman" w:hAnsi="Times New Roman" w:eastAsia="Times New Roman" w:cs="Times New Roman"/>
                <w:sz w:val="19"/>
              </w:rPr>
              <w:t>0,022</w:t>
            </w:r>
          </w:p>
        </w:tc>
        <w:tc>
          <w:tcPr>
            <w:tcW w:type="dxa" w:w="1241"/>
            <w:tcBorders/>
          </w:tcPr>
          <w:p>
            <w:pPr>
              <w:spacing w:line="240" w:lineRule="auto"/>
              <w:ind w:firstLine="0"/>
              <w:jc w:val="right"/>
            </w:pPr>
            <w:r>
              <w:rPr>
                <w:rFonts w:ascii="Times New Roman" w:hAnsi="Times New Roman" w:eastAsia="Times New Roman" w:cs="Times New Roman"/>
                <w:sz w:val="19"/>
              </w:rPr>
              <w:t>0,119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0,093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Giá và đầu cơ</w:t>
            </w:r>
          </w:p>
        </w:tc>
        <w:tc>
          <w:tcPr>
            <w:tcW w:type="dxa" w:w="1146"/>
            <w:tcBorders/>
          </w:tcPr>
          <w:p>
            <w:pPr>
              <w:spacing w:line="240" w:lineRule="auto"/>
              <w:ind w:firstLine="0"/>
              <w:jc w:val="right"/>
            </w:pPr>
            <w:r>
              <w:rPr>
                <w:rFonts w:ascii="Times New Roman" w:hAnsi="Times New Roman" w:eastAsia="Times New Roman" w:cs="Times New Roman"/>
                <w:sz w:val="19"/>
              </w:rPr>
              <w:t>28.711</w:t>
            </w:r>
          </w:p>
        </w:tc>
        <w:tc>
          <w:tcPr>
            <w:tcW w:type="dxa" w:w="955"/>
            <w:tcBorders/>
          </w:tcPr>
          <w:p>
            <w:pPr>
              <w:spacing w:line="240" w:lineRule="auto"/>
              <w:ind w:firstLine="0"/>
              <w:jc w:val="right"/>
            </w:pPr>
            <w:r>
              <w:rPr>
                <w:rFonts w:ascii="Times New Roman" w:hAnsi="Times New Roman" w:eastAsia="Times New Roman" w:cs="Times New Roman"/>
                <w:sz w:val="19"/>
              </w:rPr>
              <w:t>1.348</w:t>
            </w:r>
          </w:p>
        </w:tc>
        <w:tc>
          <w:tcPr>
            <w:tcW w:type="dxa" w:w="1050"/>
            <w:tcBorders/>
          </w:tcPr>
          <w:p>
            <w:pPr>
              <w:spacing w:line="240" w:lineRule="auto"/>
              <w:ind w:firstLine="0"/>
              <w:jc w:val="right"/>
            </w:pPr>
            <w:r>
              <w:rPr>
                <w:rFonts w:ascii="Times New Roman" w:hAnsi="Times New Roman" w:eastAsia="Times New Roman" w:cs="Times New Roman"/>
                <w:sz w:val="19"/>
              </w:rPr>
              <w:t>−0,012</w:t>
            </w:r>
          </w:p>
        </w:tc>
        <w:tc>
          <w:tcPr>
            <w:tcW w:type="dxa" w:w="1241"/>
            <w:tcBorders/>
          </w:tcPr>
          <w:p>
            <w:pPr>
              <w:spacing w:line="240" w:lineRule="auto"/>
              <w:ind w:firstLine="0"/>
              <w:jc w:val="right"/>
            </w:pPr>
            <w:r>
              <w:rPr>
                <w:rFonts w:ascii="Times New Roman" w:hAnsi="Times New Roman" w:eastAsia="Times New Roman" w:cs="Times New Roman"/>
                <w:sz w:val="19"/>
              </w:rPr>
              <w:t>0,056</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0,039</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0,989</w:t>
            </w:r>
          </w:p>
        </w:tc>
      </w:tr>
      <w:tr>
        <w:trPr>
          <w:cantSplit/>
        </w:trPr>
        <w:tc>
          <w:tcPr>
            <w:tcW w:type="dxa" w:w="2292"/>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29.374</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1050"/>
            <w:tcBorders>
              <w:bottom w:val="single" w:sz="8" w:color="000000"/>
            </w:tcBorders>
          </w:tcPr>
          <w:p>
            <w:pPr>
              <w:spacing w:line="240" w:lineRule="auto"/>
              <w:ind w:firstLine="0"/>
              <w:jc w:val="right"/>
            </w:pPr>
            <w:r>
              <w:rPr>
                <w:rFonts w:ascii="Times New Roman" w:hAnsi="Times New Roman" w:eastAsia="Times New Roman" w:cs="Times New Roman"/>
                <w:sz w:val="19"/>
              </w:rPr>
              <w:t>0,009</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0,065</w:t>
            </w:r>
            <w:r>
              <w:rPr>
                <w:rFonts w:ascii="Times New Roman" w:hAnsi="Times New Roman" w:eastAsia="Times New Roman" w:cs="Times New Roman"/>
                <w:sz w:val="19"/>
              </w:rPr>
              <w:t>**</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0,038</w:t>
            </w:r>
            <w:r>
              <w:rPr>
                <w:rFonts w:ascii="Times New Roman" w:hAnsi="Times New Roman" w:eastAsia="Times New Roman" w:cs="Times New Roman"/>
                <w:sz w:val="19"/>
              </w:rPr>
              <w:t>***</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0,989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150.160 cặp tin - tài sản, lợi suất bất thường tích lũy trung bình trong cửa sổ [0, 4] giờ là −0,007 điểm phần trăm (p Holm = 1,000), và không câu chuyện nào có CAR khác 0 một cách có ý nghĩa sau hiệu chỉnh Holm. Ngược lại, khối lượng giao dịch bất thường trong giờ đầu sau tin là 0,059 log điểm (p Holm = 0,005), và trong cửa sổ bốn giờ ở Bảng 7, tin về DeFi, vĩ mô và tiền tệ, stablecoin có khối lượng bất thường lần lượt 0,122, 0,093 và 0,071 log điểm, đạt ý nghĩa sau hiệu chỉnh Holm và cao hơn các nhóm tin phổ biến như quy định pháp lý (0,013) hay ETF và nhà đầu tư tổ chức (0,035). Điều này có nghĩa là câu chuyện thị trường không quyết định hướng giá sau tin nhưng gắn với mức độ hoạt động giao dịch khác nhau, trong đó các chủ đề chuyên biệt và ít xuất hiện kéo theo khối lượng giao dịch bất thường lớn hơn. Điều này có thể được lý giải do các chủ đề này xuất hiện thưa nên mỗi tin mang nhiều thông tin mới hơn, trong khi tin về quy định hay ETF xuất hiện dày đặc nên phản ứng riêng của từng tin bị pha loãng. Kết quả về giá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Do đó, ở tần suất ngày,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1085"/>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0,197</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−0,016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0,042</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−0,016</w:t>
            </w:r>
          </w:p>
        </w:tc>
        <w:tc>
          <w:tcPr>
            <w:tcW w:type="dxa" w:w="1085"/>
            <w:tcBorders/>
          </w:tcPr>
          <w:p>
            <w:pPr>
              <w:spacing w:line="240" w:lineRule="auto"/>
              <w:ind w:firstLine="0"/>
              <w:jc w:val="right"/>
            </w:pPr>
            <w:r>
              <w:rPr>
                <w:rFonts w:ascii="Times New Roman" w:hAnsi="Times New Roman" w:eastAsia="Times New Roman" w:cs="Times New Roman"/>
                <w:sz w:val="19"/>
              </w:rPr>
              <w:t>0,014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0,047</w:t>
            </w:r>
          </w:p>
        </w:tc>
        <w:tc>
          <w:tcPr>
            <w:tcW w:type="dxa" w:w="853"/>
            <w:tcBorders/>
          </w:tcPr>
          <w:p>
            <w:pPr>
              <w:spacing w:line="240" w:lineRule="auto"/>
              <w:ind w:firstLine="0"/>
              <w:jc w:val="right"/>
            </w:pPr>
            <w:r>
              <w:rPr>
                <w:rFonts w:ascii="Times New Roman" w:hAnsi="Times New Roman" w:eastAsia="Times New Roman" w:cs="Times New Roman"/>
                <w:sz w:val="19"/>
              </w:rPr>
              <w:t>0,071</w:t>
            </w:r>
          </w:p>
        </w:tc>
        <w:tc>
          <w:tcPr>
            <w:tcW w:type="dxa" w:w="1085"/>
            <w:tcBorders/>
          </w:tcPr>
          <w:p>
            <w:pPr>
              <w:spacing w:line="240" w:lineRule="auto"/>
              <w:ind w:firstLine="0"/>
              <w:jc w:val="right"/>
            </w:pPr>
            <w:r>
              <w:rPr>
                <w:rFonts w:ascii="Times New Roman" w:hAnsi="Times New Roman" w:eastAsia="Times New Roman" w:cs="Times New Roman"/>
                <w:sz w:val="19"/>
              </w:rPr>
              <w:t>−0,024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0,054</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853"/>
            <w:tcBorders/>
          </w:tcPr>
          <w:p>
            <w:pPr>
              <w:spacing w:line="240" w:lineRule="auto"/>
              <w:ind w:firstLine="0"/>
              <w:jc w:val="right"/>
            </w:pPr>
            <w:r>
              <w:rPr>
                <w:rFonts w:ascii="Times New Roman" w:hAnsi="Times New Roman" w:eastAsia="Times New Roman" w:cs="Times New Roman"/>
                <w:sz w:val="19"/>
              </w:rPr>
              <w:t>0,051</w:t>
            </w:r>
          </w:p>
        </w:tc>
        <w:tc>
          <w:tcPr>
            <w:tcW w:type="dxa" w:w="1085"/>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−0,064</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0,049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−0,032</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0,014</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0,048</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0,033</w:t>
            </w:r>
          </w:p>
        </w:tc>
        <w:tc>
          <w:tcPr>
            <w:tcW w:type="dxa" w:w="853"/>
            <w:tcBorders/>
          </w:tcPr>
          <w:p>
            <w:pPr>
              <w:spacing w:line="240" w:lineRule="auto"/>
              <w:ind w:firstLine="0"/>
              <w:jc w:val="right"/>
            </w:pPr>
            <w:r>
              <w:rPr>
                <w:rFonts w:ascii="Times New Roman" w:hAnsi="Times New Roman" w:eastAsia="Times New Roman" w:cs="Times New Roman"/>
                <w:sz w:val="19"/>
              </w:rPr>
              <w:t>0,083</w:t>
            </w:r>
          </w:p>
        </w:tc>
        <w:tc>
          <w:tcPr>
            <w:tcW w:type="dxa" w:w="108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−0,024</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0,014</w:t>
            </w:r>
          </w:p>
        </w:tc>
        <w:tc>
          <w:tcPr>
            <w:tcW w:type="dxa" w:w="853"/>
            <w:tcBorders/>
          </w:tcPr>
          <w:p>
            <w:pPr>
              <w:spacing w:line="240" w:lineRule="auto"/>
              <w:ind w:firstLine="0"/>
              <w:jc w:val="right"/>
            </w:pPr>
            <w:r>
              <w:rPr>
                <w:rFonts w:ascii="Times New Roman" w:hAnsi="Times New Roman" w:eastAsia="Times New Roman" w:cs="Times New Roman"/>
                <w:sz w:val="19"/>
              </w:rPr>
              <w:t>0,058</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−0,009</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0,036</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0,034</w:t>
            </w:r>
          </w:p>
        </w:tc>
        <w:tc>
          <w:tcPr>
            <w:tcW w:type="dxa" w:w="853"/>
            <w:tcBorders/>
          </w:tcPr>
          <w:p>
            <w:pPr>
              <w:spacing w:line="240" w:lineRule="auto"/>
              <w:ind w:firstLine="0"/>
              <w:jc w:val="right"/>
            </w:pPr>
            <w:r>
              <w:rPr>
                <w:rFonts w:ascii="Times New Roman" w:hAnsi="Times New Roman" w:eastAsia="Times New Roman" w:cs="Times New Roman"/>
                <w:sz w:val="19"/>
              </w:rPr>
              <w:t>0,112</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0,184</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0,013</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luận gần tương tự, với 1 trong 45 kiểm định (05 tài sản, 03 độ trễ, 03 phân vị) đạt mức 10% sau hiệu chỉnh Holm; vì sai số chuẩn của hồi quy phân vị chưa hiệu chỉnh tự tương quan, kết quả đơn lẻ này chưa đủ để coi là bằng chứng bất đối xứng. Ở phản ứng quanh tin, Bảng 9 cho thấy trong cửa sổ [0, 1] giờ, chênh lệch giữa nhóm tin xấu và nhóm tin tốt theo FinBERT là −0,031 log điểm về khối lượng giao dịch (p Holm &lt; 0,001) và −0,016 điểm phần trăm về độ lớn lợi suất bất thường (p Holm = 0,013), và phân loại theo từ điển Loughran - McDonald cho kết quả cùng chiều. Dấu âm của các chênh lệch có nghĩa là tin tích cực đi kèm hoạt động giao dịch và biến động giá mạnh hơn tin tiêu cực, trái với kỳ vọng rằng tin xấu có tác động mạnh hơn. Bên cạnh đó, trong cửa sổ [0, 24] giờ, CAR sau tin tốt thấp hơn sau tin xấu 0,048 điểm phần trăm (p Holm = 0,049), gợi ý giá có xu hướng điều chỉnh giảm sau tin tốt. Điều này có thể được lý giải do tin tích cực thường được đăng sau các đợt tăng giá, thu hút cả nhà đầu tư mới lẫn giao dịch chốt lời, nên hoạt động giao dịch tăng mạnh nhưng giá sau đó điều chỉnh. Kết quả này khác với Gür và Ünal (2026) về phản ứng mạnh hơn với tin tiêu cực, và khác với Chou và cộng sự (2023) và Kao và cộng sự (2024) về vai trò của tin tiêu cực đối với lợi suất. Do đó, RQ2 được ủng hộ theo nghĩa tồn tại bất đối xứng, nhưng theo chiều ngược với kỳ vọng và thể hiện ở hoạt động giao dịch trong ngày hơn là ở biến động theo ngày.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ba khía cạnh là giá có chạy trước tin hay không, chiều dẫn dắt giữa cảm xúc và giá theo ngày, và liệu kết luận có phụ thuộc vào đồng hồ dùng để gán thời điểm. Về khía cạnh thứ nhất, lợi suất bất thường tích lũy trong cửa sổ [-4, -2] giờ trước tin là −0,002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0,075 log điểm, p Holm &lt; 0,001), ở mức tương đương với giờ đầu sau tin. Về khía cạnh thứ hai, Bảng 10 cho thấy lợi suất dẫn trước cảm xúc FinBERT ở cả 05 tài sản sau hiệu chỉnh Holm, trong khi cảm xúc dẫn trước lợi suất ở 2 tài sản khi chưa hiệu chỉnh và 0 tài sản sau hiệu chỉnh; với RV, có 0 kiểm định có ý nghĩa sau hiệu chỉnh. Điều này có nghĩa là trong mẫu hiện tại, chiều giá dẫn trước cảm xúc có bằng chứng dự báo mạnh hơn chiều ngược lại. Tuy nhiên, sai số giờ công bố và tin trùng thời điểm không cho phép khẳng định tin chỉ phản ánh giá hoặc giải thích nguyên nhân khối lượng tăng trước mốc công bố. Một cơ chế khả dĩ là các tin mô tả biến động giá lấy chính lợi suất trước đó làm nội dung; nghiên cứu chưa lượng hóa riêng cơ chế này. Kết quả này tương đồng với Kraaijeveld và De Smedt (2020), những người ghi nhận giá dẫn dắt cảm xúc trên Twitter ở nhiều đồng tiền, và hàm ý rằng quan hệ đồng thời giữa tin và giá không nên được diễn giải là tin làm thay đổi giá. Về khía cạnh thứ ba,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96"/>
        <w:gridCol w:w="1414"/>
        <w:gridCol w:w="1296"/>
        <w:gridCol w:w="1414"/>
        <w:gridCol w:w="1178"/>
        <w:gridCol w:w="1178"/>
        <w:gridCol w:w="1296"/>
      </w:tblGrid>
      <w:tr>
        <w:trPr>
          <w:cantSplit/>
          <w:tblHeader/>
        </w:trPr>
        <w:tc>
          <w:tcPr>
            <w:tcW w:type="dxa" w:w="12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[0,1]</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−0,008</w:t>
            </w:r>
          </w:p>
        </w:tc>
        <w:tc>
          <w:tcPr>
            <w:tcW w:type="dxa" w:w="1414"/>
            <w:tcBorders/>
          </w:tcPr>
          <w:p>
            <w:pPr>
              <w:spacing w:line="240" w:lineRule="auto"/>
              <w:ind w:firstLine="0"/>
              <w:jc w:val="right"/>
            </w:pPr>
            <w:r>
              <w:rPr>
                <w:rFonts w:ascii="Times New Roman" w:hAnsi="Times New Roman" w:eastAsia="Times New Roman" w:cs="Times New Roman"/>
                <w:sz w:val="19"/>
              </w:rPr>
              <w:t>−0,127</w:t>
            </w:r>
          </w:p>
        </w:tc>
        <w:tc>
          <w:tcPr>
            <w:tcW w:type="dxa" w:w="1178"/>
            <w:tcBorders/>
          </w:tcPr>
          <w:p>
            <w:pPr>
              <w:spacing w:line="240" w:lineRule="auto"/>
              <w:ind w:firstLine="0"/>
              <w:jc w:val="right"/>
            </w:pPr>
            <w:r>
              <w:rPr>
                <w:rFonts w:ascii="Times New Roman" w:hAnsi="Times New Roman" w:eastAsia="Times New Roman" w:cs="Times New Roman"/>
                <w:sz w:val="19"/>
              </w:rPr>
              <w:t>0,951</w:t>
            </w:r>
          </w:p>
        </w:tc>
        <w:tc>
          <w:tcPr>
            <w:tcW w:type="dxa" w:w="1178"/>
            <w:tcBorders/>
          </w:tcPr>
          <w:p>
            <w:pPr>
              <w:spacing w:line="240" w:lineRule="auto"/>
              <w:ind w:firstLine="0"/>
              <w:jc w:val="right"/>
            </w:pPr>
            <w:r>
              <w:rPr>
                <w:rFonts w:ascii="Times New Roman" w:hAnsi="Times New Roman" w:eastAsia="Times New Roman" w:cs="Times New Roman"/>
                <w:sz w:val="19"/>
              </w:rPr>
              <w:t>0,199</w:t>
            </w:r>
          </w:p>
        </w:tc>
        <w:tc>
          <w:tcPr>
            <w:tcW w:type="dxa" w:w="1296"/>
            <w:tcBorders/>
          </w:tcPr>
          <w:p>
            <w:pPr>
              <w:spacing w:line="240" w:lineRule="auto"/>
              <w:ind w:firstLine="0"/>
              <w:jc w:val="right"/>
            </w:pPr>
            <w:r>
              <w:rPr>
                <w:rFonts w:ascii="Times New Roman" w:hAnsi="Times New Roman" w:eastAsia="Times New Roman" w:cs="Times New Roman"/>
                <w:sz w:val="19"/>
              </w:rPr>
              <w:t>0,725</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[0,4]</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−0,247</w:t>
            </w:r>
          </w:p>
        </w:tc>
        <w:tc>
          <w:tcPr>
            <w:tcW w:type="dxa" w:w="1414"/>
            <w:tcBorders/>
          </w:tcPr>
          <w:p>
            <w:pPr>
              <w:spacing w:line="240" w:lineRule="auto"/>
              <w:ind w:firstLine="0"/>
              <w:jc w:val="right"/>
            </w:pPr>
            <w:r>
              <w:rPr>
                <w:rFonts w:ascii="Times New Roman" w:hAnsi="Times New Roman" w:eastAsia="Times New Roman" w:cs="Times New Roman"/>
                <w:sz w:val="19"/>
              </w:rPr>
              <w:t>−0,199</w:t>
            </w:r>
          </w:p>
        </w:tc>
        <w:tc>
          <w:tcPr>
            <w:tcW w:type="dxa" w:w="1178"/>
            <w:tcBorders/>
          </w:tcPr>
          <w:p>
            <w:pPr>
              <w:spacing w:line="240" w:lineRule="auto"/>
              <w:ind w:firstLine="0"/>
              <w:jc w:val="right"/>
            </w:pPr>
            <w:r>
              <w:rPr>
                <w:rFonts w:ascii="Times New Roman" w:hAnsi="Times New Roman" w:eastAsia="Times New Roman" w:cs="Times New Roman"/>
                <w:sz w:val="19"/>
              </w:rPr>
              <w:t>0,431</w:t>
            </w:r>
          </w:p>
        </w:tc>
        <w:tc>
          <w:tcPr>
            <w:tcW w:type="dxa" w:w="1178"/>
            <w:tcBorders/>
          </w:tcPr>
          <w:p>
            <w:pPr>
              <w:spacing w:line="240" w:lineRule="auto"/>
              <w:ind w:firstLine="0"/>
              <w:jc w:val="right"/>
            </w:pPr>
            <w:r>
              <w:rPr>
                <w:rFonts w:ascii="Times New Roman" w:hAnsi="Times New Roman" w:eastAsia="Times New Roman" w:cs="Times New Roman"/>
                <w:sz w:val="19"/>
              </w:rPr>
              <w:t>0,221</w:t>
            </w:r>
          </w:p>
        </w:tc>
        <w:tc>
          <w:tcPr>
            <w:tcW w:type="dxa" w:w="1296"/>
            <w:tcBorders/>
          </w:tcPr>
          <w:p>
            <w:pPr>
              <w:spacing w:line="240" w:lineRule="auto"/>
              <w:ind w:firstLine="0"/>
              <w:jc w:val="right"/>
            </w:pPr>
            <w:r>
              <w:rPr>
                <w:rFonts w:ascii="Times New Roman" w:hAnsi="Times New Roman" w:eastAsia="Times New Roman" w:cs="Times New Roman"/>
                <w:sz w:val="19"/>
              </w:rPr>
              <w:t>0,821</w:t>
            </w:r>
          </w:p>
        </w:tc>
      </w:tr>
      <w:tr>
        <w:trPr>
          <w:cantSplit/>
        </w:trPr>
        <w:tc>
          <w:tcPr>
            <w:tcW w:type="dxa" w:w="1296"/>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−0,503</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−0,866</w:t>
            </w:r>
            <w:r>
              <w:rPr>
                <w:rFonts w:ascii="Times New Roman" w:hAnsi="Times New Roman" w:eastAsia="Times New Roman" w:cs="Times New Roman"/>
                <w:sz w:val="19"/>
              </w:rPr>
              <w:t>*</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0,431</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0,078</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0,363</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38 cặp tin - tài sản có đủ hai đồng hồ, CAR trong cửa sổ [0, 24] giờ là −0,503 điểm phần trăm khi gán theo giờ đăng và −0,866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có đủ hai đồng hồ rất nhỏ nên các kiểm định này có độ mạnh thấp. Ngoài ra, ở cửa sổ [-4, 0] giờ, CAR của nhóm tin xấu và nhóm tin tốt theo FinBERT khác nhau có ý nghĩa sau hiệu chỉnh (Bảng 9), củng cố kết quả Granger rằng sắc thái của tin đi theo biến động giá vừa xảy ra.</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46"/>
        <w:gridCol w:w="1413"/>
        <w:gridCol w:w="669"/>
        <w:gridCol w:w="892"/>
        <w:gridCol w:w="892"/>
        <w:gridCol w:w="892"/>
        <w:gridCol w:w="967"/>
      </w:tblGrid>
      <w:tr>
        <w:trPr>
          <w:cantSplit/>
          <w:tblHeader/>
        </w:trPr>
        <w:tc>
          <w:tcPr>
            <w:tcW w:type="dxa" w:w="33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6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5,413</w:t>
            </w:r>
          </w:p>
        </w:tc>
        <w:tc>
          <w:tcPr>
            <w:tcW w:type="dxa" w:w="892"/>
            <w:tcBorders/>
          </w:tcPr>
          <w:p>
            <w:pPr>
              <w:spacing w:line="240" w:lineRule="auto"/>
              <w:ind w:firstLine="0"/>
              <w:jc w:val="right"/>
            </w:pPr>
            <w:r>
              <w:rPr>
                <w:rFonts w:ascii="Times New Roman" w:hAnsi="Times New Roman" w:eastAsia="Times New Roman" w:cs="Times New Roman"/>
                <w:sz w:val="19"/>
              </w:rPr>
              <w:t>0,2465</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5,430</w:t>
            </w:r>
          </w:p>
        </w:tc>
        <w:tc>
          <w:tcPr>
            <w:tcW w:type="dxa" w:w="892"/>
            <w:tcBorders/>
          </w:tcPr>
          <w:p>
            <w:pPr>
              <w:spacing w:line="240" w:lineRule="auto"/>
              <w:ind w:firstLine="0"/>
              <w:jc w:val="right"/>
            </w:pPr>
            <w:r>
              <w:rPr>
                <w:rFonts w:ascii="Times New Roman" w:hAnsi="Times New Roman" w:eastAsia="Times New Roman" w:cs="Times New Roman"/>
                <w:sz w:val="19"/>
              </w:rPr>
              <w:t>0,2420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5,552</w:t>
            </w:r>
          </w:p>
        </w:tc>
        <w:tc>
          <w:tcPr>
            <w:tcW w:type="dxa" w:w="892"/>
            <w:tcBorders/>
          </w:tcPr>
          <w:p>
            <w:pPr>
              <w:spacing w:line="240" w:lineRule="auto"/>
              <w:ind w:firstLine="0"/>
              <w:jc w:val="right"/>
            </w:pPr>
            <w:r>
              <w:rPr>
                <w:rFonts w:ascii="Times New Roman" w:hAnsi="Times New Roman" w:eastAsia="Times New Roman" w:cs="Times New Roman"/>
                <w:sz w:val="19"/>
              </w:rPr>
              <w:t>0,2073</w:t>
            </w:r>
          </w:p>
        </w:tc>
        <w:tc>
          <w:tcPr>
            <w:tcW w:type="dxa" w:w="892"/>
            <w:tcBorders/>
          </w:tcPr>
          <w:p>
            <w:pPr>
              <w:spacing w:line="240" w:lineRule="auto"/>
              <w:ind w:firstLine="0"/>
              <w:jc w:val="right"/>
            </w:pPr>
            <w:r>
              <w:rPr>
                <w:rFonts w:ascii="Times New Roman" w:hAnsi="Times New Roman" w:eastAsia="Times New Roman" w:cs="Times New Roman"/>
                <w:sz w:val="19"/>
              </w:rPr>
              <w:t>0,161</w:t>
            </w:r>
          </w:p>
        </w:tc>
        <w:tc>
          <w:tcPr>
            <w:tcW w:type="dxa" w:w="967"/>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5,722</w:t>
            </w:r>
          </w:p>
        </w:tc>
        <w:tc>
          <w:tcPr>
            <w:tcW w:type="dxa" w:w="892"/>
            <w:tcBorders/>
          </w:tcPr>
          <w:p>
            <w:pPr>
              <w:spacing w:line="240" w:lineRule="auto"/>
              <w:ind w:firstLine="0"/>
              <w:jc w:val="right"/>
            </w:pPr>
            <w:r>
              <w:rPr>
                <w:rFonts w:ascii="Times New Roman" w:hAnsi="Times New Roman" w:eastAsia="Times New Roman" w:cs="Times New Roman"/>
                <w:sz w:val="19"/>
              </w:rPr>
              <w:t>0,1581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5,561</w:t>
            </w:r>
          </w:p>
        </w:tc>
        <w:tc>
          <w:tcPr>
            <w:tcW w:type="dxa" w:w="892"/>
            <w:tcBorders/>
          </w:tcPr>
          <w:p>
            <w:pPr>
              <w:spacing w:line="240" w:lineRule="auto"/>
              <w:ind w:firstLine="0"/>
              <w:jc w:val="right"/>
            </w:pPr>
            <w:r>
              <w:rPr>
                <w:rFonts w:ascii="Times New Roman" w:hAnsi="Times New Roman" w:eastAsia="Times New Roman" w:cs="Times New Roman"/>
                <w:sz w:val="19"/>
              </w:rPr>
              <w:t>0,2048</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5,375</w:t>
            </w:r>
          </w:p>
        </w:tc>
        <w:tc>
          <w:tcPr>
            <w:tcW w:type="dxa" w:w="892"/>
            <w:tcBorders/>
          </w:tcPr>
          <w:p>
            <w:pPr>
              <w:spacing w:line="240" w:lineRule="auto"/>
              <w:ind w:firstLine="0"/>
              <w:jc w:val="right"/>
            </w:pPr>
            <w:r>
              <w:rPr>
                <w:rFonts w:ascii="Times New Roman" w:hAnsi="Times New Roman" w:eastAsia="Times New Roman" w:cs="Times New Roman"/>
                <w:sz w:val="19"/>
              </w:rPr>
              <w:t>0,2571</w:t>
            </w:r>
          </w:p>
        </w:tc>
        <w:tc>
          <w:tcPr>
            <w:tcW w:type="dxa" w:w="892"/>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5,321</w:t>
            </w:r>
          </w:p>
        </w:tc>
        <w:tc>
          <w:tcPr>
            <w:tcW w:type="dxa" w:w="892"/>
            <w:tcBorders/>
          </w:tcPr>
          <w:p>
            <w:pPr>
              <w:spacing w:line="240" w:lineRule="auto"/>
              <w:ind w:firstLine="0"/>
              <w:jc w:val="right"/>
            </w:pPr>
            <w:r>
              <w:rPr>
                <w:rFonts w:ascii="Times New Roman" w:hAnsi="Times New Roman" w:eastAsia="Times New Roman" w:cs="Times New Roman"/>
                <w:sz w:val="19"/>
              </w:rPr>
              <w:t>0,2720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5,384</w:t>
            </w:r>
          </w:p>
        </w:tc>
        <w:tc>
          <w:tcPr>
            <w:tcW w:type="dxa" w:w="892"/>
            <w:tcBorders/>
          </w:tcPr>
          <w:p>
            <w:pPr>
              <w:spacing w:line="240" w:lineRule="auto"/>
              <w:ind w:firstLine="0"/>
              <w:jc w:val="right"/>
            </w:pPr>
            <w:r>
              <w:rPr>
                <w:rFonts w:ascii="Times New Roman" w:hAnsi="Times New Roman" w:eastAsia="Times New Roman" w:cs="Times New Roman"/>
                <w:sz w:val="19"/>
              </w:rPr>
              <w:t>0,2546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5,405</w:t>
            </w:r>
          </w:p>
        </w:tc>
        <w:tc>
          <w:tcPr>
            <w:tcW w:type="dxa" w:w="892"/>
            <w:tcBorders/>
          </w:tcPr>
          <w:p>
            <w:pPr>
              <w:spacing w:line="240" w:lineRule="auto"/>
              <w:ind w:firstLine="0"/>
              <w:jc w:val="right"/>
            </w:pPr>
            <w:r>
              <w:rPr>
                <w:rFonts w:ascii="Times New Roman" w:hAnsi="Times New Roman" w:eastAsia="Times New Roman" w:cs="Times New Roman"/>
                <w:sz w:val="19"/>
              </w:rPr>
              <w:t>0,2489</w:t>
            </w:r>
          </w:p>
        </w:tc>
        <w:tc>
          <w:tcPr>
            <w:tcW w:type="dxa" w:w="892"/>
            <w:tcBorders/>
          </w:tcPr>
          <w:p>
            <w:pPr>
              <w:spacing w:line="240" w:lineRule="auto"/>
              <w:ind w:firstLine="0"/>
              <w:jc w:val="right"/>
            </w:pPr>
            <w:r>
              <w:rPr>
                <w:rFonts w:ascii="Times New Roman" w:hAnsi="Times New Roman" w:eastAsia="Times New Roman" w:cs="Times New Roman"/>
                <w:sz w:val="19"/>
              </w:rPr>
              <w:t>0,669</w:t>
            </w:r>
          </w:p>
        </w:tc>
        <w:tc>
          <w:tcPr>
            <w:tcW w:type="dxa" w:w="967"/>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−0,0005</w:t>
            </w:r>
          </w:p>
        </w:tc>
        <w:tc>
          <w:tcPr>
            <w:tcW w:type="dxa" w:w="892"/>
            <w:tcBorders/>
          </w:tcPr>
          <w:p>
            <w:pPr>
              <w:spacing w:line="240" w:lineRule="auto"/>
              <w:ind w:firstLine="0"/>
              <w:jc w:val="right"/>
            </w:pPr>
            <w:r>
              <w:rPr>
                <w:rFonts w:ascii="Times New Roman" w:hAnsi="Times New Roman" w:eastAsia="Times New Roman" w:cs="Times New Roman"/>
                <w:sz w:val="19"/>
              </w:rPr>
              <w:t>0,994</w:t>
            </w:r>
          </w:p>
        </w:tc>
        <w:tc>
          <w:tcPr>
            <w:tcW w:type="dxa" w:w="967"/>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0,02432</w:t>
            </w:r>
          </w:p>
        </w:tc>
        <w:tc>
          <w:tcPr>
            <w:tcW w:type="dxa" w:w="892"/>
            <w:tcBorders/>
          </w:tcPr>
          <w:p>
            <w:pPr>
              <w:spacing w:line="240" w:lineRule="auto"/>
              <w:ind w:firstLine="0"/>
              <w:jc w:val="right"/>
            </w:pPr>
            <w:r>
              <w:rPr>
                <w:rFonts w:ascii="Times New Roman" w:hAnsi="Times New Roman" w:eastAsia="Times New Roman" w:cs="Times New Roman"/>
                <w:sz w:val="19"/>
              </w:rPr>
              <w:t>−0,0141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0,02430</w:t>
            </w:r>
          </w:p>
        </w:tc>
        <w:tc>
          <w:tcPr>
            <w:tcW w:type="dxa" w:w="892"/>
            <w:tcBorders/>
          </w:tcPr>
          <w:p>
            <w:pPr>
              <w:spacing w:line="240" w:lineRule="auto"/>
              <w:ind w:firstLine="0"/>
              <w:jc w:val="right"/>
            </w:pPr>
            <w:r>
              <w:rPr>
                <w:rFonts w:ascii="Times New Roman" w:hAnsi="Times New Roman" w:eastAsia="Times New Roman" w:cs="Times New Roman"/>
                <w:sz w:val="19"/>
              </w:rPr>
              <w:t>−0,0121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0,02442</w:t>
            </w:r>
          </w:p>
        </w:tc>
        <w:tc>
          <w:tcPr>
            <w:tcW w:type="dxa" w:w="892"/>
            <w:tcBorders/>
          </w:tcPr>
          <w:p>
            <w:pPr>
              <w:spacing w:line="240" w:lineRule="auto"/>
              <w:ind w:firstLine="0"/>
              <w:jc w:val="right"/>
            </w:pPr>
            <w:r>
              <w:rPr>
                <w:rFonts w:ascii="Times New Roman" w:hAnsi="Times New Roman" w:eastAsia="Times New Roman" w:cs="Times New Roman"/>
                <w:sz w:val="19"/>
              </w:rPr>
              <w:t>−0,0224</w:t>
            </w:r>
          </w:p>
        </w:tc>
        <w:tc>
          <w:tcPr>
            <w:tcW w:type="dxa" w:w="892"/>
            <w:tcBorders/>
          </w:tcPr>
          <w:p>
            <w:pPr>
              <w:spacing w:line="240" w:lineRule="auto"/>
              <w:ind w:firstLine="0"/>
              <w:jc w:val="right"/>
            </w:pPr>
            <w:r>
              <w:rPr>
                <w:rFonts w:ascii="Times New Roman" w:hAnsi="Times New Roman" w:eastAsia="Times New Roman" w:cs="Times New Roman"/>
                <w:sz w:val="19"/>
              </w:rPr>
              <w:t>0,540</w:t>
            </w:r>
          </w:p>
        </w:tc>
        <w:tc>
          <w:tcPr>
            <w:tcW w:type="dxa" w:w="967"/>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0,02441</w:t>
            </w:r>
          </w:p>
        </w:tc>
        <w:tc>
          <w:tcPr>
            <w:tcW w:type="dxa" w:w="892"/>
            <w:tcBorders/>
          </w:tcPr>
          <w:p>
            <w:pPr>
              <w:spacing w:line="240" w:lineRule="auto"/>
              <w:ind w:firstLine="0"/>
              <w:jc w:val="right"/>
            </w:pPr>
            <w:r>
              <w:rPr>
                <w:rFonts w:ascii="Times New Roman" w:hAnsi="Times New Roman" w:eastAsia="Times New Roman" w:cs="Times New Roman"/>
                <w:sz w:val="19"/>
              </w:rPr>
              <w:t>−0,0216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0,02445</w:t>
            </w:r>
          </w:p>
        </w:tc>
        <w:tc>
          <w:tcPr>
            <w:tcW w:type="dxa" w:w="892"/>
            <w:tcBorders/>
          </w:tcPr>
          <w:p>
            <w:pPr>
              <w:spacing w:line="240" w:lineRule="auto"/>
              <w:ind w:firstLine="0"/>
              <w:jc w:val="right"/>
            </w:pPr>
            <w:r>
              <w:rPr>
                <w:rFonts w:ascii="Times New Roman" w:hAnsi="Times New Roman" w:eastAsia="Times New Roman" w:cs="Times New Roman"/>
                <w:sz w:val="19"/>
              </w:rPr>
              <w:t>−0,0247</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1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967"/>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tối đa 235 quan sát chung cho mỗi cặp. Điều này có nghĩa là nghiên cứu chưa tìm thấy bằng chứng có ý nghĩa thống kê rằng văn bản cải thiện dự báo ngoài mẫu so với mô hình chỉ có biến thị trường, và với chỉ 9/30 cặp có R² ngoài mẫu cao hơn, văn bản thường làm dự báo kém đi do thêm nhiễu. Điều này được lý giải do biến động có tính bền cao nên giá trị trễ của chính nó đã chứa phần lớn thông tin, và theo kết quả Granger ở trên, giọng điệu tin chủ yếu đi sau lợi suất nên ít thông tin mới về tương lai, tương tự nhận định của Gür và Ünal (2026) rằng giá trễ giải thích phần lớn biến động giá Bitcoin.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0,00020 (0,00018)</w:t>
            </w:r>
          </w:p>
        </w:tc>
        <w:tc>
          <w:tcPr>
            <w:tcW w:type="dxa" w:w="2576"/>
            <w:tcBorders/>
          </w:tcPr>
          <w:p>
            <w:pPr>
              <w:spacing w:line="240" w:lineRule="auto"/>
              <w:ind w:firstLine="0"/>
              <w:jc w:val="right"/>
            </w:pPr>
            <w:r>
              <w:rPr>
                <w:rFonts w:ascii="Times New Roman" w:hAnsi="Times New Roman" w:eastAsia="Times New Roman" w:cs="Times New Roman"/>
                <w:sz w:val="22"/>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0,00050 (0,00045)</w:t>
            </w:r>
          </w:p>
        </w:tc>
        <w:tc>
          <w:tcPr>
            <w:tcW w:type="dxa" w:w="2576"/>
            <w:tcBorders/>
          </w:tcPr>
          <w:p>
            <w:pPr>
              <w:spacing w:line="240" w:lineRule="auto"/>
              <w:ind w:firstLine="0"/>
              <w:jc w:val="right"/>
            </w:pPr>
            <w:r>
              <w:rPr>
                <w:rFonts w:ascii="Times New Roman" w:hAnsi="Times New Roman" w:eastAsia="Times New Roman" w:cs="Times New Roman"/>
                <w:sz w:val="22"/>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−0,00055** (0,00026)</w:t>
            </w:r>
          </w:p>
        </w:tc>
        <w:tc>
          <w:tcPr>
            <w:tcW w:type="dxa" w:w="2576"/>
            <w:tcBorders/>
          </w:tcPr>
          <w:p>
            <w:pPr>
              <w:spacing w:line="240" w:lineRule="auto"/>
              <w:ind w:firstLine="0"/>
              <w:jc w:val="right"/>
            </w:pPr>
            <w:r>
              <w:rPr>
                <w:rFonts w:ascii="Times New Roman" w:hAnsi="Times New Roman" w:eastAsia="Times New Roman" w:cs="Times New Roman"/>
                <w:sz w:val="22"/>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0,00014 (0,00011)</w:t>
            </w:r>
          </w:p>
        </w:tc>
        <w:tc>
          <w:tcPr>
            <w:tcW w:type="dxa" w:w="2576"/>
            <w:tcBorders/>
          </w:tcPr>
          <w:p>
            <w:pPr>
              <w:spacing w:line="240" w:lineRule="auto"/>
              <w:ind w:firstLine="0"/>
              <w:jc w:val="right"/>
            </w:pPr>
            <w:r>
              <w:rPr>
                <w:rFonts w:ascii="Times New Roman" w:hAnsi="Times New Roman" w:eastAsia="Times New Roman" w:cs="Times New Roman"/>
                <w:sz w:val="22"/>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Bên cạnh đó, nghiên cứu tính lại chỉ số ngày theo hai cách để kiểm tra liệu kết quả có bị chi phối bởi một vài trang tin đăng nhiều bài hay bởi các tin chỉ mô tả diễn biến giá. Cách thứ nhất cho mỗi tên miền một phiếu trong ngày, tức trọng số của mỗi tin bằng nghịch đảo số tin của tên miền đó trong ngày; cách thứ hai loại toàn bộ tin thuộc câu chuyện giá và đầu cơ. Bảng 15 trình bày hệ số của FinBERT trong hồi quy dự báo RV một ngày theo ba phiên bản chỉ số.</w:t>
      </w:r>
    </w:p>
    <w:p>
      <w:pPr>
        <w:keepNext/>
        <w:spacing w:after="0" w:before="160"/>
        <w:ind w:firstLine="0"/>
        <w:jc w:val="center"/>
      </w:pPr>
      <w:r>
        <w:rPr>
          <w:rFonts w:ascii="Times New Roman" w:hAnsi="Times New Roman" w:eastAsia="Times New Roman" w:cs="Times New Roman"/>
          <w:b/>
        </w:rPr>
        <w:t>Bảng 15</w:t>
      </w:r>
    </w:p>
    <w:p>
      <w:pPr>
        <w:keepNext/>
        <w:spacing w:after="0" w:before="0"/>
        <w:ind w:firstLine="0"/>
        <w:jc w:val="center"/>
      </w:pPr>
      <w:r>
        <w:rPr>
          <w:rFonts w:ascii="Times New Roman" w:hAnsi="Times New Roman" w:eastAsia="Times New Roman" w:cs="Times New Roman"/>
          <w:i/>
        </w:rPr>
        <w:t>Hệ Số FinBERT Đối Với Biến Động Theo Cách Xây Dựng Chỉ Số</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Chỉ số chính</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Trọng số nguồn</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Bỏ tin giá - đầu cơ</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−0,00009 (0,00012)</w:t>
            </w:r>
          </w:p>
        </w:tc>
        <w:tc>
          <w:tcPr>
            <w:tcW w:type="dxa" w:w="2576"/>
            <w:tcBorders/>
          </w:tcPr>
          <w:p>
            <w:pPr>
              <w:spacing w:line="240" w:lineRule="auto"/>
              <w:ind w:firstLine="0"/>
              <w:jc w:val="right"/>
            </w:pPr>
            <w:r>
              <w:rPr>
                <w:rFonts w:ascii="Times New Roman" w:hAnsi="Times New Roman" w:eastAsia="Times New Roman" w:cs="Times New Roman"/>
                <w:sz w:val="22"/>
              </w:rPr>
              <w:t>0,00002 (0,00014)</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0,00032 (0,00021)</w:t>
            </w:r>
          </w:p>
        </w:tc>
        <w:tc>
          <w:tcPr>
            <w:tcW w:type="dxa" w:w="2576"/>
            <w:tcBorders/>
          </w:tcPr>
          <w:p>
            <w:pPr>
              <w:spacing w:line="240" w:lineRule="auto"/>
              <w:ind w:firstLine="0"/>
              <w:jc w:val="right"/>
            </w:pPr>
            <w:r>
              <w:rPr>
                <w:rFonts w:ascii="Times New Roman" w:hAnsi="Times New Roman" w:eastAsia="Times New Roman" w:cs="Times New Roman"/>
                <w:sz w:val="22"/>
              </w:rPr>
              <w:t>0,00047* (0,00028)</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−0,00037** (0,00019)</w:t>
            </w:r>
          </w:p>
        </w:tc>
        <w:tc>
          <w:tcPr>
            <w:tcW w:type="dxa" w:w="2576"/>
            <w:tcBorders/>
          </w:tcPr>
          <w:p>
            <w:pPr>
              <w:spacing w:line="240" w:lineRule="auto"/>
              <w:ind w:firstLine="0"/>
              <w:jc w:val="right"/>
            </w:pPr>
            <w:r>
              <w:rPr>
                <w:rFonts w:ascii="Times New Roman" w:hAnsi="Times New Roman" w:eastAsia="Times New Roman" w:cs="Times New Roman"/>
                <w:sz w:val="22"/>
              </w:rPr>
              <w:t>−0,00031 (0,00024)</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0,00004 (0,00009)</w:t>
            </w:r>
          </w:p>
        </w:tc>
        <w:tc>
          <w:tcPr>
            <w:tcW w:type="dxa" w:w="2576"/>
            <w:tcBorders/>
          </w:tcPr>
          <w:p>
            <w:pPr>
              <w:spacing w:line="240" w:lineRule="auto"/>
              <w:ind w:firstLine="0"/>
              <w:jc w:val="right"/>
            </w:pPr>
            <w:r>
              <w:rPr>
                <w:rFonts w:ascii="Times New Roman" w:hAnsi="Times New Roman" w:eastAsia="Times New Roman" w:cs="Times New Roman"/>
                <w:sz w:val="22"/>
              </w:rPr>
              <w:t>−0,00003 (0,00011)</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−0,00067 (0,00052)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−0,00072 (0,00085)</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trên toàn mẫu, sai số chuẩn Newey - West trong ngoặc. "Trọng số nguồn" cho mỗi tên miền một phiếu trong ngày; "Bỏ tin giá - đầu cơ" loại tin thuộc câu chuyện giá và đầu cơ trước khi tính chỉ số. ***, **, * biểu thị mức ý nghĩa thống kê lần lượt là 1%, 5% và 10% theo p-value chưa hiệu chỉnh. Tính toán của nhóm tác giả.</w:t>
      </w:r>
    </w:p>
    <w:p>
      <w:r>
        <w:rPr>
          <w:rFonts w:ascii="Times New Roman" w:hAnsi="Times New Roman" w:eastAsia="Times New Roman" w:cs="Times New Roman"/>
        </w:rPr>
        <w:t>Trên toàn bộ 45 hệ số FinBERT của mỗi biến thể (05 tài sản, 03 biến mục tiêu, 03 độ trễ, toàn mẫu), phiên bản trọng số nguồn có 6 hệ số đạt mức 10% trước hiệu chỉnh và 0 hệ số sau hiệu chỉnh Holm, cùng dấu với chỉ số chính ở 39 hệ số; phiên bản bỏ tin giá - đầu cơ có 9 hệ số đạt mức 10% trước hiệu chỉnh và 0 hệ số sau hiệu chỉnh, cùng dấu với chỉ số chính ở 36 hệ số. Điều này có nghĩa là trong hồi quy dự báo theo ngày, việc chưa ghi nhận hệ số cảm xúc FinBERT có ý nghĩa sau hiệu chỉnh Holm không thay đổi khi cho mỗi tên miền một phiếu hoặc khi loại tin giá và đầu cơ khỏi chỉ số. Hai cách dựng chỉ số này chỉ được kiểm tra trong hồi quy dự báo; nghiên cứu không tái ước lượng kiểm định Granger theo từng cách.</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142.646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dù hồi quy dự báo chưa đủ để xếp hạng các thước đo. Đối với tác động lên giá, tin tức không đi kèm lợi suất bất thường có hướng sau hiệu chỉnh kiểm định bội, nhưng khối lượng giao dịch bất thường tăng có ý nghĩa quanh tin, mạnh hơn ở các chủ đề DeFi, vĩ mô và tiền tệ, stablecoin (RQ3), và mạnh hơn sau tin tốt so với tin xấu (RQ2). Kiểm định Granger cho thấy lợi suất dẫn trước cảm xúc của tin ở cả 05 tài sản trong khi chiều ngược lại không có ý nghĩa sau hiệu chỉnh (RQ4), và bổ sung văn bản chưa cải thiện dự báo ngoài mẫu (RQ5). Trong mẫu và cách đo này, bằng chứng chưa ủng hộ sức dự báo gia tăng của văn bản ở tần suất ngày. Quan hệ Granger chỉ mô tả thứ tự dự báo, không xác định giá gây ra nội dung tin hay loại trừ sai số thời điểm công bố.</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chỉ được lấy theo một lô mỗi giờ, khoảng một phần tư số bài, nên cường độ tin trong ngày bị đo thấp hơn thực tế. Thứ hai, chỉ 42 trong 162.936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thu toàn bộ các lô tin trong ngày, mở rộng kiểm chứng giờ đăng, dùng nhãn thủ công quy mô lớn hơn để đánh giá mô hình chuyển đổi trên miền tiền mã hóa, và tách tin mô tả biến động giá khỏi tin mang thông tin mới để kiểm định riêng tác động của nhóm tin sau.</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rFonts w:ascii="Times New Roman" w:hAnsi="Times New Roman" w:eastAsia="Times New Roman"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404040" w:themeColor="tex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BA0CD" w:themeColor="accen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CF7B79" w:themeColor="accent2"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B3CC82" w:themeColor="accent3"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9F8AB9" w:themeColor="accent4"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8C0D4" w:themeColor="accent5"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F9B074" w:themeColor="accent6"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rPr>
      <w:tblPr/>
      <w:tcPr>
        <w:shd w:val="clear" w:color="auto" w:fill="E6E6E6" w:themeFill="tex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rPr>
      <w:tblPr/>
      <w:tcPr>
        <w:shd w:val="clear" w:color="auto" w:fill="999999" w:themeFill="text1" w:themeFillTint="66"/>
      </w:tcPr>
    </w:tblStylePr>
    <w:tblStylePr w:type="lastRow">
      <w:rPr>
        <w:rFonts w:ascii="Times New Roman" w:hAnsi="Times New Roman" w:eastAsia="Times New Roman" w:cs="Times New Roman"/>
        <w:b/>
        <w:bCs/>
        <w:color w:val="000000" w:themeColor="text1"/>
      </w:rPr>
      <w:tblPr/>
      <w:tcPr>
        <w:shd w:val="clear" w:color="auto" w:fill="999999" w:themeFill="text1" w:themeFillTint="66"/>
      </w:tcPr>
    </w:tblStylePr>
    <w:tblStylePr w:type="firstCol">
      <w:rPr>
        <w:rFonts w:ascii="Times New Roman" w:hAnsi="Times New Roman" w:eastAsia="Times New Roman" w:cs="Times New Roman"/>
        <w:color w:val="FFFFFF" w:themeColor="background1"/>
      </w:rPr>
      <w:tblPr/>
      <w:tcPr>
        <w:shd w:val="clear" w:color="auto" w:fill="000000" w:themeFill="text1" w:themeFillShade="BF"/>
      </w:tcPr>
    </w:tblStylePr>
    <w:tblStylePr w:type="lastCol">
      <w:rPr>
        <w:rFonts w:ascii="Times New Roman" w:hAnsi="Times New Roman" w:eastAsia="Times New Roman" w:cs="Times New Roman"/>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rPr>
      <w:tblPr/>
      <w:tcPr>
        <w:shd w:val="clear" w:color="auto" w:fill="B8CCE4" w:themeFill="accent1" w:themeFillTint="66"/>
      </w:tcPr>
    </w:tblStylePr>
    <w:tblStylePr w:type="firstCol">
      <w:rPr>
        <w:rFonts w:ascii="Times New Roman" w:hAnsi="Times New Roman" w:eastAsia="Times New Roman" w:cs="Times New Roman"/>
        <w:color w:val="FFFFFF" w:themeColor="background1"/>
      </w:rPr>
      <w:tblPr/>
      <w:tcPr>
        <w:shd w:val="clear" w:color="auto" w:fill="365F91" w:themeFill="accent1" w:themeFillShade="BF"/>
      </w:tcPr>
    </w:tblStylePr>
    <w:tblStylePr w:type="lastCol">
      <w:rPr>
        <w:rFonts w:ascii="Times New Roman" w:hAnsi="Times New Roman" w:eastAsia="Times New Roman" w:cs="Times New Roman"/>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rPr>
      <w:tblPr/>
      <w:tcPr>
        <w:shd w:val="clear" w:color="auto" w:fill="E5B8B7" w:themeFill="accent2" w:themeFillTint="66"/>
      </w:tcPr>
    </w:tblStylePr>
    <w:tblStylePr w:type="firstCol">
      <w:rPr>
        <w:rFonts w:ascii="Times New Roman" w:hAnsi="Times New Roman" w:eastAsia="Times New Roman" w:cs="Times New Roman"/>
        <w:color w:val="FFFFFF" w:themeColor="background1"/>
      </w:rPr>
      <w:tblPr/>
      <w:tcPr>
        <w:shd w:val="clear" w:color="auto" w:fill="943634" w:themeFill="accent2" w:themeFillShade="BF"/>
      </w:tcPr>
    </w:tblStylePr>
    <w:tblStylePr w:type="lastCol">
      <w:rPr>
        <w:rFonts w:ascii="Times New Roman" w:hAnsi="Times New Roman" w:eastAsia="Times New Roman" w:cs="Times New Roman"/>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rPr>
      <w:tblPr/>
      <w:tcPr>
        <w:shd w:val="clear" w:color="auto" w:fill="D6E3BC" w:themeFill="accent3" w:themeFillTint="66"/>
      </w:tcPr>
    </w:tblStylePr>
    <w:tblStylePr w:type="firstCol">
      <w:rPr>
        <w:rFonts w:ascii="Times New Roman" w:hAnsi="Times New Roman" w:eastAsia="Times New Roman" w:cs="Times New Roman"/>
        <w:color w:val="FFFFFF" w:themeColor="background1"/>
      </w:rPr>
      <w:tblPr/>
      <w:tcPr>
        <w:shd w:val="clear" w:color="auto" w:fill="76923C" w:themeFill="accent3" w:themeFillShade="BF"/>
      </w:tcPr>
    </w:tblStylePr>
    <w:tblStylePr w:type="lastCol">
      <w:rPr>
        <w:rFonts w:ascii="Times New Roman" w:hAnsi="Times New Roman" w:eastAsia="Times New Roman" w:cs="Times New Roman"/>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rPr>
      <w:tblPr/>
      <w:tcPr>
        <w:shd w:val="clear" w:color="auto" w:fill="CCC0D9" w:themeFill="accent4" w:themeFillTint="66"/>
      </w:tcPr>
    </w:tblStylePr>
    <w:tblStylePr w:type="firstCol">
      <w:rPr>
        <w:rFonts w:ascii="Times New Roman" w:hAnsi="Times New Roman" w:eastAsia="Times New Roman" w:cs="Times New Roman"/>
        <w:color w:val="FFFFFF" w:themeColor="background1"/>
      </w:rPr>
      <w:tblPr/>
      <w:tcPr>
        <w:shd w:val="clear" w:color="auto" w:fill="5F497A" w:themeFill="accent4" w:themeFillShade="BF"/>
      </w:tcPr>
    </w:tblStylePr>
    <w:tblStylePr w:type="lastCol">
      <w:rPr>
        <w:rFonts w:ascii="Times New Roman" w:hAnsi="Times New Roman" w:eastAsia="Times New Roman" w:cs="Times New Roman"/>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rPr>
      <w:tblPr/>
      <w:tcPr>
        <w:shd w:val="clear" w:color="auto" w:fill="B6DDE8" w:themeFill="accent5" w:themeFillTint="66"/>
      </w:tcPr>
    </w:tblStylePr>
    <w:tblStylePr w:type="firstCol">
      <w:rPr>
        <w:rFonts w:ascii="Times New Roman" w:hAnsi="Times New Roman" w:eastAsia="Times New Roman" w:cs="Times New Roman"/>
        <w:color w:val="FFFFFF" w:themeColor="background1"/>
      </w:rPr>
      <w:tblPr/>
      <w:tcPr>
        <w:shd w:val="clear" w:color="auto" w:fill="31849B" w:themeFill="accent5" w:themeFillShade="BF"/>
      </w:tcPr>
    </w:tblStylePr>
    <w:tblStylePr w:type="lastCol">
      <w:rPr>
        <w:rFonts w:ascii="Times New Roman" w:hAnsi="Times New Roman" w:eastAsia="Times New Roman" w:cs="Times New Roman"/>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rPr>
      <w:tblPr/>
      <w:tcPr>
        <w:shd w:val="clear" w:color="auto" w:fill="FBD4B4" w:themeFill="accent6" w:themeFillTint="66"/>
      </w:tcPr>
    </w:tblStylePr>
    <w:tblStylePr w:type="firstCol">
      <w:rPr>
        <w:rFonts w:ascii="Times New Roman" w:hAnsi="Times New Roman" w:eastAsia="Times New Roman" w:cs="Times New Roman"/>
        <w:color w:val="FFFFFF" w:themeColor="background1"/>
      </w:rPr>
      <w:tblPr/>
      <w:tcPr>
        <w:shd w:val="clear" w:color="auto" w:fill="E36C0A" w:themeFill="accent6" w:themeFillShade="BF"/>
      </w:tcPr>
    </w:tblStylePr>
    <w:tblStylePr w:type="lastCol">
      <w:rPr>
        <w:rFonts w:ascii="Times New Roman" w:hAnsi="Times New Roman" w:eastAsia="Times New Roman" w:cs="Times New Roman"/>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