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notes.xml" ContentType="application/vnd.openxmlformats-officedocument.wordprocessingml.footnot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jc w:val="center"/>
        <w:keepNext/>
      </w:pPr>
      <w:r>
        <w:rPr>
          <w:rFonts w:ascii="Times New Roman" w:hAnsi="Times New Roman" w:eastAsia="Times New Roman"/>
          <w:sz w:val="26"/>
        </w:rPr>
        <w:t xml:space="preserve">Narrative và cảm xúc tin tức trên thị trường tiền mã hóa: Bằng chứng theo thời điểm công bố về lợi suất, biến động và hoạt động giao dịch</w:t>
      </w:r>
    </w:p>
    <w:p>
      <w:pPr>
        <w:pStyle w:val="Subtitle"/>
        <w:jc w:val="center"/>
        <w:keepNext/>
      </w:pPr>
      <w:r>
        <w:rPr>
          <w:rFonts w:ascii="Times New Roman" w:hAnsi="Times New Roman" w:eastAsia="Times New Roman"/>
          <w:sz w:val="26"/>
        </w:rPr>
        <w:t xml:space="preserve">Crypto news narratives and sentiment: Publication-time evidence on returns, volatility and trading activity</w:t>
      </w:r>
    </w:p>
    <w:p>
      <w:pPr>
        <w:pStyle w:val="Subtitle"/>
        <w:jc w:val="center"/>
        <w:keepNext/>
      </w:pPr>
      <w:r>
        <w:rPr>
          <w:rFonts w:ascii="Times New Roman" w:hAnsi="Times New Roman" w:eastAsia="Times New Roman"/>
          <w:sz w:val="26"/>
        </w:rPr>
        <w:t xml:space="preserve">Phạm Ngọc Thiên An</w:t>
      </w:r>
    </w:p>
    <w:p>
      <w:pPr>
        <w:pStyle w:val="Subtitle"/>
        <w:jc w:val="center"/>
        <w:keepNext/>
      </w:pPr>
      <w:r>
        <w:rPr>
          <w:rFonts w:ascii="Times New Roman" w:hAnsi="Times New Roman" w:eastAsia="Times New Roman"/>
          <w:sz w:val="26"/>
        </w:rPr>
        <w:t xml:space="preserve">Trường Đại học Kinh tế - Luật, Đại học Quốc gia Thành phố Hồ Chí Minh, Việt Nam</w:t>
      </w:r>
    </w:p>
    <w:p>
      <w:pPr>
        <w:pStyle w:val="Subtitle"/>
        <w:jc w:val="center"/>
        <w:keepNext/>
      </w:pPr>
      <w:r>
        <w:rPr>
          <w:rFonts w:ascii="Times New Roman" w:hAnsi="Times New Roman" w:eastAsia="Times New Roman"/>
          <w:sz w:val="26"/>
        </w:rPr>
        <w:t xml:space="preserve">Tác giả liên hệ, Email: ____________________</w:t>
      </w:r>
    </w:p>
    <w:tbl>
      <w:tblPr>
        <w:tblW w:w="9000" w:type="dxa"/>
        <w:tblLayout w:type="autofit"/>
        <w:tblBorders>
          <w:top w:val="single" w:sz="8" w:color="000000"/>
          <w:bottom w:val="single" w:sz="8" w:color="000000"/>
          <w:left w:val="nil"/>
          <w:right w:val="nil"/>
          <w:insideH w:val="nil"/>
          <w:insideV w:val="nil"/>
        </w:tblBorders>
      </w:tblPr>
      <w:tblGrid>
        <w:gridCol w:w="4500"/>
        <w:gridCol w:w="4500"/>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THÔNG TIN</w:t>
            </w:r>
          </w:p>
        </w:tc>
        <w:tc>
          <w:tcPr>
            <w:tcBorders>
              <w:bottom w:val="single" w:sz="6" w:color="000000"/>
            </w:tcBorders>
          </w:tcPr>
          <w:p>
            <w:pPr>
              <w:pStyle w:val="TableText"/>
            </w:pPr>
          </w:p>
        </w:tc>
      </w:tr>
      <w:tr>
        <w:trPr>
          <w:cantSplit/>
        </w:trPr>
        <w:tc>
          <w:p>
            <w:pPr>
              <w:pStyle w:val="TableText"/>
            </w:pPr>
            <w:r>
              <w:rPr>
                <w:rFonts w:ascii="Times New Roman" w:hAnsi="Times New Roman" w:eastAsia="Times New Roman"/>
                <w:sz w:val="20"/>
              </w:rPr>
              <w:t xml:space="preserve">DOI</w:t>
            </w:r>
          </w:p>
        </w:tc>
        <w:tc>
          <w:p>
            <w:pPr>
              <w:pStyle w:val="TableText"/>
            </w:pPr>
            <w:r>
              <w:rPr>
                <w:rFonts w:ascii="Times New Roman" w:hAnsi="Times New Roman" w:eastAsia="Times New Roman"/>
                <w:sz w:val="20"/>
              </w:rPr>
              <w:t xml:space="preserve">____________________</w:t>
            </w:r>
          </w:p>
        </w:tc>
      </w:tr>
      <w:tr>
        <w:trPr>
          <w:cantSplit/>
        </w:trPr>
        <w:tc>
          <w:p>
            <w:pPr>
              <w:pStyle w:val="TableText"/>
            </w:pPr>
            <w:r>
              <w:rPr>
                <w:rFonts w:ascii="Times New Roman" w:hAnsi="Times New Roman" w:eastAsia="Times New Roman"/>
                <w:sz w:val="20"/>
              </w:rPr>
              <w:t xml:space="preserve">Ngày nhận</w:t>
            </w:r>
          </w:p>
        </w:tc>
        <w:tc>
          <w:p>
            <w:pPr>
              <w:pStyle w:val="TableText"/>
            </w:pPr>
            <w:r>
              <w:rPr>
                <w:rFonts w:ascii="Times New Roman" w:hAnsi="Times New Roman" w:eastAsia="Times New Roman"/>
                <w:sz w:val="20"/>
              </w:rPr>
              <w:t xml:space="preserve">____________________</w:t>
            </w:r>
          </w:p>
        </w:tc>
      </w:tr>
      <w:tr>
        <w:trPr>
          <w:cantSplit/>
        </w:trPr>
        <w:tc>
          <w:p>
            <w:pPr>
              <w:pStyle w:val="TableText"/>
            </w:pPr>
            <w:r>
              <w:rPr>
                <w:rFonts w:ascii="Times New Roman" w:hAnsi="Times New Roman" w:eastAsia="Times New Roman"/>
                <w:sz w:val="20"/>
              </w:rPr>
              <w:t xml:space="preserve">Ngày nhận lại</w:t>
            </w:r>
          </w:p>
        </w:tc>
        <w:tc>
          <w:p>
            <w:pPr>
              <w:pStyle w:val="TableText"/>
            </w:pPr>
            <w:r>
              <w:rPr>
                <w:rFonts w:ascii="Times New Roman" w:hAnsi="Times New Roman" w:eastAsia="Times New Roman"/>
                <w:sz w:val="20"/>
              </w:rPr>
              <w:t xml:space="preserve">____________________</w:t>
            </w:r>
          </w:p>
        </w:tc>
      </w:tr>
      <w:tr>
        <w:trPr>
          <w:cantSplit/>
        </w:trPr>
        <w:tc>
          <w:p>
            <w:pPr>
              <w:pStyle w:val="TableText"/>
            </w:pPr>
            <w:r>
              <w:rPr>
                <w:rFonts w:ascii="Times New Roman" w:hAnsi="Times New Roman" w:eastAsia="Times New Roman"/>
                <w:sz w:val="20"/>
              </w:rPr>
              <w:t xml:space="preserve">Duyệt đăng</w:t>
            </w:r>
          </w:p>
        </w:tc>
        <w:tc>
          <w:p>
            <w:pPr>
              <w:pStyle w:val="TableText"/>
            </w:pPr>
            <w:r>
              <w:rPr>
                <w:rFonts w:ascii="Times New Roman" w:hAnsi="Times New Roman" w:eastAsia="Times New Roman"/>
                <w:sz w:val="20"/>
              </w:rPr>
              <w:t xml:space="preserve">____________________</w:t>
            </w:r>
          </w:p>
        </w:tc>
      </w:tr>
      <w:tr>
        <w:trPr>
          <w:cantSplit/>
        </w:trPr>
        <w:tc>
          <w:p>
            <w:pPr>
              <w:pStyle w:val="TableText"/>
            </w:pPr>
            <w:r>
              <w:rPr>
                <w:rFonts w:ascii="Times New Roman" w:hAnsi="Times New Roman" w:eastAsia="Times New Roman"/>
                <w:sz w:val="20"/>
              </w:rPr>
              <w:t xml:space="preserve">Mã phân loại JEL</w:t>
            </w:r>
          </w:p>
        </w:tc>
        <w:tc>
          <w:p>
            <w:pPr>
              <w:pStyle w:val="TableText"/>
            </w:pPr>
            <w:r>
              <w:rPr>
                <w:rFonts w:ascii="Times New Roman" w:hAnsi="Times New Roman" w:eastAsia="Times New Roman"/>
                <w:sz w:val="20"/>
              </w:rPr>
              <w:t xml:space="preserve">G12; G14; G41; C53</w:t>
            </w:r>
          </w:p>
        </w:tc>
      </w:tr>
      <w:tr>
        <w:trPr>
          <w:cantSplit/>
        </w:trPr>
        <w:tc>
          <w:p>
            <w:pPr>
              <w:pStyle w:val="TableText"/>
            </w:pPr>
            <w:r>
              <w:rPr>
                <w:rFonts w:ascii="Times New Roman" w:hAnsi="Times New Roman" w:eastAsia="Times New Roman"/>
                <w:sz w:val="20"/>
              </w:rPr>
              <w:t xml:space="preserve">Từ khóa</w:t>
            </w:r>
          </w:p>
        </w:tc>
        <w:tc>
          <w:p>
            <w:pPr>
              <w:pStyle w:val="TableText"/>
            </w:pPr>
            <w:r>
              <w:rPr>
                <w:rFonts w:ascii="Times New Roman" w:hAnsi="Times New Roman" w:eastAsia="Times New Roman"/>
                <w:sz w:val="20"/>
              </w:rPr>
              <w:t xml:space="preserve">tiền mã hóa; cảm xúc tin tức; câu chuyện thị trường; thời điểm công bố; dự báo ngoài mẫu</w:t>
            </w:r>
          </w:p>
        </w:tc>
      </w:tr>
      <w:tr>
        <w:trPr>
          <w:cantSplit/>
        </w:trPr>
        <w:tc>
          <w:p>
            <w:pPr>
              <w:pStyle w:val="TableText"/>
            </w:pPr>
            <w:r>
              <w:rPr>
                <w:rFonts w:ascii="Times New Roman" w:hAnsi="Times New Roman" w:eastAsia="Times New Roman"/>
                <w:sz w:val="20"/>
              </w:rPr>
              <w:t xml:space="preserve">Keywords</w:t>
            </w:r>
          </w:p>
        </w:tc>
        <w:tc>
          <w:p>
            <w:pPr>
              <w:pStyle w:val="TableText"/>
            </w:pPr>
            <w:r>
              <w:rPr>
                <w:rFonts w:ascii="Times New Roman" w:hAnsi="Times New Roman" w:eastAsia="Times New Roman"/>
                <w:sz w:val="20"/>
              </w:rPr>
              <w:t xml:space="preserve">cryptocurrency; news sentiment; narratives; publication time; out-of-sample forecasting</w:t>
            </w:r>
          </w:p>
        </w:tc>
      </w:tr>
    </w:tbl>
    <w:p>
      <w:pPr>
        <w:pStyle w:val="Heading1"/>
        <w:keepNext/>
      </w:pPr>
      <w:r>
        <w:rPr>
          <w:rFonts w:ascii="Times New Roman" w:hAnsi="Times New Roman" w:eastAsia="Times New Roman"/>
          <w:sz w:val="26"/>
        </w:rPr>
        <w:t xml:space="preserve">TÓM TẮT</w:t>
      </w:r>
    </w:p>
    <w:p>
      <w:pPr>
        <w:pStyle w:val="Normal"/>
      </w:pPr>
      <w:r>
        <w:rPr>
          <w:rFonts w:ascii="Times New Roman" w:hAnsi="Times New Roman" w:eastAsia="Times New Roman"/>
          <w:sz w:val="26"/>
        </w:rPr>
        <w:t xml:space="preserve">Nghiên cứu kiểm tra liệu cảm xúc và câu chuyện trong tin tức có bổ sung thông tin cho lợi suất, biến động và khối lượng của 05 tài sản tiền mã hóa ngoài các biến thị trường quá khứ. Dữ liệu gồm tin tiếng Anh và nến Binance giai đoạn 01/2023–09/2026; tin được gán theo thời điểm ra công chúng, còn bước hiệu chỉnh văn bản chỉ dùng kỳ huấn luyện. Phương pháp kết hợp từ điển, FinBERT, hồi quy dự báo, hồi quy phân vị, nghiên cứu sự kiện theo giờ và dự báo ngoài mẫu. Bản dữ liệu thật hiện phủ 339/1.369 ngày; đặc tả Bitcoin có 229 ngày huấn luyện, 47 ngày xác thực và 59 ngày kiểm tra. Chênh lệch phản ứng giá bốn giờ giữa tin xấu và tin tốt không có ý nghĩa sau hiệu chỉnh kiểm định bội, trong khi khối lượng quanh tin tốt lớn hơn. Với 39 cặp tin–tài sản có hai đồng hồ, lựa chọn giờ làm đổi trạng thái ý nghĩa của phản ứng 24 giờ, nhưng chênh lệch ghép cặp chưa có ý nghĩa. Văn bản giảm nhẹ sai số dự báo biến động Bitcoin; đoạn kiểm định liên tục vẫn quá ngắn để kết luận lợi ích gia tăng. Kết quả nhấn mạnh vai trò của đồng hồ công bố và giới hạn suy luận từ dữ liệu tin còn thưa.</w:t>
      </w:r>
    </w:p>
    <w:p>
      <w:pPr>
        <w:pStyle w:val="Heading1"/>
        <w:keepNext/>
      </w:pPr>
      <w:r>
        <w:rPr>
          <w:rFonts w:ascii="Times New Roman" w:hAnsi="Times New Roman" w:eastAsia="Times New Roman"/>
          <w:sz w:val="26"/>
        </w:rPr>
        <w:t xml:space="preserve">ABSTRACT</w:t>
      </w:r>
    </w:p>
    <w:p>
      <w:pPr>
        <w:pStyle w:val="Normal"/>
      </w:pPr>
      <w:r>
        <w:rPr>
          <w:rFonts w:ascii="Times New Roman" w:hAnsi="Times New Roman" w:eastAsia="Times New Roman"/>
          <w:sz w:val="26"/>
        </w:rPr>
        <w:t xml:space="preserve">This study asks whether news sentiment and narratives add information about returns, realized volatility, and trading volume for five cryptocurrencies beyond lagged market variables. English-language news is matched to Binance candles from January 2023 to September 2026. Each article is assigned a verified public timestamp, while corpus-dependent text models and thresholds are fitted only on the training period. We compare financial dictionaries with FinBERT, estimate predictive and quantile regressions, examine hourly publication events, and evaluate Elastic Net, XGBoost, and LightGBM out of sample. The current real-data snapshot contains news on 339 of 1,369 calendar days; the Bitcoin core specification uses 229 training, 47 validation, and 59 test days. The four-hour price-response difference between negative and positive news is not significant after multiple-testing adjustment, whereas positive news is associated with a larger abnormal volume response. Among 39 article–asset pairs with two timestamps, the choice of clock changes the significance status of the 24-hour response, although the paired difference is not significant. Text slightly lowers Bitcoin volatility forecast error, but the continuous test segment is too short for a reliable incremental-value test. The findings emphasize publication-time discipline and cautious interpretation under sparse news coverage.</w:t>
      </w:r>
    </w:p>
    <w:p>
      <w:pPr>
        <w:pStyle w:val="Heading1"/>
        <w:keepNext/>
      </w:pPr>
      <w:r>
        <w:rPr>
          <w:rFonts w:ascii="Times New Roman" w:hAnsi="Times New Roman" w:eastAsia="Times New Roman"/>
          <w:sz w:val="26"/>
        </w:rPr>
        <w:t xml:space="preserve">1. Giới thiệu</w:t>
      </w:r>
    </w:p>
    <w:p>
      <w:pPr>
        <w:pStyle w:val="Normal"/>
      </w:pPr>
      <w:r>
        <w:rPr>
          <w:rFonts w:ascii="Times New Roman" w:hAnsi="Times New Roman" w:eastAsia="Times New Roman"/>
          <w:sz w:val="26"/>
        </w:rPr>
        <w:t xml:space="preserve">Thị trường tiền mã hóa giao dịch liên tục, chịu ảnh hưởng của thông tin công khai và kỳ vọng về công nghệ, quy định cũng như mức độ chấp nhận của tổ chức. Cảm xúc thị trường (market sentiment) biểu thị sắc thái tích cực hoặc tiêu cực trong thông tin; câu chuyện thị trường (narrative) là cách người tham gia gắn các sự kiện riêng lẻ vào một chủ đề có khả năng lan truyền. Shiller (2017) đặt narrative vào cơ chế hình thành kỳ vọng, còn Walker (2024) ghi nhận các chủ đề khác nhau trong báo chí về Bitcoin có quan hệ khác nhau với lợi suất. Khi tin được đăng vào bất kỳ giờ nào, ngày ghi trong kho dữ liệu có thể khác ngày nhà đầu tư thực sự nhìn thấy nội dung. Do đó, xác định đúng thời điểm công bố là điều kiện trước khi diễn giải một tín hiệu văn bản như thông tin dẫn dắt thị trường.</w:t>
      </w:r>
    </w:p>
    <w:p>
      <w:pPr>
        <w:pStyle w:val="Normal"/>
      </w:pPr>
      <w:r>
        <w:rPr>
          <w:rFonts w:ascii="Times New Roman" w:hAnsi="Times New Roman" w:eastAsia="Times New Roman"/>
          <w:sz w:val="26"/>
        </w:rPr>
        <w:t xml:space="preserve">Lợi suất quá khứ, biến động và sự chú ý của nhà đầu tư cũng chứa thông tin dự báo đối với tiền mã hóa (Liu &amp; Tsyvinski, 2021). Các nghiên cứu về Twitter cho thấy ở một số tài sản giá còn dẫn trước hoạt động thảo luận (Kraaijeveld &amp; De Smedt, 2020). Từ góc độ tin tức, Chou và cộng sự (2023) và Kao và cộng sự (2024) nêu bằng chứng định tính trong phần tóm tắt về cơ chế khác nhau giữa tin tiêu cực và tích cực; Gür và Ünal (2026) nêu khả năng sử dụng FinBERT trong dự báo giá Bitcoin. Ba công trình sau chỉ được viện dẫn trong phạm vi thông tin ở tóm tắt, không dùng hệ số chưa đối chiếu từ toàn văn.</w:t>
      </w:r>
    </w:p>
    <w:p>
      <w:pPr>
        <w:pStyle w:val="Normal"/>
      </w:pPr>
      <w:r>
        <w:rPr>
          <w:rFonts w:ascii="Times New Roman" w:hAnsi="Times New Roman" w:eastAsia="Times New Roman"/>
          <w:sz w:val="26"/>
        </w:rPr>
        <w:t xml:space="preserve">Vấn đề liệu tín hiệu văn bản thực sự có giá trị gia tăng vẫn còn bỏ ngỏ khi mô hình đối chứng thiếu biến thị trường mạnh, đồng hồ công bố không được kiểm tra và bộ chấm cảm xúc được đánh giá trên tập tin khác với tập tin dùng dự báo. Đặc biệt, một hệ số có ý nghĩa trong mẫu không đồng nghĩa với lợi ích ngoài mẫu; việc ghép tin được nhìn thấy sau nửa đêm vào ngày hôm trước còn có thể tạo ra sai lệch nhìn trước. Bên cạnh đó, dữ liệu tin thu theo giờ có thể thưa, khiến các kiểm định chuỗi thời gian đòi hỏi đoạn quan sát liên tục trở nên không xác định.</w:t>
      </w:r>
    </w:p>
    <w:p>
      <w:pPr>
        <w:pStyle w:val="Normal"/>
      </w:pPr>
      <w:r>
        <w:rPr>
          <w:rFonts w:ascii="Times New Roman" w:hAnsi="Times New Roman" w:eastAsia="Times New Roman"/>
          <w:sz w:val="26"/>
        </w:rPr>
        <w:t xml:space="preserve">Nghiên cứu này trả lời 05 câu hỏi. RQ1 so sánh FinBERT với từ điển tài chính trong đo cảm xúc tin tiền mã hóa. RQ2 kiểm tra bất đối xứng giữa tin xấu và tin tốt. RQ3 tìm quan hệ giữa sự chú ý tới từng narrative với lợi suất, biến động và khối lượng. RQ4 xem tín hiệu tin dẫn thị trường hay chỉ phản ứng với giá. RQ5 kiểm tra liệu thêm văn bản cải thiện dự báo ngoài mẫu so với mô hình chỉ có biến thị trường. Nghiên cứu đóng góp vào tài liệu học thuật hiện có bằng việc giữ nguyên văn bản tiếng Anh, kiểm tra nhiều đồng hồ thời gian, khóa kỳ kiểm tra khỏi mọi bước chọn mô hình, đối chiếu cả kết quả theo ngày lẫn phản ứng theo giờ và công bố rõ các phép kiểm định chưa đủ điều kiện thực hiện.</w:t>
      </w:r>
    </w:p>
    <w:p>
      <w:pPr>
        <w:pStyle w:val="Normal"/>
      </w:pPr>
      <w:r>
        <w:rPr>
          <w:rFonts w:ascii="Times New Roman" w:hAnsi="Times New Roman" w:eastAsia="Times New Roman"/>
          <w:sz w:val="26"/>
        </w:rPr>
        <w:t xml:space="preserve">Bài nghiên cứu được cấu tạo gồm 05 phần. Sau phần giới thiệu, phần 2 trình bày nền tảng lý thuyết và bằng chứng trước đây; phần 3 mô tả dữ liệu và phương pháp; phần 4 báo cáo các kết quả thật đang có và giới hạn suy luận; phần 5 kết luận và nêu hàm ý.</w:t>
      </w:r>
    </w:p>
    <w:p>
      <w:pPr>
        <w:pStyle w:val="Heading1"/>
        <w:keepNext/>
      </w:pPr>
      <w:r>
        <w:rPr>
          <w:rFonts w:ascii="Times New Roman" w:hAnsi="Times New Roman" w:eastAsia="Times New Roman"/>
          <w:sz w:val="26"/>
        </w:rPr>
        <w:t xml:space="preserve">2. Cơ sở lý thuyết và tổng quan các nghiên cứu trước đây</w:t>
      </w:r>
    </w:p>
    <w:p>
      <w:pPr>
        <w:pStyle w:val="Normal"/>
      </w:pPr>
      <w:r>
        <w:rPr>
          <w:rFonts w:ascii="Times New Roman" w:hAnsi="Times New Roman" w:eastAsia="Times New Roman"/>
          <w:sz w:val="26"/>
        </w:rPr>
        <w:t xml:space="preserve">Theo giả thuyết thị trường hiệu quả, giá phản ánh nhanh thông tin công khai, nên tin đã phát hành khó mang lại lợi nhuận dự báo ổn định sau khi tính rủi ro và chi phí (Fama, 1970). Trong khi đó, Baker và Wurgler (2007) lập luận rằng cảm xúc của nhà đầu tư có thể làm giá lệch khỏi giá trị gắn với yếu tố cơ bản. Tetlock (2007) cho thấy sắc thái bi quan trong báo tài chính liên hệ với áp lực giá ngắn hạn; Antweiler và Frank (2004) chỉ ra cả mức bất đồng giữa người viết cũng liên quan đến hoạt động giao dịch. Đối với tiền mã hóa, sự chú ý có thể khuếch đại các tác động này vì nhiều tài sản không tạo dòng tiền cổ tức và nhà đầu tư thường suy luận giá trị từ mức độ chấp nhận trong tương lai.</w:t>
      </w:r>
    </w:p>
    <w:p>
      <w:pPr>
        <w:pStyle w:val="Normal"/>
      </w:pPr>
      <w:r>
        <w:rPr>
          <w:rFonts w:ascii="Times New Roman" w:hAnsi="Times New Roman" w:eastAsia="Times New Roman"/>
          <w:sz w:val="26"/>
        </w:rPr>
        <w:t xml:space="preserve">Lý thuyết kinh tế học narrative của Shiller (2017) gợi ý rằng một thông tin về quỹ ETF, quy định hoặc vụ tấn công có thể đổi kỳ vọng khi được đặt trong một câu chuyện có khả năng lan truyền. Da và cộng sự (2011) cho thấy sự chú ý cũng là biến kinh tế cần tách khỏi sắc thái tin. Bybee và cộng sự (2024) cho thấy tỷ trọng chủ đề trong tin kinh doanh có thể đo sự chú ý ở cấp tổng hợp. Khaksar và cộng sự (2026) đo cảm xúc, bất đồng và mức chú ý theo chủ đề trên diễn đàn Bitcoin; nghiên cứu này dùng tin báo có giờ công bố và đặt các chỉ số ở ngày t trước kết quả ngày t+h. Lucey và cộng sự (2022) xây chỉ số bất định tiền mã hóa từ tin tức, gợi ý cần kiểm soát sự bất định chung khi so sánh sức giải thích của từng narrative. Chuỗi UCRY hồi cứu không có bản công bố theo thời gian thực nên chỉ được dùng như kiểm tra độ vững trong phần dữ liệu có sẵn, không được xem là biến dự báo point-in-time chính.</w:t>
      </w:r>
    </w:p>
    <w:p>
      <w:pPr>
        <w:pStyle w:val="Normal"/>
      </w:pPr>
      <w:r>
        <w:rPr>
          <w:rFonts w:ascii="Times New Roman" w:hAnsi="Times New Roman" w:eastAsia="Times New Roman"/>
          <w:sz w:val="26"/>
        </w:rPr>
        <w:t xml:space="preserve">Giả thuyết phân phối hỗn hợp dự đoán tin, biến động và khối lượng phản ứng cùng thời điểm; giả thuyết thông tin đến tuần tự dự đoán phản ứng lan dần. Chou và cộng sự (2023) cùng Kao và cộng sự (2024) mô tả hai cơ chế này đối với tin Bitcoin trong các tóm tắt công bố. Kraaijeveld và De Smedt (2020) và Kristoufek (2013) nhấn mạnh quan hệ hai chiều giữa sự chú ý và giá. Vì thế, hồi quy một chiều không đủ để khẳng định tin dẫn giá: cần kiểm tra cả phản ứng trước thời điểm công bố và quan hệ dự báo ngược, đồng thời nhớ rằng kiểm định Granger chỉ nói về khả năng dự báo có điều kiện (Granger, 1969).</w:t>
      </w:r>
    </w:p>
    <w:p>
      <w:pPr>
        <w:pStyle w:val="Normal"/>
      </w:pPr>
      <w:r>
        <w:rPr>
          <w:rFonts w:ascii="Times New Roman" w:hAnsi="Times New Roman" w:eastAsia="Times New Roman"/>
          <w:sz w:val="26"/>
        </w:rPr>
        <w:t xml:space="preserve">Việc đo sắc thái phụ thuộc ngữ cảnh ngôn ngữ. Loughran và McDonald (2011) chỉ ra từ điển tổng quát Harvard IV-4 có thể gán sai nghĩa nhiều từ tài chính; FinBERT sử dụng biểu diễn theo ngữ cảnh thay cho việc đếm từ rời rạc (Araci, 2019). Nasekin và Chen (2020) cùng Ider và Lessmann (2022) cho thấy xây tín hiệu tiền mã hóa từ văn bản đòi hỏi xử lý đặc thù miền. Tuy nhiên, độ chính xác phân loại trên nhãn yếu và khả năng dự báo thị trường là hai tiêu chí khác nhau. Vì vậy, RQ1 cần tập nhãn độc lập bên cạnh việc so các hệ số dự báo trên cùng corpus.</w:t>
      </w:r>
    </w:p>
    <w:p>
      <w:pPr>
        <w:pStyle w:val="Normal"/>
      </w:pPr>
      <w:r>
        <w:rPr>
          <w:rFonts w:ascii="Times New Roman" w:hAnsi="Times New Roman" w:eastAsia="Times New Roman"/>
          <w:sz w:val="26"/>
        </w:rPr>
        <w:t xml:space="preserve">Các bằng chứng ngoài mẫu cũng chưa đồng nhất. Garcia và Schweitzer (2015), Ortu và cộng sự (2022) và Critien và cộng sự (2022) kết hợp hoạt động trực tuyến với biến giá trong dự báo hoặc chiến lược giao dịch, nhưng phạm vi nguồn, tài sản và kỳ kiểm tra khác nhau. Auer và Claessens (2018) cho thấy tin quy định cần được tách theo nội dung thay vì gộp toàn bộ thành một nhóm. Nghiên cứu hiện tại đặt câu hỏi gia tăng chặt hơn: liệu mô hình có thêm cảm xúc và narrative vượt mô hình đã chứa lợi suất trễ, biến động, khối lượng, momentum và số tin thô, dưới cùng quy tắc huấn luyện theo thời gian. Việc tách kết quả có ý nghĩa thống kê khỏi giá trị giao dịch sau phí giúp tránh diễn giải một tương quan trong mẫu thành cơ hội đầu tư.</w:t>
      </w:r>
    </w:p>
    <w:p>
      <w:pPr>
        <w:pStyle w:val="Heading1"/>
        <w:keepNext/>
      </w:pPr>
      <w:r>
        <w:rPr>
          <w:rFonts w:ascii="Times New Roman" w:hAnsi="Times New Roman" w:eastAsia="Times New Roman"/>
          <w:sz w:val="26"/>
        </w:rPr>
        <w:t xml:space="preserve">3. Phương pháp nghiên cứu</w:t>
      </w:r>
    </w:p>
    <w:p>
      <w:pPr>
        <w:pStyle w:val="Normal"/>
      </w:pPr>
      <w:r>
        <w:rPr>
          <w:rFonts w:ascii="Times New Roman" w:hAnsi="Times New Roman" w:eastAsia="Times New Roman"/>
          <w:sz w:val="26"/>
        </w:rPr>
        <w:t xml:space="preserve">Mẫu thiết kế gồm BTC, ETH, SOL, BNB và XRP trong khoảng ngày 01/01/2023 đến 30/09/2026 theo giờ UTC. Giá đóng cửa và khối lượng USD lấy từ nến ngày và nến giờ Binance; lợi suất là sai phân log giá đóng cửa, còn biến động thực hiện (realized volatility, RV) là tổng bình phương lợi suất log theo giờ (Andersen &amp; Bollerslev, 1998). Tin chính là văn bản tiếng Anh từ GDELT GKG, với hồ sơ SEC dùng riêng cho nghiên cứu sự kiện. Chỉ giữ bản canonical sau khử trùng; tin không gắn mã được gán BTC trong phân tích sự kiện, còn chỉ số ngày theo mã chỉ lấy tin gắn mã tương ứng. Mẫu được chia kỳ huấn luyện đến 30/06/2025, xác thực đến 31/12/2025 và kiểm tra từ 01/01/2026; đầu ra ngày t chỉ dùng tin có </w:t>
      </w:r>
      <w:r>
        <w:rPr>
          <w:rFonts w:ascii="Times New Roman" w:hAnsi="Times New Roman" w:eastAsia="Times New Roman"/>
          <w:sz w:val="26"/>
        </w:rPr>
        <w:t xml:space="preserve">public_ts_utc</w:t>
      </w:r>
      <w:r>
        <w:rPr>
          <w:rFonts w:ascii="Times New Roman" w:hAnsi="Times New Roman" w:eastAsia="Times New Roman"/>
          <w:sz w:val="26"/>
        </w:rPr>
        <w:t xml:space="preserve"> trước 00:00 UTC ngày t+1.</w:t>
      </w:r>
      <w:r>
        <w:rPr>
          <w:rFonts w:ascii="Times New Roman" w:hAnsi="Times New Roman" w:eastAsia="Times New Roman"/>
          <w:sz w:val="26"/>
          <w:vertAlign w:val="superscript"/>
        </w:rPr>
        <w:footnoteReference w:id="1"/>
      </w:r>
    </w:p>
    <w:p>
      <w:pPr>
        <w:pStyle w:val="Normal"/>
      </w:pPr>
      <w:r>
        <w:rPr>
          <w:rFonts w:ascii="Times New Roman" w:hAnsi="Times New Roman" w:eastAsia="Times New Roman"/>
          <w:sz w:val="26"/>
        </w:rPr>
        <w:t xml:space="preserve">Thời điểm ra công chúng </w:t>
      </w:r>
      <w:r>
        <w:rPr>
          <w:rFonts w:ascii="Times New Roman" w:hAnsi="Times New Roman" w:eastAsia="Times New Roman"/>
          <w:sz w:val="26"/>
        </w:rPr>
        <w:t xml:space="preserve">public_ts_utc</w:t>
      </w:r>
      <w:r>
        <w:rPr>
          <w:rFonts w:ascii="Times New Roman" w:hAnsi="Times New Roman" w:eastAsia="Times New Roman"/>
          <w:sz w:val="26"/>
        </w:rPr>
        <w:t xml:space="preserve"> là giờ đăng hợp lệ sớm hơn giờ hệ thống nhìn thấy, hoặc là giờ nhìn thấy nếu không xác minh được giờ đăng. Giờ đăng chỉ hợp lệ khi không muộn hơn giờ nhìn thấy, không sớm hơn quá 48 giờ và cùng ngày UTC; quy tắc cuối tránh đưa bản văn có thể đã sửa ở ngày sau về ngày trước. Kiểm tra 42 cặp GDELT có cả giờ đăng và giờ thấy cho độ trễ tuyệt đối trung vị của </w:t>
      </w:r>
      <w:r>
        <w:rPr>
          <w:rFonts w:ascii="Times New Roman" w:hAnsi="Times New Roman" w:eastAsia="Times New Roman"/>
          <w:sz w:val="26"/>
        </w:rPr>
        <w:t xml:space="preserve">seendate</w:t>
      </w:r>
      <w:r>
        <w:rPr>
          <w:rFonts w:ascii="Times New Roman" w:hAnsi="Times New Roman" w:eastAsia="Times New Roman"/>
          <w:sz w:val="26"/>
        </w:rPr>
        <w:t xml:space="preserve"> là 141,5 phút. Vì vậy, việc dùng ngày GDELT thấy như ngày đăng có thể đổi cả cửa sổ sự kiện và ngày của biến giải thích. Nghiên cứu giữ đồng hồ gốc và so hai cách gán giờ trên cùng tập tin có đủ hai mốc.</w:t>
      </w:r>
    </w:p>
    <w:p>
      <w:pPr>
        <w:pStyle w:val="Normal"/>
      </w:pPr>
      <w:r>
        <w:rPr>
          <w:rFonts w:ascii="Times New Roman" w:hAnsi="Times New Roman" w:eastAsia="Times New Roman"/>
          <w:sz w:val="26"/>
        </w:rPr>
        <w:t xml:space="preserve">Với tin d thuộc ngày t và tài sản i, điểm cảm xúc sᵈ được chấm trên văn bản tiếng Anh gốc bằng Loughran–McDonald, Harvard IV-4 và FinBERT; nhánh tiếng Việt dùng từ điển tài chính tiếng Việt cùng từ điển tiền mã hóa riêng, không dịch qua tiếng Anh. Điểm ngày là trung bình đều trên các tin canonical, còn phần âm và dương được tách trước khi lấy trung bình:</w:t>
      </w:r>
    </w:p>
    <w:p>
      <w:pPr>
        <w:pStyle w:val="Normal"/>
        <w:ind w:firstLine="0"/>
        <w:jc w:val="center"/>
      </w:pPr>
      <m:oMath>
        <m:r>
          <m:t>Sᵢ,ₜ = (1/Nᵢ,ₜ) Σ(d∈Dᵢ,ₜ) sᵈ ;  NegSᵢ,ₜ = mean[max(−sᵈ,0)] ;  PosSᵢ,ₜ = mean[max(sᵈ,0)]</m:t>
        </m:r>
      </m:oMath>
      <w:r>
        <w:rPr>
          <w:rFonts w:ascii="Times New Roman" w:hAnsi="Times New Roman" w:eastAsia="Times New Roman"/>
          <w:sz w:val="26"/>
        </w:rPr>
        <w:t xml:space="preserve">    (1)</w:t>
      </w:r>
    </w:p>
    <w:p>
      <w:pPr>
        <w:pStyle w:val="Normal"/>
      </w:pPr>
      <w:r>
        <w:rPr>
          <w:rFonts w:ascii="Times New Roman" w:hAnsi="Times New Roman" w:eastAsia="Times New Roman"/>
          <w:sz w:val="26"/>
        </w:rPr>
        <w:t xml:space="preserve">Sự chú ý tới narrative k được đo bằng tỷ trọng tin nhận nhãn k; bản mềm dùng trung bình xác suất zero-shot. Tám narrative định trước gồm regulation, ETF/institutional, security/hacks, stablecoins, DeFi, AI tokens, macro/monetary và price/speculation. Vectorizer, LDA, BERTopic của Grootendorst (2022) và ngưỡng phân loại chỉ được chọn hoặc ước lượng trên train, với valid dùng để chọn tham số và test giữ nguyên cho đánh giá cuối.</w:t>
      </w:r>
      <w:r>
        <w:rPr>
          <w:rFonts w:ascii="Times New Roman" w:hAnsi="Times New Roman" w:eastAsia="Times New Roman"/>
          <w:sz w:val="26"/>
          <w:vertAlign w:val="superscript"/>
        </w:rPr>
        <w:footnoteReference w:id="2"/>
      </w:r>
    </w:p>
    <w:p>
      <w:pPr>
        <w:pStyle w:val="Normal"/>
        <w:ind w:firstLine="0"/>
        <w:jc w:val="center"/>
      </w:pPr>
      <m:oMath>
        <m:r>
          <m:t>Aₖ,ᵢ,ₜ = Nₖ,ᵢ,ₜ / Nᵢ,ₜ ;  Aˢᵒᶠᵗₖ,ᵢ,ₜ = (1/Nᵢ,ₜ) Σ(d∈Dᵢ,ₜ) p(k|d)</m:t>
        </m:r>
      </m:oMath>
      <w:r>
        <w:rPr>
          <w:rFonts w:ascii="Times New Roman" w:hAnsi="Times New Roman" w:eastAsia="Times New Roman"/>
          <w:sz w:val="26"/>
        </w:rPr>
        <w:t xml:space="preserve">    (2)</w:t>
      </w:r>
    </w:p>
    <w:p>
      <w:pPr>
        <w:pStyle w:val="Normal"/>
      </w:pPr>
      <w:r>
        <w:rPr>
          <w:rFonts w:ascii="Times New Roman" w:hAnsi="Times New Roman" w:eastAsia="Times New Roman"/>
          <w:sz w:val="26"/>
        </w:rPr>
        <w:t xml:space="preserve">Nghiên cứu xây dựng phương trình dự báo cho lợi suất, RV và log khối lượng ở kỳ hạn h thuộc {1, 3, 7} ngày như sau. X là tập biến thị trường đã biết tại ngày t gồm lợi suất trễ, RV, log khối lượng và momentum; log(1+N) được đưa vào bậc đối chứng trung gian để tách giá trị của số tin thô khỏi sắc thái tin. Sai số chuẩn hồi quy được hiệu chỉnh tự tương quan và phương sai thay đổi theo Newey và West (1987).</w:t>
      </w:r>
    </w:p>
    <w:p>
      <w:pPr>
        <w:pStyle w:val="Normal"/>
        <w:ind w:firstLine="0"/>
        <w:jc w:val="center"/>
      </w:pPr>
      <m:oMath>
        <m:r>
          <m:t>yᵢ,ₜ₊ₕ = αᵢ + β⁻ NegSᵢ,ₜ + β⁺ PosSᵢ,ₜ + Σₖ θₖ Aₖ,ᵢ,ₜ + δ log(1+Nᵢ,ₜ) + γ′Xᵢ,ₜ + εᵢ,ₜ₊ₕ</m:t>
        </m:r>
      </m:oMath>
      <w:r>
        <w:rPr>
          <w:rFonts w:ascii="Times New Roman" w:hAnsi="Times New Roman" w:eastAsia="Times New Roman"/>
          <w:sz w:val="26"/>
        </w:rPr>
        <w:t xml:space="preserve">    (3)</w:t>
      </w:r>
    </w:p>
    <w:p>
      <w:pPr>
        <w:pStyle w:val="Normal"/>
      </w:pPr>
      <w:r>
        <w:rPr>
          <w:rFonts w:ascii="Times New Roman" w:hAnsi="Times New Roman" w:eastAsia="Times New Roman"/>
          <w:sz w:val="26"/>
        </w:rPr>
        <w:t xml:space="preserve">RQ2 kiểm tra giả thuyết không về tác động bằng nhau của hai phần cảm xúc bằng Wald và đối chiếu hồi quy phân vị ở τ = 0,1; 0,5; 0,9. Cửa sổ phân vị trượt 500 ngày, bước 20 ngày chỉ được diễn giải khi có đủ quan sát hợp lệ; điểm ước lượng ở đuôi không thay thế kiểm định bất đối xứng giữa hai hệ số.</w:t>
      </w:r>
    </w:p>
    <w:p>
      <w:pPr>
        <w:pStyle w:val="Normal"/>
        <w:ind w:firstLine="0"/>
        <w:jc w:val="center"/>
      </w:pPr>
      <m:oMath>
        <m:r>
          <m:t>H₀: β⁻ = β⁺ ;  W = (β̂⁻−β̂⁺)² / Var(β̂⁻−β̂⁺)</m:t>
        </m:r>
      </m:oMath>
      <w:r>
        <w:rPr>
          <w:rFonts w:ascii="Times New Roman" w:hAnsi="Times New Roman" w:eastAsia="Times New Roman"/>
          <w:sz w:val="26"/>
        </w:rPr>
        <w:t xml:space="preserve">    (4)</w:t>
      </w:r>
    </w:p>
    <w:p>
      <w:pPr>
        <w:pStyle w:val="Normal"/>
      </w:pPr>
      <w:r>
        <w:rPr>
          <w:rFonts w:ascii="Times New Roman" w:hAnsi="Times New Roman" w:eastAsia="Times New Roman"/>
          <w:sz w:val="26"/>
        </w:rPr>
        <w:t xml:space="preserve">RQ4 dùng hệ phương trình vectơ tự hồi quy (VAR) hai chiều giữa lợi suất hoặc RV và chỉ số tin, kiểm định Granger sau khi kiểm tra tính dừng bằng ADF/KPSS. Bậc trễ chọn trên kỳ phát triển bằng AIC, nhưng chỉ chạy VAR trên đoạn ngày có tin liên tục đủ dài; ngày trống không được nối giả tạo.</w:t>
      </w:r>
      <w:r>
        <w:rPr>
          <w:rFonts w:ascii="Times New Roman" w:hAnsi="Times New Roman" w:eastAsia="Times New Roman"/>
          <w:sz w:val="26"/>
          <w:vertAlign w:val="superscript"/>
        </w:rPr>
        <w:footnoteReference w:id="3"/>
      </w:r>
    </w:p>
    <w:p>
      <w:pPr>
        <w:pStyle w:val="Normal"/>
        <w:ind w:firstLine="0"/>
        <w:jc w:val="center"/>
      </w:pPr>
      <m:oMath>
        <m:r>
          <m:t>yₜ = a₀ + Σⱼ aⱼ yₜ₋ⱼ + Σⱼ bⱼ Sₜ₋ⱼ + uₜ ;  Sₜ = c₀ + Σⱼ cⱼ Sₜ₋ⱼ + Σⱼ dⱼ yₜ₋ⱼ + vₜ</m:t>
        </m:r>
      </m:oMath>
      <w:r>
        <w:rPr>
          <w:rFonts w:ascii="Times New Roman" w:hAnsi="Times New Roman" w:eastAsia="Times New Roman"/>
          <w:sz w:val="26"/>
        </w:rPr>
        <w:t xml:space="preserve">    (5)</w:t>
      </w:r>
    </w:p>
    <w:p>
      <w:pPr>
        <w:pStyle w:val="Normal"/>
      </w:pPr>
      <w:r>
        <w:rPr>
          <w:rFonts w:ascii="Times New Roman" w:hAnsi="Times New Roman" w:eastAsia="Times New Roman"/>
          <w:sz w:val="26"/>
        </w:rPr>
        <w:t xml:space="preserve">Đối với RQ5, Elastic Net, XGBoost và LightGBM được tái ước lượng theo cửa sổ mở rộng. Ba bậc mô hình gồm thị trường, thị trường cộng log(1+N), và thị trường cộng toàn bộ chỉ số văn bản. Kỳ valid chọn siêu tham số; mọi lần tái ước lượng loại quan sát có ngày mục tiêu nằm quá sát ngày dự báo theo quy tắc purge/embargo. Chỉ tiêu chính là RMSE và R² ngoài mẫu theo Campbell và Thompson (2008); chênh lệch lỗi dự báo được đánh giá bằng Diebold–Mariano có hiệu chỉnh mẫu hữu hạn, Clark–West cho mô hình lồng nhau, Giacomini–White và tập mô hình tin cậy khi chuỗi kiểm tra đủ liên tục (Clark &amp; West, 2007; Diebold &amp; Mariano, 1995).</w:t>
      </w:r>
      <w:r>
        <w:rPr>
          <w:rFonts w:ascii="Times New Roman" w:hAnsi="Times New Roman" w:eastAsia="Times New Roman"/>
          <w:sz w:val="26"/>
          <w:vertAlign w:val="superscript"/>
        </w:rPr>
        <w:footnoteReference w:id="4"/>
      </w:r>
    </w:p>
    <w:p>
      <w:pPr>
        <w:pStyle w:val="Normal"/>
        <w:ind w:firstLine="0"/>
        <w:jc w:val="center"/>
      </w:pPr>
      <m:oMath>
        <m:r>
          <m:t>R²ₒₒₛ = 1 − Σₜ(yₜ−ŷₜ)² / Σₜ(yₜ−ȳₜ,train)² ;  ΔRMSE = RMSEₘₐᵣₖₑₜ − RMSEₘₐᵣₖₑₜ₊ₜₑₓₜ</m:t>
        </m:r>
      </m:oMath>
      <w:r>
        <w:rPr>
          <w:rFonts w:ascii="Times New Roman" w:hAnsi="Times New Roman" w:eastAsia="Times New Roman"/>
          <w:sz w:val="26"/>
        </w:rPr>
        <w:t xml:space="preserve">    (6)</w:t>
      </w:r>
    </w:p>
    <w:p>
      <w:pPr>
        <w:pStyle w:val="Normal"/>
      </w:pPr>
      <w:r>
        <w:rPr>
          <w:rFonts w:ascii="Times New Roman" w:hAnsi="Times New Roman" w:eastAsia="Times New Roman"/>
          <w:sz w:val="26"/>
        </w:rPr>
        <w:t xml:space="preserve">Nghiên cứu sự kiện dùng T0 là nến một giờ đầu tiên bắt đầu sau </w:t>
      </w:r>
      <w:r>
        <w:rPr>
          <w:rFonts w:ascii="Times New Roman" w:hAnsi="Times New Roman" w:eastAsia="Times New Roman"/>
          <w:sz w:val="26"/>
        </w:rPr>
        <w:t xml:space="preserve">public_ts_utc</w:t>
      </w:r>
      <w:r>
        <w:rPr>
          <w:rFonts w:ascii="Times New Roman" w:hAnsi="Times New Roman" w:eastAsia="Times New Roman"/>
          <w:sz w:val="26"/>
        </w:rPr>
        <w:t xml:space="preserve">, với cửa sổ ước lượng [−168,−25] giờ; BTC dùng lợi suất trung bình, các tài sản khác dùng mô hình thị trường theo lợi suất BTC làm mức kỳ vọng. Từ đó tính lợi suất bất thường tích lũy (CAR), độ lớn lợi suất bất thường và log khối lượng bất thường tại các cửa sổ [0,1], [0,4], [0,24] giờ; cửa sổ [−4,−2] kiểm tra giá trước tin, còn placebo dời mốc 24 giờ. Tin được nhóm theo tercile FinBERT, điểm LM và narrative; kiểm định t, BMP, Wilcoxon gộp theo ngày và hiệu chỉnh Holm hoặc Benjamini–Hochberg (BH). Đây là quan hệ có điều kiện quanh tin, không phải nhận dạng nhân quả vì nhiều sự kiện có thể trùng giờ.</w:t>
      </w:r>
    </w:p>
    <w:p>
      <w:pPr>
        <w:pStyle w:val="Normal"/>
        <w:ind w:firstLine="0"/>
        <w:jc w:val="center"/>
      </w:pPr>
      <m:oMath>
        <m:r>
          <m:t>ARᵈ₍τ₎ = rᵢ,ₜ₀₊τ − α̂ᵢ − β̂ᵢ rBTC,ₜ₀₊τ ;  CARᵈ[a,b] = Σ(τ=a…b) ARᵈ₍τ₎</m:t>
        </m:r>
      </m:oMath>
      <w:r>
        <w:rPr>
          <w:rFonts w:ascii="Times New Roman" w:hAnsi="Times New Roman" w:eastAsia="Times New Roman"/>
          <w:sz w:val="26"/>
        </w:rPr>
        <w:t xml:space="preserve">    (7)</w:t>
      </w:r>
    </w:p>
    <w:p>
      <w:pPr>
        <w:pStyle w:val="Normal"/>
        <w:ind w:firstLine="0"/>
        <w:jc w:val="center"/>
      </w:pPr>
      <m:oMath>
        <m:r>
          <m:t>AVᵈ[a,b] = mean₍τ=a…b₎{log(1+Vᵢ,ₜ₀₊τ) − mean[log(1+Vᵢ,est)]}</m:t>
        </m:r>
      </m:oMath>
      <w:r>
        <w:rPr>
          <w:rFonts w:ascii="Times New Roman" w:hAnsi="Times New Roman" w:eastAsia="Times New Roman"/>
          <w:sz w:val="26"/>
        </w:rPr>
        <w:t xml:space="preserve">    (8)</w:t>
      </w:r>
    </w:p>
    <w:p>
      <w:pPr>
        <w:pStyle w:val="Normal"/>
      </w:pPr>
      <w:r>
        <w:rPr>
          <w:rFonts w:ascii="Times New Roman" w:hAnsi="Times New Roman" w:eastAsia="Times New Roman"/>
          <w:sz w:val="26"/>
        </w:rPr>
        <w:t xml:space="preserve">Các biến được mô tả trong Bảng 1. Bảng 2 thống kê riêng cấp cặp tin–tài sản có nến hợp lệ, vì các phép kiểm định sự kiện sử dụng tập này. Giá trị trung bình cấp sự kiện ở Bảng 2 có trọng số mỗi cặp bằng nhau; phần kết quả kiểm định sau đó gộp theo ngày nên có thể khác. Mọi thống kê trong hai bảng đều lấy từ các tệp </w:t>
      </w:r>
      <w:r>
        <w:rPr>
          <w:rFonts w:ascii="Times New Roman" w:hAnsi="Times New Roman" w:eastAsia="Times New Roman"/>
          <w:sz w:val="26"/>
        </w:rPr>
        <w:t xml:space="preserve">outputs/tables/real/</w:t>
      </w:r>
      <w:r>
        <w:rPr>
          <w:rFonts w:ascii="Times New Roman" w:hAnsi="Times New Roman" w:eastAsia="Times New Roman"/>
          <w:sz w:val="26"/>
        </w:rPr>
        <w:t xml:space="preserve"> của bản chụp dữ liệu, không dùng dữ liệu mô phỏng.</w:t>
      </w:r>
    </w:p>
    <w:p>
      <w:pPr>
        <w:pStyle w:val="Caption"/>
        <w:keepNext/>
      </w:pPr>
      <w:r>
        <w:rPr>
          <w:rFonts w:ascii="Times New Roman" w:hAnsi="Times New Roman" w:eastAsia="Times New Roman"/>
          <w:sz w:val="26"/>
        </w:rPr>
        <w:t xml:space="preserve">Bảng 1</w:t>
      </w:r>
    </w:p>
    <w:p>
      <w:pPr>
        <w:pStyle w:val="Normal"/>
      </w:pPr>
      <w:r>
        <w:rPr>
          <w:rFonts w:ascii="Times New Roman" w:hAnsi="Times New Roman" w:eastAsia="Times New Roman"/>
          <w:sz w:val="26"/>
        </w:rPr>
        <w:t xml:space="preserve">Mô Tả Biến</w:t>
      </w:r>
    </w:p>
    <w:tbl>
      <w:tblPr>
        <w:tblW w:w="9000" w:type="dxa"/>
        <w:tblLayout w:type="autofit"/>
        <w:tblBorders>
          <w:top w:val="single" w:sz="8" w:color="000000"/>
          <w:bottom w:val="single" w:sz="8" w:color="000000"/>
          <w:left w:val="nil"/>
          <w:right w:val="nil"/>
          <w:insideH w:val="nil"/>
          <w:insideV w:val="nil"/>
        </w:tblBorders>
      </w:tblPr>
      <w:tblGrid>
        <w:gridCol w:w="1800"/>
        <w:gridCol w:w="1800"/>
        <w:gridCol w:w="1800"/>
        <w:gridCol w:w="1800"/>
        <w:gridCol w:w="1800"/>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Loại biến</w:t>
            </w:r>
          </w:p>
        </w:tc>
        <w:tc>
          <w:tcPr>
            <w:tcBorders>
              <w:bottom w:val="single" w:sz="6" w:color="000000"/>
            </w:tcBorders>
          </w:tcPr>
          <w:p>
            <w:pPr>
              <w:pStyle w:val="TableText"/>
            </w:pPr>
            <w:r>
              <w:rPr>
                <w:rFonts w:ascii="Times New Roman" w:hAnsi="Times New Roman" w:eastAsia="Times New Roman"/>
                <w:sz w:val="20"/>
                <w:b/>
              </w:rPr>
              <w:t xml:space="preserve">Tên biến</w:t>
            </w:r>
          </w:p>
        </w:tc>
        <w:tc>
          <w:tcPr>
            <w:tcBorders>
              <w:bottom w:val="single" w:sz="6" w:color="000000"/>
            </w:tcBorders>
          </w:tcPr>
          <w:p>
            <w:pPr>
              <w:pStyle w:val="TableText"/>
            </w:pPr>
            <w:r>
              <w:rPr>
                <w:rFonts w:ascii="Times New Roman" w:hAnsi="Times New Roman" w:eastAsia="Times New Roman"/>
                <w:sz w:val="20"/>
                <w:b/>
              </w:rPr>
              <w:t xml:space="preserve">Ký hiệu</w:t>
            </w:r>
          </w:p>
        </w:tc>
        <w:tc>
          <w:tcPr>
            <w:tcBorders>
              <w:bottom w:val="single" w:sz="6" w:color="000000"/>
            </w:tcBorders>
          </w:tcPr>
          <w:p>
            <w:pPr>
              <w:pStyle w:val="TableText"/>
            </w:pPr>
            <w:r>
              <w:rPr>
                <w:rFonts w:ascii="Times New Roman" w:hAnsi="Times New Roman" w:eastAsia="Times New Roman"/>
                <w:sz w:val="20"/>
                <w:b/>
              </w:rPr>
              <w:t xml:space="preserve">Đo lường</w:t>
            </w:r>
          </w:p>
        </w:tc>
        <w:tc>
          <w:tcPr>
            <w:tcBorders>
              <w:bottom w:val="single" w:sz="6" w:color="000000"/>
            </w:tcBorders>
          </w:tcPr>
          <w:p>
            <w:pPr>
              <w:pStyle w:val="TableText"/>
            </w:pPr>
            <w:r>
              <w:rPr>
                <w:rFonts w:ascii="Times New Roman" w:hAnsi="Times New Roman" w:eastAsia="Times New Roman"/>
                <w:sz w:val="20"/>
                <w:b/>
              </w:rPr>
              <w:t xml:space="preserve">Nguồn</w:t>
            </w:r>
          </w:p>
        </w:tc>
      </w:tr>
      <w:tr>
        <w:trPr>
          <w:cantSplit/>
        </w:trPr>
        <w:tc>
          <w:p>
            <w:pPr>
              <w:pStyle w:val="TableText"/>
            </w:pPr>
            <w:r>
              <w:rPr>
                <w:rFonts w:ascii="Times New Roman" w:hAnsi="Times New Roman" w:eastAsia="Times New Roman"/>
                <w:sz w:val="20"/>
              </w:rPr>
              <w:t xml:space="preserve">Phụ thuộc</w:t>
            </w:r>
          </w:p>
        </w:tc>
        <w:tc>
          <w:p>
            <w:pPr>
              <w:pStyle w:val="TableText"/>
            </w:pPr>
            <w:r>
              <w:rPr>
                <w:rFonts w:ascii="Times New Roman" w:hAnsi="Times New Roman" w:eastAsia="Times New Roman"/>
                <w:sz w:val="20"/>
              </w:rPr>
              <w:t xml:space="preserve">Lợi suất</w:t>
            </w:r>
          </w:p>
        </w:tc>
        <w:tc>
          <w:p>
            <w:pPr>
              <w:pStyle w:val="TableText"/>
            </w:pPr>
            <w:r>
              <w:rPr>
                <w:rFonts w:ascii="Times New Roman" w:hAnsi="Times New Roman" w:eastAsia="Times New Roman"/>
                <w:sz w:val="20"/>
              </w:rPr>
              <w:t xml:space="preserve">rᵢ,ₜ</w:t>
            </w:r>
          </w:p>
        </w:tc>
        <w:tc>
          <w:p>
            <w:pPr>
              <w:pStyle w:val="TableText"/>
            </w:pPr>
            <w:r>
              <w:rPr>
                <w:rFonts w:ascii="Times New Roman" w:hAnsi="Times New Roman" w:eastAsia="Times New Roman"/>
                <w:sz w:val="20"/>
              </w:rPr>
              <w:t xml:space="preserve">Sai phân log giá đóng cửa ngày</w:t>
            </w:r>
          </w:p>
        </w:tc>
        <w:tc>
          <w:p>
            <w:pPr>
              <w:pStyle w:val="TableText"/>
            </w:pPr>
            <w:r>
              <w:rPr>
                <w:rFonts w:ascii="Times New Roman" w:hAnsi="Times New Roman" w:eastAsia="Times New Roman"/>
                <w:sz w:val="20"/>
              </w:rPr>
              <w:t xml:space="preserve">Binance, nến ngày</w:t>
            </w:r>
          </w:p>
        </w:tc>
      </w:tr>
      <w:tr>
        <w:trPr>
          <w:cantSplit/>
        </w:trPr>
        <w:tc>
          <w:p>
            <w:pPr>
              <w:pStyle w:val="TableText"/>
            </w:pPr>
            <w:r>
              <w:rPr>
                <w:rFonts w:ascii="Times New Roman" w:hAnsi="Times New Roman" w:eastAsia="Times New Roman"/>
                <w:sz w:val="20"/>
              </w:rPr>
              <w:t xml:space="preserve">Phụ thuộc</w:t>
            </w:r>
          </w:p>
        </w:tc>
        <w:tc>
          <w:p>
            <w:pPr>
              <w:pStyle w:val="TableText"/>
            </w:pPr>
            <w:r>
              <w:rPr>
                <w:rFonts w:ascii="Times New Roman" w:hAnsi="Times New Roman" w:eastAsia="Times New Roman"/>
                <w:sz w:val="20"/>
              </w:rPr>
              <w:t xml:space="preserve">Biến động thực hiện</w:t>
            </w:r>
          </w:p>
        </w:tc>
        <w:tc>
          <w:p>
            <w:pPr>
              <w:pStyle w:val="TableText"/>
            </w:pPr>
            <w:r>
              <w:rPr>
                <w:rFonts w:ascii="Times New Roman" w:hAnsi="Times New Roman" w:eastAsia="Times New Roman"/>
                <w:sz w:val="20"/>
              </w:rPr>
              <w:t xml:space="preserve">RVᵢ,ₜ</w:t>
            </w:r>
          </w:p>
        </w:tc>
        <w:tc>
          <w:p>
            <w:pPr>
              <w:pStyle w:val="TableText"/>
            </w:pPr>
            <w:r>
              <w:rPr>
                <w:rFonts w:ascii="Times New Roman" w:hAnsi="Times New Roman" w:eastAsia="Times New Roman"/>
                <w:sz w:val="20"/>
              </w:rPr>
              <w:t xml:space="preserve">Tổng bình phương lợi suất log giờ trong ngày</w:t>
            </w:r>
          </w:p>
        </w:tc>
        <w:tc>
          <w:p>
            <w:pPr>
              <w:pStyle w:val="TableText"/>
            </w:pPr>
            <w:r>
              <w:rPr>
                <w:rFonts w:ascii="Times New Roman" w:hAnsi="Times New Roman" w:eastAsia="Times New Roman"/>
                <w:sz w:val="20"/>
              </w:rPr>
              <w:t xml:space="preserve">Binance, nến giờ</w:t>
            </w:r>
          </w:p>
        </w:tc>
      </w:tr>
      <w:tr>
        <w:trPr>
          <w:cantSplit/>
        </w:trPr>
        <w:tc>
          <w:p>
            <w:pPr>
              <w:pStyle w:val="TableText"/>
            </w:pPr>
            <w:r>
              <w:rPr>
                <w:rFonts w:ascii="Times New Roman" w:hAnsi="Times New Roman" w:eastAsia="Times New Roman"/>
                <w:sz w:val="20"/>
              </w:rPr>
              <w:t xml:space="preserve">Phụ thuộc</w:t>
            </w:r>
          </w:p>
        </w:tc>
        <w:tc>
          <w:p>
            <w:pPr>
              <w:pStyle w:val="TableText"/>
            </w:pPr>
            <w:r>
              <w:rPr>
                <w:rFonts w:ascii="Times New Roman" w:hAnsi="Times New Roman" w:eastAsia="Times New Roman"/>
                <w:sz w:val="20"/>
              </w:rPr>
              <w:t xml:space="preserve">Khối lượng</w:t>
            </w:r>
          </w:p>
        </w:tc>
        <w:tc>
          <w:p>
            <w:pPr>
              <w:pStyle w:val="TableText"/>
            </w:pPr>
            <w:r>
              <w:rPr>
                <w:rFonts w:ascii="Times New Roman" w:hAnsi="Times New Roman" w:eastAsia="Times New Roman"/>
                <w:sz w:val="20"/>
              </w:rPr>
              <w:t xml:space="preserve">logVᵢ,ₜ</w:t>
            </w:r>
          </w:p>
        </w:tc>
        <w:tc>
          <w:p>
            <w:pPr>
              <w:pStyle w:val="TableText"/>
            </w:pPr>
            <w:r>
              <w:rPr>
                <w:rFonts w:ascii="Times New Roman" w:hAnsi="Times New Roman" w:eastAsia="Times New Roman"/>
                <w:sz w:val="20"/>
              </w:rPr>
              <w:t xml:space="preserve">log(1 + khối lượng USD)</w:t>
            </w:r>
          </w:p>
        </w:tc>
        <w:tc>
          <w:p>
            <w:pPr>
              <w:pStyle w:val="TableText"/>
            </w:pPr>
            <w:r>
              <w:rPr>
                <w:rFonts w:ascii="Times New Roman" w:hAnsi="Times New Roman" w:eastAsia="Times New Roman"/>
                <w:sz w:val="20"/>
              </w:rPr>
              <w:t xml:space="preserve">Binance</w:t>
            </w:r>
          </w:p>
        </w:tc>
      </w:tr>
      <w:tr>
        <w:trPr>
          <w:cantSplit/>
        </w:trPr>
        <w:tc>
          <w:p>
            <w:pPr>
              <w:pStyle w:val="TableText"/>
            </w:pPr>
            <w:r>
              <w:rPr>
                <w:rFonts w:ascii="Times New Roman" w:hAnsi="Times New Roman" w:eastAsia="Times New Roman"/>
                <w:sz w:val="20"/>
              </w:rPr>
              <w:t xml:space="preserve">Giải thích</w:t>
            </w:r>
          </w:p>
        </w:tc>
        <w:tc>
          <w:p>
            <w:pPr>
              <w:pStyle w:val="TableText"/>
            </w:pPr>
            <w:r>
              <w:rPr>
                <w:rFonts w:ascii="Times New Roman" w:hAnsi="Times New Roman" w:eastAsia="Times New Roman"/>
                <w:sz w:val="20"/>
              </w:rPr>
              <w:t xml:space="preserve">Cảm xúc ngày</w:t>
            </w:r>
          </w:p>
        </w:tc>
        <w:tc>
          <w:p>
            <w:pPr>
              <w:pStyle w:val="TableText"/>
            </w:pPr>
            <w:r>
              <w:rPr>
                <w:rFonts w:ascii="Times New Roman" w:hAnsi="Times New Roman" w:eastAsia="Times New Roman"/>
                <w:sz w:val="20"/>
              </w:rPr>
              <w:t xml:space="preserve">Sᵢ,ₜ</w:t>
            </w:r>
          </w:p>
        </w:tc>
        <w:tc>
          <w:p>
            <w:pPr>
              <w:pStyle w:val="TableText"/>
            </w:pPr>
            <w:r>
              <w:rPr>
                <w:rFonts w:ascii="Times New Roman" w:hAnsi="Times New Roman" w:eastAsia="Times New Roman"/>
                <w:sz w:val="20"/>
              </w:rPr>
              <w:t xml:space="preserve">Trung bình điểm FinBERT hoặc từ điển của tin canonical</w:t>
            </w:r>
          </w:p>
        </w:tc>
        <w:tc>
          <w:p>
            <w:pPr>
              <w:pStyle w:val="TableText"/>
            </w:pPr>
            <w:r>
              <w:rPr>
                <w:rFonts w:ascii="Times New Roman" w:hAnsi="Times New Roman" w:eastAsia="Times New Roman"/>
                <w:sz w:val="20"/>
              </w:rPr>
              <w:t xml:space="preserve">GDELT GKG; mô hình văn bản</w:t>
            </w:r>
          </w:p>
        </w:tc>
      </w:tr>
      <w:tr>
        <w:trPr>
          <w:cantSplit/>
        </w:trPr>
        <w:tc>
          <w:p>
            <w:pPr>
              <w:pStyle w:val="TableText"/>
            </w:pPr>
            <w:r>
              <w:rPr>
                <w:rFonts w:ascii="Times New Roman" w:hAnsi="Times New Roman" w:eastAsia="Times New Roman"/>
                <w:sz w:val="20"/>
              </w:rPr>
              <w:t xml:space="preserve">Giải thích</w:t>
            </w:r>
          </w:p>
        </w:tc>
        <w:tc>
          <w:p>
            <w:pPr>
              <w:pStyle w:val="TableText"/>
            </w:pPr>
            <w:r>
              <w:rPr>
                <w:rFonts w:ascii="Times New Roman" w:hAnsi="Times New Roman" w:eastAsia="Times New Roman"/>
                <w:sz w:val="20"/>
              </w:rPr>
              <w:t xml:space="preserve">Tin xấu, tin tốt</w:t>
            </w:r>
          </w:p>
        </w:tc>
        <w:tc>
          <w:p>
            <w:pPr>
              <w:pStyle w:val="TableText"/>
            </w:pPr>
            <w:r>
              <w:rPr>
                <w:rFonts w:ascii="Times New Roman" w:hAnsi="Times New Roman" w:eastAsia="Times New Roman"/>
                <w:sz w:val="20"/>
              </w:rPr>
              <w:t xml:space="preserve">NegS; PosS</w:t>
            </w:r>
          </w:p>
        </w:tc>
        <w:tc>
          <w:p>
            <w:pPr>
              <w:pStyle w:val="TableText"/>
            </w:pPr>
            <w:r>
              <w:rPr>
                <w:rFonts w:ascii="Times New Roman" w:hAnsi="Times New Roman" w:eastAsia="Times New Roman"/>
                <w:sz w:val="20"/>
              </w:rPr>
              <w:t xml:space="preserve">Trung bình phần âm và phần dương của điểm tin</w:t>
            </w:r>
          </w:p>
        </w:tc>
        <w:tc>
          <w:p>
            <w:pPr>
              <w:pStyle w:val="TableText"/>
            </w:pPr>
            <w:r>
              <w:rPr>
                <w:rFonts w:ascii="Times New Roman" w:hAnsi="Times New Roman" w:eastAsia="Times New Roman"/>
                <w:sz w:val="20"/>
              </w:rPr>
              <w:t xml:space="preserve">GDELT GKG; FinBERT</w:t>
            </w:r>
          </w:p>
        </w:tc>
      </w:tr>
      <w:tr>
        <w:trPr>
          <w:cantSplit/>
        </w:trPr>
        <w:tc>
          <w:p>
            <w:pPr>
              <w:pStyle w:val="TableText"/>
            </w:pPr>
            <w:r>
              <w:rPr>
                <w:rFonts w:ascii="Times New Roman" w:hAnsi="Times New Roman" w:eastAsia="Times New Roman"/>
                <w:sz w:val="20"/>
              </w:rPr>
              <w:t xml:space="preserve">Giải thích</w:t>
            </w:r>
          </w:p>
        </w:tc>
        <w:tc>
          <w:p>
            <w:pPr>
              <w:pStyle w:val="TableText"/>
            </w:pPr>
            <w:r>
              <w:rPr>
                <w:rFonts w:ascii="Times New Roman" w:hAnsi="Times New Roman" w:eastAsia="Times New Roman"/>
                <w:sz w:val="20"/>
              </w:rPr>
              <w:t xml:space="preserve">Chú ý narrative</w:t>
            </w:r>
          </w:p>
        </w:tc>
        <w:tc>
          <w:p>
            <w:pPr>
              <w:pStyle w:val="TableText"/>
            </w:pPr>
            <w:r>
              <w:rPr>
                <w:rFonts w:ascii="Times New Roman" w:hAnsi="Times New Roman" w:eastAsia="Times New Roman"/>
                <w:sz w:val="20"/>
              </w:rPr>
              <w:t xml:space="preserve">Aₖ,ᵢ,ₜ</w:t>
            </w:r>
          </w:p>
        </w:tc>
        <w:tc>
          <w:p>
            <w:pPr>
              <w:pStyle w:val="TableText"/>
            </w:pPr>
            <w:r>
              <w:rPr>
                <w:rFonts w:ascii="Times New Roman" w:hAnsi="Times New Roman" w:eastAsia="Times New Roman"/>
                <w:sz w:val="20"/>
              </w:rPr>
              <w:t xml:space="preserve">Số tin narrative k / số tin ngày t; bản mềm dùng xác suất</w:t>
            </w:r>
          </w:p>
        </w:tc>
        <w:tc>
          <w:p>
            <w:pPr>
              <w:pStyle w:val="TableText"/>
            </w:pPr>
            <w:r>
              <w:rPr>
                <w:rFonts w:ascii="Times New Roman" w:hAnsi="Times New Roman" w:eastAsia="Times New Roman"/>
                <w:sz w:val="20"/>
              </w:rPr>
              <w:t xml:space="preserve">GDELT GKG; zero-shot</w:t>
            </w:r>
          </w:p>
        </w:tc>
      </w:tr>
      <w:tr>
        <w:trPr>
          <w:cantSplit/>
        </w:trPr>
        <w:tc>
          <w:p>
            <w:pPr>
              <w:pStyle w:val="TableText"/>
            </w:pPr>
            <w:r>
              <w:rPr>
                <w:rFonts w:ascii="Times New Roman" w:hAnsi="Times New Roman" w:eastAsia="Times New Roman"/>
                <w:sz w:val="20"/>
              </w:rPr>
              <w:t xml:space="preserve">Kiểm soát</w:t>
            </w:r>
          </w:p>
        </w:tc>
        <w:tc>
          <w:p>
            <w:pPr>
              <w:pStyle w:val="TableText"/>
            </w:pPr>
            <w:r>
              <w:rPr>
                <w:rFonts w:ascii="Times New Roman" w:hAnsi="Times New Roman" w:eastAsia="Times New Roman"/>
                <w:sz w:val="20"/>
              </w:rPr>
              <w:t xml:space="preserve">Số tin thô</w:t>
            </w:r>
          </w:p>
        </w:tc>
        <w:tc>
          <w:p>
            <w:pPr>
              <w:pStyle w:val="TableText"/>
            </w:pPr>
            <w:r>
              <w:rPr>
                <w:rFonts w:ascii="Times New Roman" w:hAnsi="Times New Roman" w:eastAsia="Times New Roman"/>
                <w:sz w:val="20"/>
              </w:rPr>
              <w:t xml:space="preserve">log(1+Nᵢ,ₜ)</w:t>
            </w:r>
          </w:p>
        </w:tc>
        <w:tc>
          <w:p>
            <w:pPr>
              <w:pStyle w:val="TableText"/>
            </w:pPr>
            <w:r>
              <w:rPr>
                <w:rFonts w:ascii="Times New Roman" w:hAnsi="Times New Roman" w:eastAsia="Times New Roman"/>
                <w:sz w:val="20"/>
              </w:rPr>
              <w:t xml:space="preserve">Log của 1 cộng số tin canonical</w:t>
            </w:r>
          </w:p>
        </w:tc>
        <w:tc>
          <w:p>
            <w:pPr>
              <w:pStyle w:val="TableText"/>
            </w:pPr>
            <w:r>
              <w:rPr>
                <w:rFonts w:ascii="Times New Roman" w:hAnsi="Times New Roman" w:eastAsia="Times New Roman"/>
                <w:sz w:val="20"/>
              </w:rPr>
              <w:t xml:space="preserve">GDELT GKG</w:t>
            </w:r>
          </w:p>
        </w:tc>
      </w:tr>
      <w:tr>
        <w:trPr>
          <w:cantSplit/>
        </w:trPr>
        <w:tc>
          <w:p>
            <w:pPr>
              <w:pStyle w:val="TableText"/>
            </w:pPr>
            <w:r>
              <w:rPr>
                <w:rFonts w:ascii="Times New Roman" w:hAnsi="Times New Roman" w:eastAsia="Times New Roman"/>
                <w:sz w:val="20"/>
              </w:rPr>
              <w:t xml:space="preserve">Kiểm soát</w:t>
            </w:r>
          </w:p>
        </w:tc>
        <w:tc>
          <w:p>
            <w:pPr>
              <w:pStyle w:val="TableText"/>
            </w:pPr>
            <w:r>
              <w:rPr>
                <w:rFonts w:ascii="Times New Roman" w:hAnsi="Times New Roman" w:eastAsia="Times New Roman"/>
                <w:sz w:val="20"/>
              </w:rPr>
              <w:t xml:space="preserve">Thị trường trễ</w:t>
            </w:r>
          </w:p>
        </w:tc>
        <w:tc>
          <w:p>
            <w:pPr>
              <w:pStyle w:val="TableText"/>
            </w:pPr>
            <w:r>
              <w:rPr>
                <w:rFonts w:ascii="Times New Roman" w:hAnsi="Times New Roman" w:eastAsia="Times New Roman"/>
                <w:sz w:val="20"/>
              </w:rPr>
              <w:t xml:space="preserve">Xᵢ,ₜ</w:t>
            </w:r>
          </w:p>
        </w:tc>
        <w:tc>
          <w:p>
            <w:pPr>
              <w:pStyle w:val="TableText"/>
            </w:pPr>
            <w:r>
              <w:rPr>
                <w:rFonts w:ascii="Times New Roman" w:hAnsi="Times New Roman" w:eastAsia="Times New Roman"/>
                <w:sz w:val="20"/>
              </w:rPr>
              <w:t xml:space="preserve">Lợi suất trễ, momentum, RV và khối lượng</w:t>
            </w:r>
          </w:p>
        </w:tc>
        <w:tc>
          <w:p>
            <w:pPr>
              <w:pStyle w:val="TableText"/>
            </w:pPr>
            <w:r>
              <w:rPr>
                <w:rFonts w:ascii="Times New Roman" w:hAnsi="Times New Roman" w:eastAsia="Times New Roman"/>
                <w:sz w:val="20"/>
              </w:rPr>
              <w:t xml:space="preserve">Binance</w:t>
            </w:r>
          </w:p>
        </w:tc>
      </w:tr>
      <w:tr>
        <w:trPr>
          <w:cantSplit/>
        </w:trPr>
        <w:tc>
          <w:p>
            <w:pPr>
              <w:pStyle w:val="TableText"/>
            </w:pPr>
            <w:r>
              <w:rPr>
                <w:rFonts w:ascii="Times New Roman" w:hAnsi="Times New Roman" w:eastAsia="Times New Roman"/>
                <w:sz w:val="20"/>
              </w:rPr>
              <w:t xml:space="preserve">Kiểm tra độ vững</w:t>
            </w:r>
          </w:p>
        </w:tc>
        <w:tc>
          <w:p>
            <w:pPr>
              <w:pStyle w:val="TableText"/>
            </w:pPr>
            <w:r>
              <w:rPr>
                <w:rFonts w:ascii="Times New Roman" w:hAnsi="Times New Roman" w:eastAsia="Times New Roman"/>
                <w:sz w:val="20"/>
              </w:rPr>
              <w:t xml:space="preserve">Bất đồng; UCRY</w:t>
            </w:r>
          </w:p>
        </w:tc>
        <w:tc>
          <w:p>
            <w:pPr>
              <w:pStyle w:val="TableText"/>
            </w:pPr>
            <w:r>
              <w:rPr>
                <w:rFonts w:ascii="Times New Roman" w:hAnsi="Times New Roman" w:eastAsia="Times New Roman"/>
                <w:sz w:val="20"/>
              </w:rPr>
              <w:t xml:space="preserve">Dᵢ,ₜ; UCRYₜ</w:t>
            </w:r>
          </w:p>
        </w:tc>
        <w:tc>
          <w:p>
            <w:pPr>
              <w:pStyle w:val="TableText"/>
            </w:pPr>
            <w:r>
              <w:rPr>
                <w:rFonts w:ascii="Times New Roman" w:hAnsi="Times New Roman" w:eastAsia="Times New Roman"/>
                <w:sz w:val="20"/>
              </w:rPr>
              <w:t xml:space="preserve">Độ lệch chuẩn cảm xúc; chỉ số bất định tuần đã công bố</w:t>
            </w:r>
          </w:p>
        </w:tc>
        <w:tc>
          <w:p>
            <w:pPr>
              <w:pStyle w:val="TableText"/>
            </w:pPr>
            <w:r>
              <w:rPr>
                <w:rFonts w:ascii="Times New Roman" w:hAnsi="Times New Roman" w:eastAsia="Times New Roman"/>
                <w:sz w:val="20"/>
              </w:rPr>
              <w:t xml:space="preserve">GDELT GKG; Lucey và cộng sự (2022)</w:t>
            </w:r>
          </w:p>
        </w:tc>
      </w:tr>
      <w:tr>
        <w:trPr>
          <w:cantSplit/>
        </w:trPr>
        <w:tc>
          <w:p>
            <w:pPr>
              <w:pStyle w:val="TableText"/>
            </w:pPr>
            <w:r>
              <w:rPr>
                <w:rFonts w:ascii="Times New Roman" w:hAnsi="Times New Roman" w:eastAsia="Times New Roman"/>
                <w:sz w:val="20"/>
              </w:rPr>
              <w:t xml:space="preserve">Sự kiện</w:t>
            </w:r>
          </w:p>
        </w:tc>
        <w:tc>
          <w:p>
            <w:pPr>
              <w:pStyle w:val="TableText"/>
            </w:pPr>
            <w:r>
              <w:rPr>
                <w:rFonts w:ascii="Times New Roman" w:hAnsi="Times New Roman" w:eastAsia="Times New Roman"/>
                <w:sz w:val="20"/>
              </w:rPr>
              <w:t xml:space="preserve">Lợi suất bất thường</w:t>
            </w:r>
          </w:p>
        </w:tc>
        <w:tc>
          <w:p>
            <w:pPr>
              <w:pStyle w:val="TableText"/>
            </w:pPr>
            <w:r>
              <w:rPr>
                <w:rFonts w:ascii="Times New Roman" w:hAnsi="Times New Roman" w:eastAsia="Times New Roman"/>
                <w:sz w:val="20"/>
              </w:rPr>
              <w:t xml:space="preserve">CARᵈ[a,b]</w:t>
            </w:r>
          </w:p>
        </w:tc>
        <w:tc>
          <w:p>
            <w:pPr>
              <w:pStyle w:val="TableText"/>
            </w:pPr>
            <w:r>
              <w:rPr>
                <w:rFonts w:ascii="Times New Roman" w:hAnsi="Times New Roman" w:eastAsia="Times New Roman"/>
                <w:sz w:val="20"/>
              </w:rPr>
              <w:t xml:space="preserve">Tổng chênh lợi suất giờ so với mô hình ở [−168,−25] giờ</w:t>
            </w:r>
          </w:p>
        </w:tc>
        <w:tc>
          <w:p>
            <w:pPr>
              <w:pStyle w:val="TableText"/>
            </w:pPr>
            <w:r>
              <w:rPr>
                <w:rFonts w:ascii="Times New Roman" w:hAnsi="Times New Roman" w:eastAsia="Times New Roman"/>
                <w:sz w:val="20"/>
              </w:rPr>
              <w:t xml:space="preserve">Binance; giờ tin công bố</w:t>
            </w:r>
          </w:p>
        </w:tc>
      </w:tr>
    </w:tbl>
    <w:p>
      <w:pPr>
        <w:pStyle w:val="TableNote"/>
      </w:pPr>
      <w:r>
        <w:rPr>
          <w:rFonts w:ascii="Times New Roman" w:hAnsi="Times New Roman" w:eastAsia="Times New Roman"/>
          <w:sz w:val="20"/>
        </w:rPr>
        <w:t xml:space="preserve">Ghi chú. Biến văn bản ngày t chỉ dùng tin ra công chúng trước 00:00 UTC ngày t+1. Các phép phân tích có UCRY chạy trên mẫu con có dữ liệu; </w:t>
      </w:r>
      <w:r>
        <w:rPr>
          <w:rFonts w:ascii="Times New Roman" w:hAnsi="Times New Roman" w:eastAsia="Times New Roman"/>
          <w:sz w:val="20"/>
          <w:b/>
        </w:rPr>
        <w:t xml:space="preserve">*, </w:t>
      </w:r>
      <w:r>
        <w:rPr>
          <w:rFonts w:ascii="Times New Roman" w:hAnsi="Times New Roman" w:eastAsia="Times New Roman"/>
          <w:sz w:val="20"/>
        </w:rPr>
        <w:t xml:space="preserve">, * biểu thị mức ý nghĩa thống kê lần lượt là 1%, 5% và 10%. Tính toán của nhóm tác giả.</w:t>
      </w:r>
    </w:p>
    <w:p>
      <w:pPr>
        <w:pStyle w:val="Caption"/>
        <w:keepNext/>
      </w:pPr>
      <w:r>
        <w:rPr>
          <w:rFonts w:ascii="Times New Roman" w:hAnsi="Times New Roman" w:eastAsia="Times New Roman"/>
          <w:sz w:val="26"/>
        </w:rPr>
        <w:t xml:space="preserve">Bảng 2</w:t>
      </w:r>
    </w:p>
    <w:p>
      <w:pPr>
        <w:pStyle w:val="Normal"/>
      </w:pPr>
      <w:r>
        <w:rPr>
          <w:rFonts w:ascii="Times New Roman" w:hAnsi="Times New Roman" w:eastAsia="Times New Roman"/>
          <w:sz w:val="26"/>
        </w:rPr>
        <w:t xml:space="preserve">Thống Kê Mô Tả Mẫu Sự Kiện Thật</w:t>
      </w:r>
    </w:p>
    <w:tbl>
      <w:tblPr>
        <w:tblW w:w="9000" w:type="dxa"/>
        <w:tblLayout w:type="autofit"/>
        <w:tblBorders>
          <w:top w:val="single" w:sz="8" w:color="000000"/>
          <w:bottom w:val="single" w:sz="8" w:color="000000"/>
          <w:left w:val="nil"/>
          <w:right w:val="nil"/>
          <w:insideH w:val="nil"/>
          <w:insideV w:val="nil"/>
        </w:tblBorders>
      </w:tblPr>
      <w:tblGrid>
        <w:gridCol w:w="1500"/>
        <w:gridCol w:w="1500"/>
        <w:gridCol w:w="1500"/>
        <w:gridCol w:w="1500"/>
        <w:gridCol w:w="1500"/>
        <w:gridCol w:w="1500"/>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Biến</w:t>
            </w:r>
          </w:p>
        </w:tc>
        <w:tc>
          <w:tcPr>
            <w:tcBorders>
              <w:bottom w:val="single" w:sz="6" w:color="000000"/>
            </w:tcBorders>
          </w:tcPr>
          <w:p>
            <w:pPr>
              <w:pStyle w:val="TableText"/>
            </w:pPr>
            <w:r>
              <w:rPr>
                <w:rFonts w:ascii="Times New Roman" w:hAnsi="Times New Roman" w:eastAsia="Times New Roman"/>
                <w:sz w:val="20"/>
                <w:b/>
              </w:rPr>
              <w:t xml:space="preserve">Số quan sát</w:t>
            </w:r>
          </w:p>
        </w:tc>
        <w:tc>
          <w:tcPr>
            <w:tcBorders>
              <w:bottom w:val="single" w:sz="6" w:color="000000"/>
            </w:tcBorders>
          </w:tcPr>
          <w:p>
            <w:pPr>
              <w:pStyle w:val="TableText"/>
            </w:pPr>
            <w:r>
              <w:rPr>
                <w:rFonts w:ascii="Times New Roman" w:hAnsi="Times New Roman" w:eastAsia="Times New Roman"/>
                <w:sz w:val="20"/>
                <w:b/>
              </w:rPr>
              <w:t xml:space="preserve">Trung bình</w:t>
            </w:r>
          </w:p>
        </w:tc>
        <w:tc>
          <w:tcPr>
            <w:tcBorders>
              <w:bottom w:val="single" w:sz="6" w:color="000000"/>
            </w:tcBorders>
          </w:tcPr>
          <w:p>
            <w:pPr>
              <w:pStyle w:val="TableText"/>
            </w:pPr>
            <w:r>
              <w:rPr>
                <w:rFonts w:ascii="Times New Roman" w:hAnsi="Times New Roman" w:eastAsia="Times New Roman"/>
                <w:sz w:val="20"/>
                <w:b/>
              </w:rPr>
              <w:t xml:space="preserve">Độ lệch chuẩn</w:t>
            </w:r>
          </w:p>
        </w:tc>
        <w:tc>
          <w:tcPr>
            <w:tcBorders>
              <w:bottom w:val="single" w:sz="6" w:color="000000"/>
            </w:tcBorders>
          </w:tcPr>
          <w:p>
            <w:pPr>
              <w:pStyle w:val="TableText"/>
            </w:pPr>
            <w:r>
              <w:rPr>
                <w:rFonts w:ascii="Times New Roman" w:hAnsi="Times New Roman" w:eastAsia="Times New Roman"/>
                <w:sz w:val="20"/>
                <w:b/>
              </w:rPr>
              <w:t xml:space="preserve">Nhỏ nhất</w:t>
            </w:r>
          </w:p>
        </w:tc>
        <w:tc>
          <w:tcPr>
            <w:tcBorders>
              <w:bottom w:val="single" w:sz="6" w:color="000000"/>
            </w:tcBorders>
          </w:tcPr>
          <w:p>
            <w:pPr>
              <w:pStyle w:val="TableText"/>
            </w:pPr>
            <w:r>
              <w:rPr>
                <w:rFonts w:ascii="Times New Roman" w:hAnsi="Times New Roman" w:eastAsia="Times New Roman"/>
                <w:sz w:val="20"/>
                <w:b/>
              </w:rPr>
              <w:t xml:space="preserve">Lớn nhất</w:t>
            </w:r>
          </w:p>
        </w:tc>
      </w:tr>
      <w:tr>
        <w:trPr>
          <w:cantSplit/>
        </w:trPr>
        <w:tc>
          <w:p>
            <w:pPr>
              <w:pStyle w:val="TableText"/>
            </w:pPr>
            <w:r>
              <w:rPr>
                <w:rFonts w:ascii="Times New Roman" w:hAnsi="Times New Roman" w:eastAsia="Times New Roman"/>
                <w:sz w:val="20"/>
              </w:rPr>
              <w:t xml:space="preserve">Điểm FinBERT</w:t>
            </w:r>
          </w:p>
        </w:tc>
        <w:tc>
          <w:p>
            <w:pPr>
              <w:pStyle w:val="TableText"/>
            </w:pPr>
            <w:r>
              <w:rPr>
                <w:rFonts w:ascii="Times New Roman" w:hAnsi="Times New Roman" w:eastAsia="Times New Roman"/>
                <w:sz w:val="20"/>
              </w:rPr>
              <w:t xml:space="preserve">36.909</w:t>
            </w:r>
          </w:p>
        </w:tc>
        <w:tc>
          <w:p>
            <w:pPr>
              <w:pStyle w:val="TableText"/>
            </w:pPr>
            <w:r>
              <w:rPr>
                <w:rFonts w:ascii="Times New Roman" w:hAnsi="Times New Roman" w:eastAsia="Times New Roman"/>
                <w:sz w:val="20"/>
              </w:rPr>
              <w:t xml:space="preserve">0,0451</w:t>
            </w:r>
          </w:p>
        </w:tc>
        <w:tc>
          <w:p>
            <w:pPr>
              <w:pStyle w:val="TableText"/>
            </w:pPr>
            <w:r>
              <w:rPr>
                <w:rFonts w:ascii="Times New Roman" w:hAnsi="Times New Roman" w:eastAsia="Times New Roman"/>
                <w:sz w:val="20"/>
              </w:rPr>
              <w:t xml:space="preserve">0,5166</w:t>
            </w:r>
          </w:p>
        </w:tc>
        <w:tc>
          <w:p>
            <w:pPr>
              <w:pStyle w:val="TableText"/>
            </w:pPr>
            <w:r>
              <w:rPr>
                <w:rFonts w:ascii="Times New Roman" w:hAnsi="Times New Roman" w:eastAsia="Times New Roman"/>
                <w:sz w:val="20"/>
              </w:rPr>
              <w:t xml:space="preserve">−0,9684</w:t>
            </w:r>
          </w:p>
        </w:tc>
        <w:tc>
          <w:p>
            <w:pPr>
              <w:pStyle w:val="TableText"/>
            </w:pPr>
            <w:r>
              <w:rPr>
                <w:rFonts w:ascii="Times New Roman" w:hAnsi="Times New Roman" w:eastAsia="Times New Roman"/>
                <w:sz w:val="20"/>
              </w:rPr>
              <w:t xml:space="preserve">0,9445</w:t>
            </w:r>
          </w:p>
        </w:tc>
      </w:tr>
      <w:tr>
        <w:trPr>
          <w:cantSplit/>
        </w:trPr>
        <w:tc>
          <w:p>
            <w:pPr>
              <w:pStyle w:val="TableText"/>
            </w:pPr>
            <w:r>
              <w:rPr>
                <w:rFonts w:ascii="Times New Roman" w:hAnsi="Times New Roman" w:eastAsia="Times New Roman"/>
                <w:sz w:val="20"/>
              </w:rPr>
              <w:t xml:space="preserve">Điểm LM</w:t>
            </w:r>
          </w:p>
        </w:tc>
        <w:tc>
          <w:p>
            <w:pPr>
              <w:pStyle w:val="TableText"/>
            </w:pPr>
            <w:r>
              <w:rPr>
                <w:rFonts w:ascii="Times New Roman" w:hAnsi="Times New Roman" w:eastAsia="Times New Roman"/>
                <w:sz w:val="20"/>
              </w:rPr>
              <w:t xml:space="preserve">39.003</w:t>
            </w:r>
          </w:p>
        </w:tc>
        <w:tc>
          <w:p>
            <w:pPr>
              <w:pStyle w:val="TableText"/>
            </w:pPr>
            <w:r>
              <w:rPr>
                <w:rFonts w:ascii="Times New Roman" w:hAnsi="Times New Roman" w:eastAsia="Times New Roman"/>
                <w:sz w:val="20"/>
              </w:rPr>
              <w:t xml:space="preserve">−0,1003</w:t>
            </w:r>
          </w:p>
        </w:tc>
        <w:tc>
          <w:p>
            <w:pPr>
              <w:pStyle w:val="TableText"/>
            </w:pPr>
            <w:r>
              <w:rPr>
                <w:rFonts w:ascii="Times New Roman" w:hAnsi="Times New Roman" w:eastAsia="Times New Roman"/>
                <w:sz w:val="20"/>
              </w:rPr>
              <w:t xml:space="preserve">0,5471</w:t>
            </w:r>
          </w:p>
        </w:tc>
        <w:tc>
          <w:p>
            <w:pPr>
              <w:pStyle w:val="TableText"/>
            </w:pPr>
            <w:r>
              <w:rPr>
                <w:rFonts w:ascii="Times New Roman" w:hAnsi="Times New Roman" w:eastAsia="Times New Roman"/>
                <w:sz w:val="20"/>
              </w:rPr>
              <w:t xml:space="preserve">−1,0000</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CAR [0,4] giờ (%)</w:t>
            </w:r>
          </w:p>
        </w:tc>
        <w:tc>
          <w:p>
            <w:pPr>
              <w:pStyle w:val="TableText"/>
            </w:pPr>
            <w:r>
              <w:rPr>
                <w:rFonts w:ascii="Times New Roman" w:hAnsi="Times New Roman" w:eastAsia="Times New Roman"/>
                <w:sz w:val="20"/>
              </w:rPr>
              <w:t xml:space="preserve">38.951</w:t>
            </w:r>
          </w:p>
        </w:tc>
        <w:tc>
          <w:p>
            <w:pPr>
              <w:pStyle w:val="TableText"/>
            </w:pPr>
            <w:r>
              <w:rPr>
                <w:rFonts w:ascii="Times New Roman" w:hAnsi="Times New Roman" w:eastAsia="Times New Roman"/>
                <w:sz w:val="20"/>
              </w:rPr>
              <w:t xml:space="preserve">−0,0102</w:t>
            </w:r>
          </w:p>
        </w:tc>
        <w:tc>
          <w:p>
            <w:pPr>
              <w:pStyle w:val="TableText"/>
            </w:pPr>
            <w:r>
              <w:rPr>
                <w:rFonts w:ascii="Times New Roman" w:hAnsi="Times New Roman" w:eastAsia="Times New Roman"/>
                <w:sz w:val="20"/>
              </w:rPr>
              <w:t xml:space="preserve">1,1803</w:t>
            </w:r>
          </w:p>
        </w:tc>
        <w:tc>
          <w:p>
            <w:pPr>
              <w:pStyle w:val="TableText"/>
            </w:pPr>
            <w:r>
              <w:rPr>
                <w:rFonts w:ascii="Times New Roman" w:hAnsi="Times New Roman" w:eastAsia="Times New Roman"/>
                <w:sz w:val="20"/>
              </w:rPr>
              <w:t xml:space="preserve">−11,2381</w:t>
            </w:r>
          </w:p>
        </w:tc>
        <w:tc>
          <w:p>
            <w:pPr>
              <w:pStyle w:val="TableText"/>
            </w:pPr>
            <w:r>
              <w:rPr>
                <w:rFonts w:ascii="Times New Roman" w:hAnsi="Times New Roman" w:eastAsia="Times New Roman"/>
                <w:sz w:val="20"/>
              </w:rPr>
              <w:t xml:space="preserve">44,1157</w:t>
            </w:r>
          </w:p>
        </w:tc>
      </w:tr>
      <w:tr>
        <w:trPr>
          <w:cantSplit/>
        </w:trPr>
        <w:tc>
          <w:p>
            <w:pPr>
              <w:pStyle w:val="TableText"/>
            </w:pPr>
            <w:r>
              <w:rPr>
                <w:rFonts w:ascii="Times New Roman" w:hAnsi="Times New Roman" w:eastAsia="Times New Roman"/>
                <w:sz w:val="20"/>
              </w:rPr>
              <w:t xml:space="preserve">Độ lớn lợi suất bất thường [0,4] giờ (%)</w:t>
            </w:r>
          </w:p>
        </w:tc>
        <w:tc>
          <w:p>
            <w:pPr>
              <w:pStyle w:val="TableText"/>
            </w:pPr>
            <w:r>
              <w:rPr>
                <w:rFonts w:ascii="Times New Roman" w:hAnsi="Times New Roman" w:eastAsia="Times New Roman"/>
                <w:sz w:val="20"/>
              </w:rPr>
              <w:t xml:space="preserve">38.951</w:t>
            </w:r>
          </w:p>
        </w:tc>
        <w:tc>
          <w:p>
            <w:pPr>
              <w:pStyle w:val="TableText"/>
            </w:pPr>
            <w:r>
              <w:rPr>
                <w:rFonts w:ascii="Times New Roman" w:hAnsi="Times New Roman" w:eastAsia="Times New Roman"/>
                <w:sz w:val="20"/>
              </w:rPr>
              <w:t xml:space="preserve">0,0877</w:t>
            </w:r>
          </w:p>
        </w:tc>
        <w:tc>
          <w:p>
            <w:pPr>
              <w:pStyle w:val="TableText"/>
            </w:pPr>
            <w:r>
              <w:rPr>
                <w:rFonts w:ascii="Times New Roman" w:hAnsi="Times New Roman" w:eastAsia="Times New Roman"/>
                <w:sz w:val="20"/>
              </w:rPr>
              <w:t xml:space="preserve">1,3504</w:t>
            </w:r>
          </w:p>
        </w:tc>
        <w:tc>
          <w:p>
            <w:pPr>
              <w:pStyle w:val="TableText"/>
            </w:pPr>
            <w:r>
              <w:rPr>
                <w:rFonts w:ascii="Times New Roman" w:hAnsi="Times New Roman" w:eastAsia="Times New Roman"/>
                <w:sz w:val="20"/>
              </w:rPr>
              <w:t xml:space="preserve">−7,3263</w:t>
            </w:r>
          </w:p>
        </w:tc>
        <w:tc>
          <w:p>
            <w:pPr>
              <w:pStyle w:val="TableText"/>
            </w:pPr>
            <w:r>
              <w:rPr>
                <w:rFonts w:ascii="Times New Roman" w:hAnsi="Times New Roman" w:eastAsia="Times New Roman"/>
                <w:sz w:val="20"/>
              </w:rPr>
              <w:t xml:space="preserve">44,3118</w:t>
            </w:r>
          </w:p>
        </w:tc>
      </w:tr>
      <w:tr>
        <w:trPr>
          <w:cantSplit/>
        </w:trPr>
        <w:tc>
          <w:p>
            <w:pPr>
              <w:pStyle w:val="TableText"/>
            </w:pPr>
            <w:r>
              <w:rPr>
                <w:rFonts w:ascii="Times New Roman" w:hAnsi="Times New Roman" w:eastAsia="Times New Roman"/>
                <w:sz w:val="20"/>
              </w:rPr>
              <w:t xml:space="preserve">Log khối lượng bất thường [0,4] giờ</w:t>
            </w:r>
          </w:p>
        </w:tc>
        <w:tc>
          <w:p>
            <w:pPr>
              <w:pStyle w:val="TableText"/>
            </w:pPr>
            <w:r>
              <w:rPr>
                <w:rFonts w:ascii="Times New Roman" w:hAnsi="Times New Roman" w:eastAsia="Times New Roman"/>
                <w:sz w:val="20"/>
              </w:rPr>
              <w:t xml:space="preserve">38.951</w:t>
            </w:r>
          </w:p>
        </w:tc>
        <w:tc>
          <w:p>
            <w:pPr>
              <w:pStyle w:val="TableText"/>
            </w:pPr>
            <w:r>
              <w:rPr>
                <w:rFonts w:ascii="Times New Roman" w:hAnsi="Times New Roman" w:eastAsia="Times New Roman"/>
                <w:sz w:val="20"/>
              </w:rPr>
              <w:t xml:space="preserve">0,1106</w:t>
            </w:r>
          </w:p>
        </w:tc>
        <w:tc>
          <w:p>
            <w:pPr>
              <w:pStyle w:val="TableText"/>
            </w:pPr>
            <w:r>
              <w:rPr>
                <w:rFonts w:ascii="Times New Roman" w:hAnsi="Times New Roman" w:eastAsia="Times New Roman"/>
                <w:sz w:val="20"/>
              </w:rPr>
              <w:t xml:space="preserve">0,6461</w:t>
            </w:r>
          </w:p>
        </w:tc>
        <w:tc>
          <w:p>
            <w:pPr>
              <w:pStyle w:val="TableText"/>
            </w:pPr>
            <w:r>
              <w:rPr>
                <w:rFonts w:ascii="Times New Roman" w:hAnsi="Times New Roman" w:eastAsia="Times New Roman"/>
                <w:sz w:val="20"/>
              </w:rPr>
              <w:t xml:space="preserve">−2,3358</w:t>
            </w:r>
          </w:p>
        </w:tc>
        <w:tc>
          <w:p>
            <w:pPr>
              <w:pStyle w:val="TableText"/>
            </w:pPr>
            <w:r>
              <w:rPr>
                <w:rFonts w:ascii="Times New Roman" w:hAnsi="Times New Roman" w:eastAsia="Times New Roman"/>
                <w:sz w:val="20"/>
              </w:rPr>
              <w:t xml:space="preserve">4,0676</w:t>
            </w:r>
          </w:p>
        </w:tc>
      </w:tr>
    </w:tbl>
    <w:p>
      <w:pPr>
        <w:pStyle w:val="TableNote"/>
      </w:pPr>
      <w:r>
        <w:rPr>
          <w:rFonts w:ascii="Times New Roman" w:hAnsi="Times New Roman" w:eastAsia="Times New Roman"/>
          <w:sz w:val="20"/>
        </w:rPr>
        <w:t xml:space="preserve">Ghi chú. Mỗi cặp tin–tài sản có trọng số như nhau; khác với trung bình cụm ngày ở phần kết quả. Tin SEC không tham gia nhánh FinBERT chính. </w:t>
      </w:r>
      <w:r>
        <w:rPr>
          <w:rFonts w:ascii="Times New Roman" w:hAnsi="Times New Roman" w:eastAsia="Times New Roman"/>
          <w:sz w:val="20"/>
          <w:b/>
        </w:rPr>
        <w:t xml:space="preserve">*, </w:t>
      </w:r>
      <w:r>
        <w:rPr>
          <w:rFonts w:ascii="Times New Roman" w:hAnsi="Times New Roman" w:eastAsia="Times New Roman"/>
          <w:sz w:val="20"/>
        </w:rPr>
        <w:t xml:space="preserve">, * biểu thị mức ý nghĩa thống kê lần lượt là 1%, 5% và 10%. Tính toán của nhóm tác giả.</w:t>
      </w:r>
    </w:p>
    <w:p>
      <w:pPr>
        <w:pStyle w:val="Heading1"/>
        <w:keepNext/>
      </w:pPr>
      <w:r>
        <w:rPr>
          <w:rFonts w:ascii="Times New Roman" w:hAnsi="Times New Roman" w:eastAsia="Times New Roman"/>
          <w:sz w:val="26"/>
        </w:rPr>
        <w:t xml:space="preserve">4. Kết quả nghiên cứu và thảo luận</w:t>
      </w:r>
    </w:p>
    <w:p>
      <w:pPr>
        <w:pStyle w:val="Normal"/>
      </w:pPr>
      <w:r>
        <w:rPr>
          <w:rFonts w:ascii="Times New Roman" w:hAnsi="Times New Roman" w:eastAsia="Times New Roman"/>
          <w:sz w:val="26"/>
        </w:rPr>
        <w:t xml:space="preserve">Trước khi diễn giải hệ số, nghiên cứu xem xét phạm vi dữ liệu thật đã có. Bảng 3 trình bày độ phủ văn bản và số ngày dùng được trong đặc tả chính. Đây là mẫu tin đang thu tiếp, không phải toàn bộ tin từng xuất hiện trên thị trường.</w:t>
      </w:r>
    </w:p>
    <w:p>
      <w:pPr>
        <w:pStyle w:val="Caption"/>
        <w:keepNext/>
      </w:pPr>
      <w:r>
        <w:rPr>
          <w:rFonts w:ascii="Times New Roman" w:hAnsi="Times New Roman" w:eastAsia="Times New Roman"/>
          <w:sz w:val="26"/>
        </w:rPr>
        <w:t xml:space="preserve">Bảng 3</w:t>
      </w:r>
    </w:p>
    <w:p>
      <w:pPr>
        <w:pStyle w:val="Normal"/>
      </w:pPr>
      <w:r>
        <w:rPr>
          <w:rFonts w:ascii="Times New Roman" w:hAnsi="Times New Roman" w:eastAsia="Times New Roman"/>
          <w:sz w:val="26"/>
        </w:rPr>
        <w:t xml:space="preserve">Độ Phủ Tin Và Số Ngày Hợp Lệ Theo Tài Sản</w:t>
      </w:r>
    </w:p>
    <w:tbl>
      <w:tblPr>
        <w:tblW w:w="9000" w:type="dxa"/>
        <w:tblLayout w:type="autofit"/>
        <w:tblBorders>
          <w:top w:val="single" w:sz="8" w:color="000000"/>
          <w:bottom w:val="single" w:sz="8" w:color="000000"/>
          <w:left w:val="nil"/>
          <w:right w:val="nil"/>
          <w:insideH w:val="nil"/>
          <w:insideV w:val="nil"/>
        </w:tblBorders>
      </w:tblPr>
      <w:tblGrid>
        <w:gridCol w:w="1125"/>
        <w:gridCol w:w="1125"/>
        <w:gridCol w:w="1125"/>
        <w:gridCol w:w="1125"/>
        <w:gridCol w:w="1125"/>
        <w:gridCol w:w="1125"/>
        <w:gridCol w:w="1125"/>
        <w:gridCol w:w="1125"/>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Tài sản</w:t>
            </w:r>
          </w:p>
        </w:tc>
        <w:tc>
          <w:tcPr>
            <w:tcBorders>
              <w:bottom w:val="single" w:sz="6" w:color="000000"/>
            </w:tcBorders>
          </w:tcPr>
          <w:p>
            <w:pPr>
              <w:pStyle w:val="TableText"/>
            </w:pPr>
            <w:r>
              <w:rPr>
                <w:rFonts w:ascii="Times New Roman" w:hAnsi="Times New Roman" w:eastAsia="Times New Roman"/>
                <w:sz w:val="20"/>
                <w:b/>
              </w:rPr>
              <w:t xml:space="preserve">Ngày lịch</w:t>
            </w:r>
          </w:p>
        </w:tc>
        <w:tc>
          <w:tcPr>
            <w:tcBorders>
              <w:bottom w:val="single" w:sz="6" w:color="000000"/>
            </w:tcBorders>
          </w:tcPr>
          <w:p>
            <w:pPr>
              <w:pStyle w:val="TableText"/>
            </w:pPr>
            <w:r>
              <w:rPr>
                <w:rFonts w:ascii="Times New Roman" w:hAnsi="Times New Roman" w:eastAsia="Times New Roman"/>
                <w:sz w:val="20"/>
                <w:b/>
              </w:rPr>
              <w:t xml:space="preserve">Ngày có tin</w:t>
            </w:r>
          </w:p>
        </w:tc>
        <w:tc>
          <w:tcPr>
            <w:tcBorders>
              <w:bottom w:val="single" w:sz="6" w:color="000000"/>
            </w:tcBorders>
          </w:tcPr>
          <w:p>
            <w:pPr>
              <w:pStyle w:val="TableText"/>
            </w:pPr>
            <w:r>
              <w:rPr>
                <w:rFonts w:ascii="Times New Roman" w:hAnsi="Times New Roman" w:eastAsia="Times New Roman"/>
                <w:sz w:val="20"/>
                <w:b/>
              </w:rPr>
              <w:t xml:space="preserve">Tỷ lệ có tin (%)</w:t>
            </w:r>
          </w:p>
        </w:tc>
        <w:tc>
          <w:tcPr>
            <w:tcBorders>
              <w:bottom w:val="single" w:sz="6" w:color="000000"/>
            </w:tcBorders>
          </w:tcPr>
          <w:p>
            <w:pPr>
              <w:pStyle w:val="TableText"/>
            </w:pPr>
            <w:r>
              <w:rPr>
                <w:rFonts w:ascii="Times New Roman" w:hAnsi="Times New Roman" w:eastAsia="Times New Roman"/>
                <w:sz w:val="20"/>
                <w:b/>
              </w:rPr>
              <w:t xml:space="preserve">Ngày mô hình</w:t>
            </w:r>
          </w:p>
        </w:tc>
        <w:tc>
          <w:tcPr>
            <w:tcBorders>
              <w:bottom w:val="single" w:sz="6" w:color="000000"/>
            </w:tcBorders>
          </w:tcPr>
          <w:p>
            <w:pPr>
              <w:pStyle w:val="TableText"/>
            </w:pPr>
            <w:r>
              <w:rPr>
                <w:rFonts w:ascii="Times New Roman" w:hAnsi="Times New Roman" w:eastAsia="Times New Roman"/>
                <w:sz w:val="20"/>
                <w:b/>
              </w:rPr>
              <w:t xml:space="preserve">Train</w:t>
            </w:r>
          </w:p>
        </w:tc>
        <w:tc>
          <w:tcPr>
            <w:tcBorders>
              <w:bottom w:val="single" w:sz="6" w:color="000000"/>
            </w:tcBorders>
          </w:tcPr>
          <w:p>
            <w:pPr>
              <w:pStyle w:val="TableText"/>
            </w:pPr>
            <w:r>
              <w:rPr>
                <w:rFonts w:ascii="Times New Roman" w:hAnsi="Times New Roman" w:eastAsia="Times New Roman"/>
                <w:sz w:val="20"/>
                <w:b/>
              </w:rPr>
              <w:t xml:space="preserve">Valid</w:t>
            </w:r>
          </w:p>
        </w:tc>
        <w:tc>
          <w:tcPr>
            <w:tcBorders>
              <w:bottom w:val="single" w:sz="6" w:color="000000"/>
            </w:tcBorders>
          </w:tcPr>
          <w:p>
            <w:pPr>
              <w:pStyle w:val="TableText"/>
            </w:pPr>
            <w:r>
              <w:rPr>
                <w:rFonts w:ascii="Times New Roman" w:hAnsi="Times New Roman" w:eastAsia="Times New Roman"/>
                <w:sz w:val="20"/>
                <w:b/>
              </w:rPr>
              <w:t xml:space="preserve">Test</w:t>
            </w:r>
          </w:p>
        </w:tc>
      </w:tr>
      <w:tr>
        <w:trPr>
          <w:cantSplit/>
        </w:trPr>
        <w:tc>
          <w:p>
            <w:pPr>
              <w:pStyle w:val="TableText"/>
            </w:pPr>
            <w:r>
              <w:rPr>
                <w:rFonts w:ascii="Times New Roman" w:hAnsi="Times New Roman" w:eastAsia="Times New Roman"/>
                <w:sz w:val="20"/>
              </w:rPr>
              <w:t xml:space="preserve">BTC</w:t>
            </w:r>
          </w:p>
        </w:tc>
        <w:tc>
          <w:p>
            <w:pPr>
              <w:pStyle w:val="TableText"/>
            </w:pPr>
            <w:r>
              <w:rPr>
                <w:rFonts w:ascii="Times New Roman" w:hAnsi="Times New Roman" w:eastAsia="Times New Roman"/>
                <w:sz w:val="20"/>
              </w:rPr>
              <w:t xml:space="preserve">1.369</w:t>
            </w:r>
          </w:p>
        </w:tc>
        <w:tc>
          <w:p>
            <w:pPr>
              <w:pStyle w:val="TableText"/>
            </w:pPr>
            <w:r>
              <w:rPr>
                <w:rFonts w:ascii="Times New Roman" w:hAnsi="Times New Roman" w:eastAsia="Times New Roman"/>
                <w:sz w:val="20"/>
              </w:rPr>
              <w:t xml:space="preserve">339</w:t>
            </w:r>
          </w:p>
        </w:tc>
        <w:tc>
          <w:p>
            <w:pPr>
              <w:pStyle w:val="TableText"/>
            </w:pPr>
            <w:r>
              <w:rPr>
                <w:rFonts w:ascii="Times New Roman" w:hAnsi="Times New Roman" w:eastAsia="Times New Roman"/>
                <w:sz w:val="20"/>
              </w:rPr>
              <w:t xml:space="preserve">24,76</w:t>
            </w:r>
          </w:p>
        </w:tc>
        <w:tc>
          <w:p>
            <w:pPr>
              <w:pStyle w:val="TableText"/>
            </w:pPr>
            <w:r>
              <w:rPr>
                <w:rFonts w:ascii="Times New Roman" w:hAnsi="Times New Roman" w:eastAsia="Times New Roman"/>
                <w:sz w:val="20"/>
              </w:rPr>
              <w:t xml:space="preserve">335</w:t>
            </w:r>
          </w:p>
        </w:tc>
        <w:tc>
          <w:p>
            <w:pPr>
              <w:pStyle w:val="TableText"/>
            </w:pPr>
            <w:r>
              <w:rPr>
                <w:rFonts w:ascii="Times New Roman" w:hAnsi="Times New Roman" w:eastAsia="Times New Roman"/>
                <w:sz w:val="20"/>
              </w:rPr>
              <w:t xml:space="preserve">229</w:t>
            </w:r>
          </w:p>
        </w:tc>
        <w:tc>
          <w:p>
            <w:pPr>
              <w:pStyle w:val="TableText"/>
            </w:pPr>
            <w:r>
              <w:rPr>
                <w:rFonts w:ascii="Times New Roman" w:hAnsi="Times New Roman" w:eastAsia="Times New Roman"/>
                <w:sz w:val="20"/>
              </w:rPr>
              <w:t xml:space="preserve">47</w:t>
            </w:r>
          </w:p>
        </w:tc>
        <w:tc>
          <w:p>
            <w:pPr>
              <w:pStyle w:val="TableText"/>
            </w:pPr>
            <w:r>
              <w:rPr>
                <w:rFonts w:ascii="Times New Roman" w:hAnsi="Times New Roman" w:eastAsia="Times New Roman"/>
                <w:sz w:val="20"/>
              </w:rPr>
              <w:t xml:space="preserve">59</w:t>
            </w:r>
          </w:p>
        </w:tc>
      </w:tr>
      <w:tr>
        <w:trPr>
          <w:cantSplit/>
        </w:trPr>
        <w:tc>
          <w:p>
            <w:pPr>
              <w:pStyle w:val="TableText"/>
            </w:pPr>
            <w:r>
              <w:rPr>
                <w:rFonts w:ascii="Times New Roman" w:hAnsi="Times New Roman" w:eastAsia="Times New Roman"/>
                <w:sz w:val="20"/>
              </w:rPr>
              <w:t xml:space="preserve">ETH</w:t>
            </w:r>
          </w:p>
        </w:tc>
        <w:tc>
          <w:p>
            <w:pPr>
              <w:pStyle w:val="TableText"/>
            </w:pPr>
            <w:r>
              <w:rPr>
                <w:rFonts w:ascii="Times New Roman" w:hAnsi="Times New Roman" w:eastAsia="Times New Roman"/>
                <w:sz w:val="20"/>
              </w:rPr>
              <w:t xml:space="preserve">1.369</w:t>
            </w:r>
          </w:p>
        </w:tc>
        <w:tc>
          <w:p>
            <w:pPr>
              <w:pStyle w:val="TableText"/>
            </w:pPr>
            <w:r>
              <w:rPr>
                <w:rFonts w:ascii="Times New Roman" w:hAnsi="Times New Roman" w:eastAsia="Times New Roman"/>
                <w:sz w:val="20"/>
              </w:rPr>
              <w:t xml:space="preserve">339</w:t>
            </w:r>
          </w:p>
        </w:tc>
        <w:tc>
          <w:p>
            <w:pPr>
              <w:pStyle w:val="TableText"/>
            </w:pPr>
            <w:r>
              <w:rPr>
                <w:rFonts w:ascii="Times New Roman" w:hAnsi="Times New Roman" w:eastAsia="Times New Roman"/>
                <w:sz w:val="20"/>
              </w:rPr>
              <w:t xml:space="preserve">24,76</w:t>
            </w:r>
          </w:p>
        </w:tc>
        <w:tc>
          <w:p>
            <w:pPr>
              <w:pStyle w:val="TableText"/>
            </w:pPr>
            <w:r>
              <w:rPr>
                <w:rFonts w:ascii="Times New Roman" w:hAnsi="Times New Roman" w:eastAsia="Times New Roman"/>
                <w:sz w:val="20"/>
              </w:rPr>
              <w:t xml:space="preserve">317</w:t>
            </w:r>
          </w:p>
        </w:tc>
        <w:tc>
          <w:p>
            <w:pPr>
              <w:pStyle w:val="TableText"/>
            </w:pPr>
            <w:r>
              <w:rPr>
                <w:rFonts w:ascii="Times New Roman" w:hAnsi="Times New Roman" w:eastAsia="Times New Roman"/>
                <w:sz w:val="20"/>
              </w:rPr>
              <w:t xml:space="preserve">219</w:t>
            </w:r>
          </w:p>
        </w:tc>
        <w:tc>
          <w:p>
            <w:pPr>
              <w:pStyle w:val="TableText"/>
            </w:pPr>
            <w:r>
              <w:rPr>
                <w:rFonts w:ascii="Times New Roman" w:hAnsi="Times New Roman" w:eastAsia="Times New Roman"/>
                <w:sz w:val="20"/>
              </w:rPr>
              <w:t xml:space="preserve">46</w:t>
            </w:r>
          </w:p>
        </w:tc>
        <w:tc>
          <w:p>
            <w:pPr>
              <w:pStyle w:val="TableText"/>
            </w:pPr>
            <w:r>
              <w:rPr>
                <w:rFonts w:ascii="Times New Roman" w:hAnsi="Times New Roman" w:eastAsia="Times New Roman"/>
                <w:sz w:val="20"/>
              </w:rPr>
              <w:t xml:space="preserve">52</w:t>
            </w:r>
          </w:p>
        </w:tc>
      </w:tr>
      <w:tr>
        <w:trPr>
          <w:cantSplit/>
        </w:trPr>
        <w:tc>
          <w:p>
            <w:pPr>
              <w:pStyle w:val="TableText"/>
            </w:pPr>
            <w:r>
              <w:rPr>
                <w:rFonts w:ascii="Times New Roman" w:hAnsi="Times New Roman" w:eastAsia="Times New Roman"/>
                <w:sz w:val="20"/>
              </w:rPr>
              <w:t xml:space="preserve">SOL</w:t>
            </w:r>
          </w:p>
        </w:tc>
        <w:tc>
          <w:p>
            <w:pPr>
              <w:pStyle w:val="TableText"/>
            </w:pPr>
            <w:r>
              <w:rPr>
                <w:rFonts w:ascii="Times New Roman" w:hAnsi="Times New Roman" w:eastAsia="Times New Roman"/>
                <w:sz w:val="20"/>
              </w:rPr>
              <w:t xml:space="preserve">1.369</w:t>
            </w:r>
          </w:p>
        </w:tc>
        <w:tc>
          <w:p>
            <w:pPr>
              <w:pStyle w:val="TableText"/>
            </w:pPr>
            <w:r>
              <w:rPr>
                <w:rFonts w:ascii="Times New Roman" w:hAnsi="Times New Roman" w:eastAsia="Times New Roman"/>
                <w:sz w:val="20"/>
              </w:rPr>
              <w:t xml:space="preserve">339</w:t>
            </w:r>
          </w:p>
        </w:tc>
        <w:tc>
          <w:p>
            <w:pPr>
              <w:pStyle w:val="TableText"/>
            </w:pPr>
            <w:r>
              <w:rPr>
                <w:rFonts w:ascii="Times New Roman" w:hAnsi="Times New Roman" w:eastAsia="Times New Roman"/>
                <w:sz w:val="20"/>
              </w:rPr>
              <w:t xml:space="preserve">24,76</w:t>
            </w:r>
          </w:p>
        </w:tc>
        <w:tc>
          <w:p>
            <w:pPr>
              <w:pStyle w:val="TableText"/>
            </w:pPr>
            <w:r>
              <w:rPr>
                <w:rFonts w:ascii="Times New Roman" w:hAnsi="Times New Roman" w:eastAsia="Times New Roman"/>
                <w:sz w:val="20"/>
              </w:rPr>
              <w:t xml:space="preserve">254</w:t>
            </w:r>
          </w:p>
        </w:tc>
        <w:tc>
          <w:p>
            <w:pPr>
              <w:pStyle w:val="TableText"/>
            </w:pPr>
            <w:r>
              <w:rPr>
                <w:rFonts w:ascii="Times New Roman" w:hAnsi="Times New Roman" w:eastAsia="Times New Roman"/>
                <w:sz w:val="20"/>
              </w:rPr>
              <w:t xml:space="preserve">183</w:t>
            </w:r>
          </w:p>
        </w:tc>
        <w:tc>
          <w:p>
            <w:pPr>
              <w:pStyle w:val="TableText"/>
            </w:pPr>
            <w:r>
              <w:rPr>
                <w:rFonts w:ascii="Times New Roman" w:hAnsi="Times New Roman" w:eastAsia="Times New Roman"/>
                <w:sz w:val="20"/>
              </w:rPr>
              <w:t xml:space="preserve">34</w:t>
            </w:r>
          </w:p>
        </w:tc>
        <w:tc>
          <w:p>
            <w:pPr>
              <w:pStyle w:val="TableText"/>
            </w:pPr>
            <w:r>
              <w:rPr>
                <w:rFonts w:ascii="Times New Roman" w:hAnsi="Times New Roman" w:eastAsia="Times New Roman"/>
                <w:sz w:val="20"/>
              </w:rPr>
              <w:t xml:space="preserve">37</w:t>
            </w:r>
          </w:p>
        </w:tc>
      </w:tr>
      <w:tr>
        <w:trPr>
          <w:cantSplit/>
        </w:trPr>
        <w:tc>
          <w:p>
            <w:pPr>
              <w:pStyle w:val="TableText"/>
            </w:pPr>
            <w:r>
              <w:rPr>
                <w:rFonts w:ascii="Times New Roman" w:hAnsi="Times New Roman" w:eastAsia="Times New Roman"/>
                <w:sz w:val="20"/>
              </w:rPr>
              <w:t xml:space="preserve">BNB</w:t>
            </w:r>
          </w:p>
        </w:tc>
        <w:tc>
          <w:p>
            <w:pPr>
              <w:pStyle w:val="TableText"/>
            </w:pPr>
            <w:r>
              <w:rPr>
                <w:rFonts w:ascii="Times New Roman" w:hAnsi="Times New Roman" w:eastAsia="Times New Roman"/>
                <w:sz w:val="20"/>
              </w:rPr>
              <w:t xml:space="preserve">1.369</w:t>
            </w:r>
          </w:p>
        </w:tc>
        <w:tc>
          <w:p>
            <w:pPr>
              <w:pStyle w:val="TableText"/>
            </w:pPr>
            <w:r>
              <w:rPr>
                <w:rFonts w:ascii="Times New Roman" w:hAnsi="Times New Roman" w:eastAsia="Times New Roman"/>
                <w:sz w:val="20"/>
              </w:rPr>
              <w:t xml:space="preserve">339</w:t>
            </w:r>
          </w:p>
        </w:tc>
        <w:tc>
          <w:p>
            <w:pPr>
              <w:pStyle w:val="TableText"/>
            </w:pPr>
            <w:r>
              <w:rPr>
                <w:rFonts w:ascii="Times New Roman" w:hAnsi="Times New Roman" w:eastAsia="Times New Roman"/>
                <w:sz w:val="20"/>
              </w:rPr>
              <w:t xml:space="preserve">24,76</w:t>
            </w:r>
          </w:p>
        </w:tc>
        <w:tc>
          <w:p>
            <w:pPr>
              <w:pStyle w:val="TableText"/>
            </w:pPr>
            <w:r>
              <w:rPr>
                <w:rFonts w:ascii="Times New Roman" w:hAnsi="Times New Roman" w:eastAsia="Times New Roman"/>
                <w:sz w:val="20"/>
              </w:rPr>
              <w:t xml:space="preserve">212</w:t>
            </w:r>
          </w:p>
        </w:tc>
        <w:tc>
          <w:p>
            <w:pPr>
              <w:pStyle w:val="TableText"/>
            </w:pPr>
            <w:r>
              <w:rPr>
                <w:rFonts w:ascii="Times New Roman" w:hAnsi="Times New Roman" w:eastAsia="Times New Roman"/>
                <w:sz w:val="20"/>
              </w:rPr>
              <w:t xml:space="preserve">144</w:t>
            </w:r>
          </w:p>
        </w:tc>
        <w:tc>
          <w:p>
            <w:pPr>
              <w:pStyle w:val="TableText"/>
            </w:pPr>
            <w:r>
              <w:rPr>
                <w:rFonts w:ascii="Times New Roman" w:hAnsi="Times New Roman" w:eastAsia="Times New Roman"/>
                <w:sz w:val="20"/>
              </w:rPr>
              <w:t xml:space="preserve">31</w:t>
            </w:r>
          </w:p>
        </w:tc>
        <w:tc>
          <w:p>
            <w:pPr>
              <w:pStyle w:val="TableText"/>
            </w:pPr>
            <w:r>
              <w:rPr>
                <w:rFonts w:ascii="Times New Roman" w:hAnsi="Times New Roman" w:eastAsia="Times New Roman"/>
                <w:sz w:val="20"/>
              </w:rPr>
              <w:t xml:space="preserve">37</w:t>
            </w:r>
          </w:p>
        </w:tc>
      </w:tr>
      <w:tr>
        <w:trPr>
          <w:cantSplit/>
        </w:trPr>
        <w:tc>
          <w:p>
            <w:pPr>
              <w:pStyle w:val="TableText"/>
            </w:pPr>
            <w:r>
              <w:rPr>
                <w:rFonts w:ascii="Times New Roman" w:hAnsi="Times New Roman" w:eastAsia="Times New Roman"/>
                <w:sz w:val="20"/>
              </w:rPr>
              <w:t xml:space="preserve">XRP</w:t>
            </w:r>
          </w:p>
        </w:tc>
        <w:tc>
          <w:p>
            <w:pPr>
              <w:pStyle w:val="TableText"/>
            </w:pPr>
            <w:r>
              <w:rPr>
                <w:rFonts w:ascii="Times New Roman" w:hAnsi="Times New Roman" w:eastAsia="Times New Roman"/>
                <w:sz w:val="20"/>
              </w:rPr>
              <w:t xml:space="preserve">1.369</w:t>
            </w:r>
          </w:p>
        </w:tc>
        <w:tc>
          <w:p>
            <w:pPr>
              <w:pStyle w:val="TableText"/>
            </w:pPr>
            <w:r>
              <w:rPr>
                <w:rFonts w:ascii="Times New Roman" w:hAnsi="Times New Roman" w:eastAsia="Times New Roman"/>
                <w:sz w:val="20"/>
              </w:rPr>
              <w:t xml:space="preserve">339</w:t>
            </w:r>
          </w:p>
        </w:tc>
        <w:tc>
          <w:p>
            <w:pPr>
              <w:pStyle w:val="TableText"/>
            </w:pPr>
            <w:r>
              <w:rPr>
                <w:rFonts w:ascii="Times New Roman" w:hAnsi="Times New Roman" w:eastAsia="Times New Roman"/>
                <w:sz w:val="20"/>
              </w:rPr>
              <w:t xml:space="preserve">24,76</w:t>
            </w:r>
          </w:p>
        </w:tc>
        <w:tc>
          <w:p>
            <w:pPr>
              <w:pStyle w:val="TableText"/>
            </w:pPr>
            <w:r>
              <w:rPr>
                <w:rFonts w:ascii="Times New Roman" w:hAnsi="Times New Roman" w:eastAsia="Times New Roman"/>
                <w:sz w:val="20"/>
              </w:rPr>
              <w:t xml:space="preserve">286</w:t>
            </w:r>
          </w:p>
        </w:tc>
        <w:tc>
          <w:p>
            <w:pPr>
              <w:pStyle w:val="TableText"/>
            </w:pPr>
            <w:r>
              <w:rPr>
                <w:rFonts w:ascii="Times New Roman" w:hAnsi="Times New Roman" w:eastAsia="Times New Roman"/>
                <w:sz w:val="20"/>
              </w:rPr>
              <w:t xml:space="preserve">194</w:t>
            </w:r>
          </w:p>
        </w:tc>
        <w:tc>
          <w:p>
            <w:pPr>
              <w:pStyle w:val="TableText"/>
            </w:pPr>
            <w:r>
              <w:rPr>
                <w:rFonts w:ascii="Times New Roman" w:hAnsi="Times New Roman" w:eastAsia="Times New Roman"/>
                <w:sz w:val="20"/>
              </w:rPr>
              <w:t xml:space="preserve">47</w:t>
            </w:r>
          </w:p>
        </w:tc>
        <w:tc>
          <w:p>
            <w:pPr>
              <w:pStyle w:val="TableText"/>
            </w:pPr>
            <w:r>
              <w:rPr>
                <w:rFonts w:ascii="Times New Roman" w:hAnsi="Times New Roman" w:eastAsia="Times New Roman"/>
                <w:sz w:val="20"/>
              </w:rPr>
              <w:t xml:space="preserve">45</w:t>
            </w:r>
          </w:p>
        </w:tc>
      </w:tr>
    </w:tbl>
    <w:p>
      <w:pPr>
        <w:pStyle w:val="TableNote"/>
      </w:pPr>
      <w:r>
        <w:rPr>
          <w:rFonts w:ascii="Times New Roman" w:hAnsi="Times New Roman" w:eastAsia="Times New Roman"/>
          <w:sz w:val="20"/>
        </w:rPr>
        <w:t xml:space="preserve">Ghi chú. Độ phủ từ </w:t>
      </w:r>
      <w:r>
        <w:rPr>
          <w:rFonts w:ascii="Times New Roman" w:hAnsi="Times New Roman" w:eastAsia="Times New Roman"/>
          <w:sz w:val="20"/>
        </w:rPr>
        <w:t xml:space="preserve">coverage.csv</w:t>
      </w:r>
      <w:r>
        <w:rPr>
          <w:rFonts w:ascii="Times New Roman" w:hAnsi="Times New Roman" w:eastAsia="Times New Roman"/>
          <w:sz w:val="20"/>
        </w:rPr>
        <w:t xml:space="preserve">, bản chụp 18/10/2026; ngày có tin tính từ 01/01/2023 đến 24/09/2026, mẫu thiết kế kết thúc 30/09/2026. Ngày mô hình còn cần giá và biến trễ hợp lệ. </w:t>
      </w:r>
      <w:r>
        <w:rPr>
          <w:rFonts w:ascii="Times New Roman" w:hAnsi="Times New Roman" w:eastAsia="Times New Roman"/>
          <w:sz w:val="20"/>
          <w:b/>
        </w:rPr>
        <w:t xml:space="preserve">*, </w:t>
      </w:r>
      <w:r>
        <w:rPr>
          <w:rFonts w:ascii="Times New Roman" w:hAnsi="Times New Roman" w:eastAsia="Times New Roman"/>
          <w:sz w:val="20"/>
        </w:rPr>
        <w:t xml:space="preserve">, * biểu thị mức ý nghĩa thống kê lần lượt là 1%, 5% và 10%. Tính toán của nhóm tác giả.</w:t>
      </w:r>
    </w:p>
    <w:p>
      <w:pPr>
        <w:pStyle w:val="Normal"/>
      </w:pPr>
      <w:r>
        <w:rPr>
          <w:rFonts w:ascii="Times New Roman" w:hAnsi="Times New Roman" w:eastAsia="Times New Roman"/>
          <w:sz w:val="26"/>
        </w:rPr>
        <w:t xml:space="preserve">Điều này có nghĩa là chuỗi giá liên tục không làm cho chuỗi tin liên tục: Bitcoin chỉ có 59 ngày kiểm tra đủ biến, dù khoảng lịch dài hơn. Do đó, kết quả hồi quy và dự báo bên dưới chỉ áp dụng cho ngày được quan sát; không được ngoại suy sang các ngày không thu được tin. Sự thiếu hụt dữ liệu có thể làm yếu kiểm định Granger và làm thay đổi thành phần tin theo thời gian.</w:t>
      </w:r>
    </w:p>
    <w:p>
      <w:pPr>
        <w:pStyle w:val="Normal"/>
      </w:pPr>
      <w:r>
        <w:rPr>
          <w:rFonts w:ascii="Times New Roman" w:hAnsi="Times New Roman" w:eastAsia="Times New Roman"/>
          <w:sz w:val="26"/>
        </w:rPr>
        <w:t xml:space="preserve">Đối với RQ1, Bảng 4 đặt ba điểm cảm xúc vào cùng hồi quy lợi suất Bitcoin ngày kế tiếp. Đây là so sánh khả năng giải thích có điều kiện, chưa phải phép đo độ chính xác gán nhãn của bộ chấm. Bảng kiểm định nhãn độc lập chỉ được bổ sung sau khi bộ nhãn tay được hoàn thành.</w:t>
      </w:r>
    </w:p>
    <w:p>
      <w:pPr>
        <w:pStyle w:val="Caption"/>
        <w:keepNext/>
      </w:pPr>
      <w:r>
        <w:rPr>
          <w:rFonts w:ascii="Times New Roman" w:hAnsi="Times New Roman" w:eastAsia="Times New Roman"/>
          <w:sz w:val="26"/>
        </w:rPr>
        <w:t xml:space="preserve">Bảng 4</w:t>
      </w:r>
    </w:p>
    <w:p>
      <w:pPr>
        <w:pStyle w:val="Normal"/>
      </w:pPr>
      <w:r>
        <w:rPr>
          <w:rFonts w:ascii="Times New Roman" w:hAnsi="Times New Roman" w:eastAsia="Times New Roman"/>
          <w:sz w:val="26"/>
        </w:rPr>
        <w:t xml:space="preserve">Hệ Số Cảm Xúc Trong Hồi Quy Lợi Suất Bitcoin Ngày Kế Tiếp</w:t>
      </w:r>
    </w:p>
    <w:tbl>
      <w:tblPr>
        <w:tblW w:w="9000" w:type="dxa"/>
        <w:tblLayout w:type="autofit"/>
        <w:tblBorders>
          <w:top w:val="single" w:sz="8" w:color="000000"/>
          <w:bottom w:val="single" w:sz="8" w:color="000000"/>
          <w:left w:val="nil"/>
          <w:right w:val="nil"/>
          <w:insideH w:val="nil"/>
          <w:insideV w:val="nil"/>
        </w:tblBorders>
      </w:tblPr>
      <w:tblGrid>
        <w:gridCol w:w="1800"/>
        <w:gridCol w:w="1800"/>
        <w:gridCol w:w="1800"/>
        <w:gridCol w:w="1800"/>
        <w:gridCol w:w="1800"/>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Bộ chấm</w:t>
            </w:r>
          </w:p>
        </w:tc>
        <w:tc>
          <w:tcPr>
            <w:tcBorders>
              <w:bottom w:val="single" w:sz="6" w:color="000000"/>
            </w:tcBorders>
          </w:tcPr>
          <w:p>
            <w:pPr>
              <w:pStyle w:val="TableText"/>
            </w:pPr>
            <w:r>
              <w:rPr>
                <w:rFonts w:ascii="Times New Roman" w:hAnsi="Times New Roman" w:eastAsia="Times New Roman"/>
                <w:sz w:val="20"/>
                <w:b/>
              </w:rPr>
              <w:t xml:space="preserve">Hệ số</w:t>
            </w:r>
          </w:p>
        </w:tc>
        <w:tc>
          <w:tcPr>
            <w:tcBorders>
              <w:bottom w:val="single" w:sz="6" w:color="000000"/>
            </w:tcBorders>
          </w:tcPr>
          <w:p>
            <w:pPr>
              <w:pStyle w:val="TableText"/>
            </w:pPr>
            <w:r>
              <w:rPr>
                <w:rFonts w:ascii="Times New Roman" w:hAnsi="Times New Roman" w:eastAsia="Times New Roman"/>
                <w:sz w:val="20"/>
                <w:b/>
              </w:rPr>
              <w:t xml:space="preserve">Số quan sát</w:t>
            </w:r>
          </w:p>
        </w:tc>
        <w:tc>
          <w:tcPr>
            <w:tcBorders>
              <w:bottom w:val="single" w:sz="6" w:color="000000"/>
            </w:tcBorders>
          </w:tcPr>
          <w:p>
            <w:pPr>
              <w:pStyle w:val="TableText"/>
            </w:pPr>
            <w:r>
              <w:rPr>
                <w:rFonts w:ascii="Times New Roman" w:hAnsi="Times New Roman" w:eastAsia="Times New Roman"/>
                <w:sz w:val="20"/>
                <w:b/>
              </w:rPr>
              <w:t xml:space="preserve">p thô</w:t>
            </w:r>
          </w:p>
        </w:tc>
        <w:tc>
          <w:tcPr>
            <w:tcBorders>
              <w:bottom w:val="single" w:sz="6" w:color="000000"/>
            </w:tcBorders>
          </w:tcPr>
          <w:p>
            <w:pPr>
              <w:pStyle w:val="TableText"/>
            </w:pPr>
            <w:r>
              <w:rPr>
                <w:rFonts w:ascii="Times New Roman" w:hAnsi="Times New Roman" w:eastAsia="Times New Roman"/>
                <w:sz w:val="20"/>
                <w:b/>
              </w:rPr>
              <w:t xml:space="preserve">p Holm</w:t>
            </w:r>
          </w:p>
        </w:tc>
      </w:tr>
      <w:tr>
        <w:trPr>
          <w:cantSplit/>
        </w:trPr>
        <w:tc>
          <w:p>
            <w:pPr>
              <w:pStyle w:val="TableText"/>
            </w:pPr>
            <w:r>
              <w:rPr>
                <w:rFonts w:ascii="Times New Roman" w:hAnsi="Times New Roman" w:eastAsia="Times New Roman"/>
                <w:sz w:val="20"/>
              </w:rPr>
              <w:t xml:space="preserve">Loughran–McDonald</w:t>
            </w:r>
          </w:p>
        </w:tc>
        <w:tc>
          <w:p>
            <w:pPr>
              <w:pStyle w:val="TableText"/>
            </w:pPr>
            <w:r>
              <w:rPr>
                <w:rFonts w:ascii="Times New Roman" w:hAnsi="Times New Roman" w:eastAsia="Times New Roman"/>
                <w:sz w:val="20"/>
              </w:rPr>
              <w:t xml:space="preserve">−0,01380</w:t>
            </w:r>
          </w:p>
        </w:tc>
        <w:tc>
          <w:p>
            <w:pPr>
              <w:pStyle w:val="TableText"/>
            </w:pPr>
            <w:r>
              <w:rPr>
                <w:rFonts w:ascii="Times New Roman" w:hAnsi="Times New Roman" w:eastAsia="Times New Roman"/>
                <w:sz w:val="20"/>
              </w:rPr>
              <w:t xml:space="preserve">277</w:t>
            </w:r>
          </w:p>
        </w:tc>
        <w:tc>
          <w:p>
            <w:pPr>
              <w:pStyle w:val="TableText"/>
            </w:pPr>
            <w:r>
              <w:rPr>
                <w:rFonts w:ascii="Times New Roman" w:hAnsi="Times New Roman" w:eastAsia="Times New Roman"/>
                <w:sz w:val="20"/>
              </w:rPr>
              <w:t xml:space="preserve">0,3040</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Harvard IV-4</w:t>
            </w:r>
          </w:p>
        </w:tc>
        <w:tc>
          <w:p>
            <w:pPr>
              <w:pStyle w:val="TableText"/>
            </w:pPr>
            <w:r>
              <w:rPr>
                <w:rFonts w:ascii="Times New Roman" w:hAnsi="Times New Roman" w:eastAsia="Times New Roman"/>
                <w:sz w:val="20"/>
              </w:rPr>
              <w:t xml:space="preserve">−0,00123</w:t>
            </w:r>
          </w:p>
        </w:tc>
        <w:tc>
          <w:p>
            <w:pPr>
              <w:pStyle w:val="TableText"/>
            </w:pPr>
            <w:r>
              <w:rPr>
                <w:rFonts w:ascii="Times New Roman" w:hAnsi="Times New Roman" w:eastAsia="Times New Roman"/>
                <w:sz w:val="20"/>
              </w:rPr>
              <w:t xml:space="preserve">277</w:t>
            </w:r>
          </w:p>
        </w:tc>
        <w:tc>
          <w:p>
            <w:pPr>
              <w:pStyle w:val="TableText"/>
            </w:pPr>
            <w:r>
              <w:rPr>
                <w:rFonts w:ascii="Times New Roman" w:hAnsi="Times New Roman" w:eastAsia="Times New Roman"/>
                <w:sz w:val="20"/>
              </w:rPr>
              <w:t xml:space="preserve">0,8853</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FinBERT</w:t>
            </w:r>
          </w:p>
        </w:tc>
        <w:tc>
          <w:p>
            <w:pPr>
              <w:pStyle w:val="TableText"/>
            </w:pPr>
            <w:r>
              <w:rPr>
                <w:rFonts w:ascii="Times New Roman" w:hAnsi="Times New Roman" w:eastAsia="Times New Roman"/>
                <w:sz w:val="20"/>
              </w:rPr>
              <w:t xml:space="preserve">0,01371</w:t>
            </w:r>
          </w:p>
        </w:tc>
        <w:tc>
          <w:p>
            <w:pPr>
              <w:pStyle w:val="TableText"/>
            </w:pPr>
            <w:r>
              <w:rPr>
                <w:rFonts w:ascii="Times New Roman" w:hAnsi="Times New Roman" w:eastAsia="Times New Roman"/>
                <w:sz w:val="20"/>
              </w:rPr>
              <w:t xml:space="preserve">277</w:t>
            </w:r>
          </w:p>
        </w:tc>
        <w:tc>
          <w:p>
            <w:pPr>
              <w:pStyle w:val="TableText"/>
            </w:pPr>
            <w:r>
              <w:rPr>
                <w:rFonts w:ascii="Times New Roman" w:hAnsi="Times New Roman" w:eastAsia="Times New Roman"/>
                <w:sz w:val="20"/>
              </w:rPr>
              <w:t xml:space="preserve">0,2542</w:t>
            </w:r>
          </w:p>
        </w:tc>
        <w:tc>
          <w:p>
            <w:pPr>
              <w:pStyle w:val="TableText"/>
            </w:pPr>
            <w:r>
              <w:rPr>
                <w:rFonts w:ascii="Times New Roman" w:hAnsi="Times New Roman" w:eastAsia="Times New Roman"/>
                <w:sz w:val="20"/>
              </w:rPr>
              <w:t xml:space="preserve">1,0000</w:t>
            </w:r>
          </w:p>
        </w:tc>
      </w:tr>
    </w:tbl>
    <w:p>
      <w:pPr>
        <w:pStyle w:val="TableNote"/>
      </w:pPr>
      <w:r>
        <w:rPr>
          <w:rFonts w:ascii="Times New Roman" w:hAnsi="Times New Roman" w:eastAsia="Times New Roman"/>
          <w:sz w:val="20"/>
        </w:rPr>
        <w:t xml:space="preserve">Ghi chú. Biến phụ thuộc là lợi suất log ngày t+1; mỗi hệ số đến từ đặc tả có cùng biến kiểm soát thị trường và số tin. p Holm hiệu chỉnh trong họ kiểm định xuất ra từ </w:t>
      </w:r>
      <w:r>
        <w:rPr>
          <w:rFonts w:ascii="Times New Roman" w:hAnsi="Times New Roman" w:eastAsia="Times New Roman"/>
          <w:sz w:val="20"/>
        </w:rPr>
        <w:t xml:space="preserve">regressions.csv</w:t>
      </w:r>
      <w:r>
        <w:rPr>
          <w:rFonts w:ascii="Times New Roman" w:hAnsi="Times New Roman" w:eastAsia="Times New Roman"/>
          <w:sz w:val="20"/>
        </w:rPr>
        <w:t xml:space="preserve">. </w:t>
      </w:r>
      <w:r>
        <w:rPr>
          <w:rFonts w:ascii="Times New Roman" w:hAnsi="Times New Roman" w:eastAsia="Times New Roman"/>
          <w:sz w:val="20"/>
          <w:b/>
        </w:rPr>
        <w:t xml:space="preserve">*, </w:t>
      </w:r>
      <w:r>
        <w:rPr>
          <w:rFonts w:ascii="Times New Roman" w:hAnsi="Times New Roman" w:eastAsia="Times New Roman"/>
          <w:sz w:val="20"/>
        </w:rPr>
        <w:t xml:space="preserve">, * biểu thị mức ý nghĩa thống kê lần lượt là 1%, 5% và 10%. Tính toán của nhóm tác giả.</w:t>
      </w:r>
    </w:p>
    <w:p>
      <w:pPr>
        <w:pStyle w:val="Normal"/>
      </w:pPr>
      <w:r>
        <w:rPr>
          <w:rFonts w:ascii="Times New Roman" w:hAnsi="Times New Roman" w:eastAsia="Times New Roman"/>
          <w:sz w:val="26"/>
        </w:rPr>
        <w:t xml:space="preserve">Không hệ số nào đạt ý nghĩa thống kê sau hiệu chỉnh. Điều này có nghĩa là chưa thể nói FinBERT đo cảm xúc tốt hơn từ điển chỉ dựa vào khả năng dự báo lợi suất ở mẫu này; một bộ chấm có thể đọc đúng sắc thái nhưng sắc thái không dự báo giá. Lập luận về sự phù hợp miền của Loughran và McDonald (2011) và ưu thế biểu diễn ngữ cảnh của Araci (2019) vẫn là giả thuyết đo lường cần đánh giá bằng nhãn độc lập. [[CHỜ_DỮ_LIỆU: bảng RQ1_nhãn_độc_lập]]</w:t>
      </w:r>
    </w:p>
    <w:p>
      <w:pPr>
        <w:pStyle w:val="Normal"/>
      </w:pPr>
      <w:r>
        <w:rPr>
          <w:rFonts w:ascii="Times New Roman" w:hAnsi="Times New Roman" w:eastAsia="Times New Roman"/>
          <w:sz w:val="26"/>
        </w:rPr>
        <w:t xml:space="preserve">Để xem tin xấu có mạnh hơn tin tốt hay không, Bảng 5 báo cáo Wald và phản ứng sự kiện theo sắc thái. Bảng đồng thời cho thấy mức độ chắc chắn khác nhau giữa giá và khối lượng.</w:t>
      </w:r>
    </w:p>
    <w:p>
      <w:pPr>
        <w:pStyle w:val="Caption"/>
        <w:keepNext/>
      </w:pPr>
      <w:r>
        <w:rPr>
          <w:rFonts w:ascii="Times New Roman" w:hAnsi="Times New Roman" w:eastAsia="Times New Roman"/>
          <w:sz w:val="26"/>
        </w:rPr>
        <w:t xml:space="preserve">Bảng 5</w:t>
      </w:r>
    </w:p>
    <w:p>
      <w:pPr>
        <w:pStyle w:val="Normal"/>
      </w:pPr>
      <w:r>
        <w:rPr>
          <w:rFonts w:ascii="Times New Roman" w:hAnsi="Times New Roman" w:eastAsia="Times New Roman"/>
          <w:sz w:val="26"/>
        </w:rPr>
        <w:t xml:space="preserve">Bất Đối Xứng Tin Xấu Và Tin Tốt</w:t>
      </w:r>
    </w:p>
    <w:tbl>
      <w:tblPr>
        <w:tblW w:w="9000" w:type="dxa"/>
        <w:tblLayout w:type="autofit"/>
        <w:tblBorders>
          <w:top w:val="single" w:sz="8" w:color="000000"/>
          <w:bottom w:val="single" w:sz="8" w:color="000000"/>
          <w:left w:val="nil"/>
          <w:right w:val="nil"/>
          <w:insideH w:val="nil"/>
          <w:insideV w:val="nil"/>
        </w:tblBorders>
      </w:tblPr>
      <w:tblGrid>
        <w:gridCol w:w="1800"/>
        <w:gridCol w:w="1800"/>
        <w:gridCol w:w="1800"/>
        <w:gridCol w:w="1800"/>
        <w:gridCol w:w="1800"/>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Phép đo</w:t>
            </w:r>
          </w:p>
        </w:tc>
        <w:tc>
          <w:tcPr>
            <w:tcBorders>
              <w:bottom w:val="single" w:sz="6" w:color="000000"/>
            </w:tcBorders>
          </w:tcPr>
          <w:p>
            <w:pPr>
              <w:pStyle w:val="TableText"/>
            </w:pPr>
            <w:r>
              <w:rPr>
                <w:rFonts w:ascii="Times New Roman" w:hAnsi="Times New Roman" w:eastAsia="Times New Roman"/>
                <w:sz w:val="20"/>
                <w:b/>
              </w:rPr>
              <w:t xml:space="preserve">Số quan sát/ngày</w:t>
            </w:r>
          </w:p>
        </w:tc>
        <w:tc>
          <w:tcPr>
            <w:tcBorders>
              <w:bottom w:val="single" w:sz="6" w:color="000000"/>
            </w:tcBorders>
          </w:tcPr>
          <w:p>
            <w:pPr>
              <w:pStyle w:val="TableText"/>
            </w:pPr>
            <w:r>
              <w:rPr>
                <w:rFonts w:ascii="Times New Roman" w:hAnsi="Times New Roman" w:eastAsia="Times New Roman"/>
                <w:sz w:val="20"/>
                <w:b/>
              </w:rPr>
              <w:t xml:space="preserve">Ước lượng</w:t>
            </w:r>
          </w:p>
        </w:tc>
        <w:tc>
          <w:tcPr>
            <w:tcBorders>
              <w:bottom w:val="single" w:sz="6" w:color="000000"/>
            </w:tcBorders>
          </w:tcPr>
          <w:p>
            <w:pPr>
              <w:pStyle w:val="TableText"/>
            </w:pPr>
            <w:r>
              <w:rPr>
                <w:rFonts w:ascii="Times New Roman" w:hAnsi="Times New Roman" w:eastAsia="Times New Roman"/>
                <w:sz w:val="20"/>
                <w:b/>
              </w:rPr>
              <w:t xml:space="preserve">p thô</w:t>
            </w:r>
          </w:p>
        </w:tc>
        <w:tc>
          <w:tcPr>
            <w:tcBorders>
              <w:bottom w:val="single" w:sz="6" w:color="000000"/>
            </w:tcBorders>
          </w:tcPr>
          <w:p>
            <w:pPr>
              <w:pStyle w:val="TableText"/>
            </w:pPr>
            <w:r>
              <w:rPr>
                <w:rFonts w:ascii="Times New Roman" w:hAnsi="Times New Roman" w:eastAsia="Times New Roman"/>
                <w:sz w:val="20"/>
                <w:b/>
              </w:rPr>
              <w:t xml:space="preserve">p Holm</w:t>
            </w:r>
          </w:p>
        </w:tc>
      </w:tr>
      <w:tr>
        <w:trPr>
          <w:cantSplit/>
        </w:trPr>
        <w:tc>
          <w:p>
            <w:pPr>
              <w:pStyle w:val="TableText"/>
            </w:pPr>
            <w:r>
              <w:rPr>
                <w:rFonts w:ascii="Times New Roman" w:hAnsi="Times New Roman" w:eastAsia="Times New Roman"/>
                <w:sz w:val="20"/>
              </w:rPr>
              <w:t xml:space="preserve">Wald BTC, lợi suất ngày t+1: β⁻ − β⁺</w:t>
            </w:r>
          </w:p>
        </w:tc>
        <w:tc>
          <w:p>
            <w:pPr>
              <w:pStyle w:val="TableText"/>
            </w:pPr>
            <w:r>
              <w:rPr>
                <w:rFonts w:ascii="Times New Roman" w:hAnsi="Times New Roman" w:eastAsia="Times New Roman"/>
                <w:sz w:val="20"/>
              </w:rPr>
              <w:t xml:space="preserve">276</w:t>
            </w:r>
          </w:p>
        </w:tc>
        <w:tc>
          <w:p>
            <w:pPr>
              <w:pStyle w:val="TableText"/>
            </w:pPr>
            <w:r>
              <w:rPr>
                <w:rFonts w:ascii="Times New Roman" w:hAnsi="Times New Roman" w:eastAsia="Times New Roman"/>
                <w:sz w:val="20"/>
              </w:rPr>
              <w:t xml:space="preserve">−0,00021</w:t>
            </w:r>
          </w:p>
        </w:tc>
        <w:tc>
          <w:p>
            <w:pPr>
              <w:pStyle w:val="TableText"/>
            </w:pPr>
            <w:r>
              <w:rPr>
                <w:rFonts w:ascii="Times New Roman" w:hAnsi="Times New Roman" w:eastAsia="Times New Roman"/>
                <w:sz w:val="20"/>
              </w:rPr>
              <w:t xml:space="preserve">0,6115</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Phân vị BTC τ = 0,1: β⁻ − β⁺</w:t>
            </w:r>
          </w:p>
        </w:tc>
        <w:tc>
          <w:p>
            <w:pPr>
              <w:pStyle w:val="TableText"/>
            </w:pPr>
            <w:r>
              <w:rPr>
                <w:rFonts w:ascii="Times New Roman" w:hAnsi="Times New Roman" w:eastAsia="Times New Roman"/>
                <w:sz w:val="20"/>
              </w:rPr>
              <w:t xml:space="preserve">276</w:t>
            </w:r>
          </w:p>
        </w:tc>
        <w:tc>
          <w:p>
            <w:pPr>
              <w:pStyle w:val="TableText"/>
            </w:pPr>
            <w:r>
              <w:rPr>
                <w:rFonts w:ascii="Times New Roman" w:hAnsi="Times New Roman" w:eastAsia="Times New Roman"/>
                <w:sz w:val="20"/>
              </w:rPr>
              <w:t xml:space="preserve">0,00003</w:t>
            </w:r>
          </w:p>
        </w:tc>
        <w:tc>
          <w:p>
            <w:pPr>
              <w:pStyle w:val="TableText"/>
            </w:pPr>
            <w:r>
              <w:rPr>
                <w:rFonts w:ascii="Times New Roman" w:hAnsi="Times New Roman" w:eastAsia="Times New Roman"/>
                <w:sz w:val="20"/>
              </w:rPr>
              <w:t xml:space="preserve">0,9176</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Phân vị BTC τ = 0,5: β⁻ − β⁺</w:t>
            </w:r>
          </w:p>
        </w:tc>
        <w:tc>
          <w:p>
            <w:pPr>
              <w:pStyle w:val="TableText"/>
            </w:pPr>
            <w:r>
              <w:rPr>
                <w:rFonts w:ascii="Times New Roman" w:hAnsi="Times New Roman" w:eastAsia="Times New Roman"/>
                <w:sz w:val="20"/>
              </w:rPr>
              <w:t xml:space="preserve">276</w:t>
            </w:r>
          </w:p>
        </w:tc>
        <w:tc>
          <w:p>
            <w:pPr>
              <w:pStyle w:val="TableText"/>
            </w:pPr>
            <w:r>
              <w:rPr>
                <w:rFonts w:ascii="Times New Roman" w:hAnsi="Times New Roman" w:eastAsia="Times New Roman"/>
                <w:sz w:val="20"/>
              </w:rPr>
              <w:t xml:space="preserve">−0,00040</w:t>
            </w:r>
          </w:p>
        </w:tc>
        <w:tc>
          <w:p>
            <w:pPr>
              <w:pStyle w:val="TableText"/>
            </w:pPr>
            <w:r>
              <w:rPr>
                <w:rFonts w:ascii="Times New Roman" w:hAnsi="Times New Roman" w:eastAsia="Times New Roman"/>
                <w:sz w:val="20"/>
              </w:rPr>
              <w:t xml:space="preserve">0,2908</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Phân vị BTC τ = 0,9: β⁻ − β⁺</w:t>
            </w:r>
          </w:p>
        </w:tc>
        <w:tc>
          <w:p>
            <w:pPr>
              <w:pStyle w:val="TableText"/>
            </w:pPr>
            <w:r>
              <w:rPr>
                <w:rFonts w:ascii="Times New Roman" w:hAnsi="Times New Roman" w:eastAsia="Times New Roman"/>
                <w:sz w:val="20"/>
              </w:rPr>
              <w:t xml:space="preserve">276</w:t>
            </w:r>
          </w:p>
        </w:tc>
        <w:tc>
          <w:p>
            <w:pPr>
              <w:pStyle w:val="TableText"/>
            </w:pPr>
            <w:r>
              <w:rPr>
                <w:rFonts w:ascii="Times New Roman" w:hAnsi="Times New Roman" w:eastAsia="Times New Roman"/>
                <w:sz w:val="20"/>
              </w:rPr>
              <w:t xml:space="preserve">−0,00127</w:t>
            </w:r>
          </w:p>
        </w:tc>
        <w:tc>
          <w:p>
            <w:pPr>
              <w:pStyle w:val="TableText"/>
            </w:pPr>
            <w:r>
              <w:rPr>
                <w:rFonts w:ascii="Times New Roman" w:hAnsi="Times New Roman" w:eastAsia="Times New Roman"/>
                <w:sz w:val="20"/>
              </w:rPr>
              <w:t xml:space="preserve">0,1461</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CAR xấu trừ tốt [0,4] giờ (điểm %)</w:t>
            </w:r>
          </w:p>
        </w:tc>
        <w:tc>
          <w:p>
            <w:pPr>
              <w:pStyle w:val="TableText"/>
            </w:pPr>
            <w:r>
              <w:rPr>
                <w:rFonts w:ascii="Times New Roman" w:hAnsi="Times New Roman" w:eastAsia="Times New Roman"/>
                <w:sz w:val="20"/>
              </w:rPr>
              <w:t xml:space="preserve">382 ngày</w:t>
            </w:r>
          </w:p>
        </w:tc>
        <w:tc>
          <w:p>
            <w:pPr>
              <w:pStyle w:val="TableText"/>
            </w:pPr>
            <w:r>
              <w:rPr>
                <w:rFonts w:ascii="Times New Roman" w:hAnsi="Times New Roman" w:eastAsia="Times New Roman"/>
                <w:sz w:val="20"/>
              </w:rPr>
              <w:t xml:space="preserve">0,00679</w:t>
            </w:r>
          </w:p>
        </w:tc>
        <w:tc>
          <w:p>
            <w:pPr>
              <w:pStyle w:val="TableText"/>
            </w:pPr>
            <w:r>
              <w:rPr>
                <w:rFonts w:ascii="Times New Roman" w:hAnsi="Times New Roman" w:eastAsia="Times New Roman"/>
                <w:sz w:val="20"/>
              </w:rPr>
              <w:t xml:space="preserve">0,6758</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Log khối lượng bất thường xấu trừ tốt [0,4] giờ</w:t>
            </w:r>
          </w:p>
        </w:tc>
        <w:tc>
          <w:p>
            <w:pPr>
              <w:pStyle w:val="TableText"/>
            </w:pPr>
            <w:r>
              <w:rPr>
                <w:rFonts w:ascii="Times New Roman" w:hAnsi="Times New Roman" w:eastAsia="Times New Roman"/>
                <w:sz w:val="20"/>
              </w:rPr>
              <w:t xml:space="preserve">382 ngày</w:t>
            </w:r>
          </w:p>
        </w:tc>
        <w:tc>
          <w:p>
            <w:pPr>
              <w:pStyle w:val="TableText"/>
            </w:pPr>
            <w:r>
              <w:rPr>
                <w:rFonts w:ascii="Times New Roman" w:hAnsi="Times New Roman" w:eastAsia="Times New Roman"/>
                <w:sz w:val="20"/>
              </w:rPr>
              <w:t xml:space="preserve">−0,03007</w:t>
            </w:r>
          </w:p>
        </w:tc>
        <w:tc>
          <w:p>
            <w:pPr>
              <w:pStyle w:val="TableText"/>
            </w:pPr>
            <w:r>
              <w:rPr>
                <w:rFonts w:ascii="Times New Roman" w:hAnsi="Times New Roman" w:eastAsia="Times New Roman"/>
                <w:sz w:val="20"/>
              </w:rPr>
              <w:t xml:space="preserve">0,00014</w:t>
            </w:r>
          </w:p>
        </w:tc>
        <w:tc>
          <w:p>
            <w:pPr>
              <w:pStyle w:val="TableText"/>
            </w:pPr>
            <w:r>
              <w:rPr>
                <w:rFonts w:ascii="Times New Roman" w:hAnsi="Times New Roman" w:eastAsia="Times New Roman"/>
                <w:sz w:val="20"/>
              </w:rPr>
              <w:t xml:space="preserve">0,00308</w:t>
            </w:r>
            <w:r>
              <w:rPr>
                <w:rFonts w:ascii="Times New Roman" w:hAnsi="Times New Roman" w:eastAsia="Times New Roman"/>
                <w:sz w:val="20"/>
                <w:i/>
              </w:rPr>
              <w:t xml:space="preserve">*</w:t>
            </w:r>
          </w:p>
        </w:tc>
      </w:tr>
    </w:tbl>
    <w:p>
      <w:pPr>
        <w:pStyle w:val="TableNote"/>
      </w:pPr>
      <w:r>
        <w:rPr>
          <w:rFonts w:ascii="Times New Roman" w:hAnsi="Times New Roman" w:eastAsia="Times New Roman"/>
          <w:sz w:val="20"/>
        </w:rPr>
        <w:t xml:space="preserve">Ghi chú. Hàng sự kiện dùng tercile FinBERT và so ngày có cả tin xấu, tin tốt; p của khối lượng theo Wilcoxon sau Holm là 0,00081. Bảng lấy từ </w:t>
      </w:r>
      <w:r>
        <w:rPr>
          <w:rFonts w:ascii="Times New Roman" w:hAnsi="Times New Roman" w:eastAsia="Times New Roman"/>
          <w:sz w:val="20"/>
        </w:rPr>
        <w:t xml:space="preserve">wald.csv</w:t>
      </w:r>
      <w:r>
        <w:rPr>
          <w:rFonts w:ascii="Times New Roman" w:hAnsi="Times New Roman" w:eastAsia="Times New Roman"/>
          <w:sz w:val="20"/>
        </w:rPr>
        <w:t xml:space="preserve">, </w:t>
      </w:r>
      <w:r>
        <w:rPr>
          <w:rFonts w:ascii="Times New Roman" w:hAnsi="Times New Roman" w:eastAsia="Times New Roman"/>
          <w:sz w:val="20"/>
        </w:rPr>
        <w:t xml:space="preserve">quantiles.csv</w:t>
      </w:r>
      <w:r>
        <w:rPr>
          <w:rFonts w:ascii="Times New Roman" w:hAnsi="Times New Roman" w:eastAsia="Times New Roman"/>
          <w:sz w:val="20"/>
        </w:rPr>
        <w:t xml:space="preserve">, </w:t>
      </w:r>
      <w:r>
        <w:rPr>
          <w:rFonts w:ascii="Times New Roman" w:hAnsi="Times New Roman" w:eastAsia="Times New Roman"/>
          <w:sz w:val="20"/>
        </w:rPr>
        <w:t xml:space="preserve">event_asymmetry.csv</w:t>
      </w:r>
      <w:r>
        <w:rPr>
          <w:rFonts w:ascii="Times New Roman" w:hAnsi="Times New Roman" w:eastAsia="Times New Roman"/>
          <w:sz w:val="20"/>
        </w:rPr>
        <w:t xml:space="preserve">. </w:t>
      </w:r>
      <w:r>
        <w:rPr>
          <w:rFonts w:ascii="Times New Roman" w:hAnsi="Times New Roman" w:eastAsia="Times New Roman"/>
          <w:sz w:val="20"/>
          <w:b/>
        </w:rPr>
        <w:t xml:space="preserve">*, </w:t>
      </w:r>
      <w:r>
        <w:rPr>
          <w:rFonts w:ascii="Times New Roman" w:hAnsi="Times New Roman" w:eastAsia="Times New Roman"/>
          <w:sz w:val="20"/>
        </w:rPr>
        <w:t xml:space="preserve">, * biểu thị mức ý nghĩa thống kê lần lượt là 1%, 5% và 10%. Tính toán của nhóm tác giả.</w:t>
      </w:r>
    </w:p>
    <w:p>
      <w:pPr>
        <w:pStyle w:val="Normal"/>
      </w:pPr>
      <w:r>
        <w:rPr>
          <w:rFonts w:ascii="Times New Roman" w:hAnsi="Times New Roman" w:eastAsia="Times New Roman"/>
          <w:sz w:val="26"/>
        </w:rPr>
        <w:t xml:space="preserve">Chưa tìm thấy khác biệt giá có ý nghĩa thống kê giữa hai sắc thái, kể cả ở các phân vị lợi suất Bitcoin. Ngược lại, phản ứng khối lượng của tin xấu thấp hơn tin tốt khoảng 0,030 đơn vị log trong bốn giờ, có ý nghĩa sau Holm và cùng chiều theo Wilcoxon. Điều này có nghĩa là mức giao dịch quanh tin tốt cao hơn trong mẫu ngày ghép cặp, chứ không có nghĩa tin tốt gây ra giao dịch: giờ có tin dày và các sự kiện đồng thời có thể cùng tác động. Dấu này khác với trực giác rằng tin xấu luôn gây phản ứng mạnh hơn, và chưa đủ để bác bỏ cơ chế bất đối xứng nêu trong tóm tắt của Chou và cộng sự (2023) hoặc Gür và Ünal (2026), vì các nghiên cứu dùng thị trường và biến mục tiêu khác. Hình 1 cho thấy CAR của ba nhóm sắc thái thay đổi theo cửa sổ, nhưng chưa cung cấp bằng chứng có ý nghĩa về chênh lệch giá.</w:t>
      </w:r>
    </w:p>
    <w:p>
      <w:pPr>
        <w:jc w:val="center"/>
      </w:pPr>
      <w:r>
        <w:drawing>
          <wp:inline>
            <wp:extent cx="5600000" cy="3200000"/>
            <wp:docPr id="4" name="CAR cụm ngày theo sắc thái FinBERT"/>
            <a:graphic>
              <a:graphicData uri="http://schemas.openxmlformats.org/drawingml/2006/picture">
                <pic:pic>
                  <pic:nvPicPr>
                    <pic:cNvPr id="0" name="event_car_by_tone.png"/>
                    <pic:cNvPicPr/>
                  </pic:nvPicPr>
                  <pic:blipFill>
                    <a:blip r:embed="rId4"/>
                    <a:stretch>
                      <a:fillRect/>
                    </a:stretch>
                  </pic:blipFill>
                  <pic:spPr>
                    <a:xfrm>
                      <a:off x="0" y="0"/>
                      <a:ext cx="5600000" cy="3200000"/>
                    </a:xfrm>
                    <a:prstGeom prst="rect">
                      <a:avLst/>
                    </a:prstGeom>
                  </pic:spPr>
                </pic:pic>
              </a:graphicData>
            </a:graphic>
          </wp:inline>
        </w:drawing>
      </w:r>
    </w:p>
    <w:p>
      <w:pPr>
        <w:pStyle w:val="Caption"/>
        <w:jc w:val="center"/>
      </w:pPr>
      <w:r>
        <w:rPr>
          <w:rFonts w:ascii="Times New Roman" w:hAnsi="Times New Roman" w:eastAsia="Times New Roman"/>
          <w:sz w:val="26"/>
        </w:rPr>
        <w:t xml:space="preserve">Hình 1. CAR Cụm Ngày Theo Sắc Thái FinBERT</w:t>
      </w:r>
    </w:p>
    <w:p>
      <w:pPr>
        <w:pStyle w:val="TableNote"/>
      </w:pPr>
      <w:r>
        <w:rPr>
          <w:rFonts w:ascii="Times New Roman" w:hAnsi="Times New Roman" w:eastAsia="Times New Roman"/>
          <w:sz w:val="20"/>
        </w:rPr>
        <w:t xml:space="preserve">Ghi chú. Hình từ dữ liệu sự kiện thật; các điểm là trung bình cụm ngày, không biểu thị khoảng tin cậy. Tính toán của nhóm tác giả.</w:t>
      </w:r>
    </w:p>
    <w:p>
      <w:pPr>
        <w:pStyle w:val="Normal"/>
      </w:pPr>
      <w:r>
        <w:rPr>
          <w:rFonts w:ascii="Times New Roman" w:hAnsi="Times New Roman" w:eastAsia="Times New Roman"/>
          <w:sz w:val="26"/>
        </w:rPr>
        <w:t xml:space="preserve">Bảng 6 xem phản ứng theo nhóm narrative. Mỗi ước lượng là CAR cụm theo ngày ở [0,4] giờ, tính trên tin đã thu và có thể có nhiều tin cùng một ngày.</w:t>
      </w:r>
    </w:p>
    <w:p>
      <w:pPr>
        <w:pStyle w:val="Caption"/>
        <w:keepNext/>
      </w:pPr>
      <w:r>
        <w:rPr>
          <w:rFonts w:ascii="Times New Roman" w:hAnsi="Times New Roman" w:eastAsia="Times New Roman"/>
          <w:sz w:val="26"/>
        </w:rPr>
        <w:t xml:space="preserve">Bảng 6</w:t>
      </w:r>
    </w:p>
    <w:p>
      <w:pPr>
        <w:pStyle w:val="Normal"/>
      </w:pPr>
      <w:r>
        <w:rPr>
          <w:rFonts w:ascii="Times New Roman" w:hAnsi="Times New Roman" w:eastAsia="Times New Roman"/>
          <w:sz w:val="26"/>
        </w:rPr>
        <w:t xml:space="preserve">Lợi Suất Bất Thường Theo Câu Chuyện Thị Trường</w:t>
      </w:r>
    </w:p>
    <w:tbl>
      <w:tblPr>
        <w:tblW w:w="9000" w:type="dxa"/>
        <w:tblLayout w:type="autofit"/>
        <w:tblBorders>
          <w:top w:val="single" w:sz="8" w:color="000000"/>
          <w:bottom w:val="single" w:sz="8" w:color="000000"/>
          <w:left w:val="nil"/>
          <w:right w:val="nil"/>
          <w:insideH w:val="nil"/>
          <w:insideV w:val="nil"/>
        </w:tblBorders>
      </w:tblPr>
      <w:tblGrid>
        <w:gridCol w:w="1500"/>
        <w:gridCol w:w="1500"/>
        <w:gridCol w:w="1500"/>
        <w:gridCol w:w="1500"/>
        <w:gridCol w:w="1500"/>
        <w:gridCol w:w="1500"/>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Nhóm tin</w:t>
            </w:r>
          </w:p>
        </w:tc>
        <w:tc>
          <w:tcPr>
            <w:tcBorders>
              <w:bottom w:val="single" w:sz="6" w:color="000000"/>
            </w:tcBorders>
          </w:tcPr>
          <w:p>
            <w:pPr>
              <w:pStyle w:val="TableText"/>
            </w:pPr>
            <w:r>
              <w:rPr>
                <w:rFonts w:ascii="Times New Roman" w:hAnsi="Times New Roman" w:eastAsia="Times New Roman"/>
                <w:sz w:val="20"/>
                <w:b/>
              </w:rPr>
              <w:t xml:space="preserve">Cặp tin–tài sản</w:t>
            </w:r>
          </w:p>
        </w:tc>
        <w:tc>
          <w:tcPr>
            <w:tcBorders>
              <w:bottom w:val="single" w:sz="6" w:color="000000"/>
            </w:tcBorders>
          </w:tcPr>
          <w:p>
            <w:pPr>
              <w:pStyle w:val="TableText"/>
            </w:pPr>
            <w:r>
              <w:rPr>
                <w:rFonts w:ascii="Times New Roman" w:hAnsi="Times New Roman" w:eastAsia="Times New Roman"/>
                <w:sz w:val="20"/>
                <w:b/>
              </w:rPr>
              <w:t xml:space="preserve">Ngày</w:t>
            </w:r>
          </w:p>
        </w:tc>
        <w:tc>
          <w:tcPr>
            <w:tcBorders>
              <w:bottom w:val="single" w:sz="6" w:color="000000"/>
            </w:tcBorders>
          </w:tcPr>
          <w:p>
            <w:pPr>
              <w:pStyle w:val="TableText"/>
            </w:pPr>
            <w:r>
              <w:rPr>
                <w:rFonts w:ascii="Times New Roman" w:hAnsi="Times New Roman" w:eastAsia="Times New Roman"/>
                <w:sz w:val="20"/>
                <w:b/>
              </w:rPr>
              <w:t xml:space="preserve">CAR trung bình (%)</w:t>
            </w:r>
          </w:p>
        </w:tc>
        <w:tc>
          <w:tcPr>
            <w:tcBorders>
              <w:bottom w:val="single" w:sz="6" w:color="000000"/>
            </w:tcBorders>
          </w:tcPr>
          <w:p>
            <w:pPr>
              <w:pStyle w:val="TableText"/>
            </w:pPr>
            <w:r>
              <w:rPr>
                <w:rFonts w:ascii="Times New Roman" w:hAnsi="Times New Roman" w:eastAsia="Times New Roman"/>
                <w:sz w:val="20"/>
                <w:b/>
              </w:rPr>
              <w:t xml:space="preserve">p thô</w:t>
            </w:r>
          </w:p>
        </w:tc>
        <w:tc>
          <w:tcPr>
            <w:tcBorders>
              <w:bottom w:val="single" w:sz="6" w:color="000000"/>
            </w:tcBorders>
          </w:tcPr>
          <w:p>
            <w:pPr>
              <w:pStyle w:val="TableText"/>
            </w:pPr>
            <w:r>
              <w:rPr>
                <w:rFonts w:ascii="Times New Roman" w:hAnsi="Times New Roman" w:eastAsia="Times New Roman"/>
                <w:sz w:val="20"/>
                <w:b/>
              </w:rPr>
              <w:t xml:space="preserve">p Holm</w:t>
            </w:r>
          </w:p>
        </w:tc>
      </w:tr>
      <w:tr>
        <w:trPr>
          <w:cantSplit/>
        </w:trPr>
        <w:tc>
          <w:p>
            <w:pPr>
              <w:pStyle w:val="TableText"/>
            </w:pPr>
            <w:r>
              <w:rPr>
                <w:rFonts w:ascii="Times New Roman" w:hAnsi="Times New Roman" w:eastAsia="Times New Roman"/>
                <w:sz w:val="20"/>
              </w:rPr>
              <w:t xml:space="preserve">Toàn bộ</w:t>
            </w:r>
          </w:p>
        </w:tc>
        <w:tc>
          <w:p>
            <w:pPr>
              <w:pStyle w:val="TableText"/>
            </w:pPr>
            <w:r>
              <w:rPr>
                <w:rFonts w:ascii="Times New Roman" w:hAnsi="Times New Roman" w:eastAsia="Times New Roman"/>
                <w:sz w:val="20"/>
              </w:rPr>
              <w:t xml:space="preserve">38.951</w:t>
            </w:r>
          </w:p>
        </w:tc>
        <w:tc>
          <w:p>
            <w:pPr>
              <w:pStyle w:val="TableText"/>
            </w:pPr>
            <w:r>
              <w:rPr>
                <w:rFonts w:ascii="Times New Roman" w:hAnsi="Times New Roman" w:eastAsia="Times New Roman"/>
                <w:sz w:val="20"/>
              </w:rPr>
              <w:t xml:space="preserve">772</w:t>
            </w:r>
          </w:p>
        </w:tc>
        <w:tc>
          <w:p>
            <w:pPr>
              <w:pStyle w:val="TableText"/>
            </w:pPr>
            <w:r>
              <w:rPr>
                <w:rFonts w:ascii="Times New Roman" w:hAnsi="Times New Roman" w:eastAsia="Times New Roman"/>
                <w:sz w:val="20"/>
              </w:rPr>
              <w:t xml:space="preserve">0,03715</w:t>
            </w:r>
          </w:p>
        </w:tc>
        <w:tc>
          <w:p>
            <w:pPr>
              <w:pStyle w:val="TableText"/>
            </w:pPr>
            <w:r>
              <w:rPr>
                <w:rFonts w:ascii="Times New Roman" w:hAnsi="Times New Roman" w:eastAsia="Times New Roman"/>
                <w:sz w:val="20"/>
              </w:rPr>
              <w:t xml:space="preserve">0,2141</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Quy định (regulation)</w:t>
            </w:r>
          </w:p>
        </w:tc>
        <w:tc>
          <w:p>
            <w:pPr>
              <w:pStyle w:val="TableText"/>
            </w:pPr>
            <w:r>
              <w:rPr>
                <w:rFonts w:ascii="Times New Roman" w:hAnsi="Times New Roman" w:eastAsia="Times New Roman"/>
                <w:sz w:val="20"/>
              </w:rPr>
              <w:t xml:space="preserve">3.837</w:t>
            </w:r>
          </w:p>
        </w:tc>
        <w:tc>
          <w:p>
            <w:pPr>
              <w:pStyle w:val="TableText"/>
            </w:pPr>
            <w:r>
              <w:rPr>
                <w:rFonts w:ascii="Times New Roman" w:hAnsi="Times New Roman" w:eastAsia="Times New Roman"/>
                <w:sz w:val="20"/>
              </w:rPr>
              <w:t xml:space="preserve">520</w:t>
            </w:r>
          </w:p>
        </w:tc>
        <w:tc>
          <w:p>
            <w:pPr>
              <w:pStyle w:val="TableText"/>
            </w:pPr>
            <w:r>
              <w:rPr>
                <w:rFonts w:ascii="Times New Roman" w:hAnsi="Times New Roman" w:eastAsia="Times New Roman"/>
                <w:sz w:val="20"/>
              </w:rPr>
              <w:t xml:space="preserve">0,04515</w:t>
            </w:r>
          </w:p>
        </w:tc>
        <w:tc>
          <w:p>
            <w:pPr>
              <w:pStyle w:val="TableText"/>
            </w:pPr>
            <w:r>
              <w:rPr>
                <w:rFonts w:ascii="Times New Roman" w:hAnsi="Times New Roman" w:eastAsia="Times New Roman"/>
                <w:sz w:val="20"/>
              </w:rPr>
              <w:t xml:space="preserve">0,2126</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An ninh/vụ tấn công (security/hacks)</w:t>
            </w:r>
          </w:p>
        </w:tc>
        <w:tc>
          <w:p>
            <w:pPr>
              <w:pStyle w:val="TableText"/>
            </w:pPr>
            <w:r>
              <w:rPr>
                <w:rFonts w:ascii="Times New Roman" w:hAnsi="Times New Roman" w:eastAsia="Times New Roman"/>
                <w:sz w:val="20"/>
              </w:rPr>
              <w:t xml:space="preserve">4.348</w:t>
            </w:r>
          </w:p>
        </w:tc>
        <w:tc>
          <w:p>
            <w:pPr>
              <w:pStyle w:val="TableText"/>
            </w:pPr>
            <w:r>
              <w:rPr>
                <w:rFonts w:ascii="Times New Roman" w:hAnsi="Times New Roman" w:eastAsia="Times New Roman"/>
                <w:sz w:val="20"/>
              </w:rPr>
              <w:t xml:space="preserve">376</w:t>
            </w:r>
          </w:p>
        </w:tc>
        <w:tc>
          <w:p>
            <w:pPr>
              <w:pStyle w:val="TableText"/>
            </w:pPr>
            <w:r>
              <w:rPr>
                <w:rFonts w:ascii="Times New Roman" w:hAnsi="Times New Roman" w:eastAsia="Times New Roman"/>
                <w:sz w:val="20"/>
              </w:rPr>
              <w:t xml:space="preserve">−0,01637</w:t>
            </w:r>
          </w:p>
        </w:tc>
        <w:tc>
          <w:p>
            <w:pPr>
              <w:pStyle w:val="TableText"/>
            </w:pPr>
            <w:r>
              <w:rPr>
                <w:rFonts w:ascii="Times New Roman" w:hAnsi="Times New Roman" w:eastAsia="Times New Roman"/>
                <w:sz w:val="20"/>
              </w:rPr>
              <w:t xml:space="preserve">0,5987</w:t>
            </w:r>
          </w:p>
        </w:tc>
        <w:tc>
          <w:p>
            <w:pPr>
              <w:pStyle w:val="TableText"/>
            </w:pPr>
            <w:r>
              <w:rPr>
                <w:rFonts w:ascii="Times New Roman" w:hAnsi="Times New Roman" w:eastAsia="Times New Roman"/>
                <w:sz w:val="20"/>
              </w:rPr>
              <w:t xml:space="preserve">1,0000</w:t>
            </w:r>
          </w:p>
        </w:tc>
      </w:tr>
      <w:tr>
        <w:trPr>
          <w:cantSplit/>
        </w:trPr>
        <w:tc>
          <w:p>
            <w:pPr>
              <w:pStyle w:val="TableText"/>
            </w:pPr>
            <w:r>
              <w:rPr>
                <w:rFonts w:ascii="Times New Roman" w:hAnsi="Times New Roman" w:eastAsia="Times New Roman"/>
                <w:sz w:val="20"/>
              </w:rPr>
              <w:t xml:space="preserve">ETF/tổ chức (ETF/institutional)</w:t>
            </w:r>
          </w:p>
        </w:tc>
        <w:tc>
          <w:p>
            <w:pPr>
              <w:pStyle w:val="TableText"/>
            </w:pPr>
            <w:r>
              <w:rPr>
                <w:rFonts w:ascii="Times New Roman" w:hAnsi="Times New Roman" w:eastAsia="Times New Roman"/>
                <w:sz w:val="20"/>
              </w:rPr>
              <w:t xml:space="preserve">10.877</w:t>
            </w:r>
          </w:p>
        </w:tc>
        <w:tc>
          <w:p>
            <w:pPr>
              <w:pStyle w:val="TableText"/>
            </w:pPr>
            <w:r>
              <w:rPr>
                <w:rFonts w:ascii="Times New Roman" w:hAnsi="Times New Roman" w:eastAsia="Times New Roman"/>
                <w:sz w:val="20"/>
              </w:rPr>
              <w:t xml:space="preserve">510</w:t>
            </w:r>
          </w:p>
        </w:tc>
        <w:tc>
          <w:p>
            <w:pPr>
              <w:pStyle w:val="TableText"/>
            </w:pPr>
            <w:r>
              <w:rPr>
                <w:rFonts w:ascii="Times New Roman" w:hAnsi="Times New Roman" w:eastAsia="Times New Roman"/>
                <w:sz w:val="20"/>
              </w:rPr>
              <w:t xml:space="preserve">0,00693</w:t>
            </w:r>
          </w:p>
        </w:tc>
        <w:tc>
          <w:p>
            <w:pPr>
              <w:pStyle w:val="TableText"/>
            </w:pPr>
            <w:r>
              <w:rPr>
                <w:rFonts w:ascii="Times New Roman" w:hAnsi="Times New Roman" w:eastAsia="Times New Roman"/>
                <w:sz w:val="20"/>
              </w:rPr>
              <w:t xml:space="preserve">0,8260</w:t>
            </w:r>
          </w:p>
        </w:tc>
        <w:tc>
          <w:p>
            <w:pPr>
              <w:pStyle w:val="TableText"/>
            </w:pPr>
            <w:r>
              <w:rPr>
                <w:rFonts w:ascii="Times New Roman" w:hAnsi="Times New Roman" w:eastAsia="Times New Roman"/>
                <w:sz w:val="20"/>
              </w:rPr>
              <w:t xml:space="preserve">1,0000</w:t>
            </w:r>
          </w:p>
        </w:tc>
      </w:tr>
    </w:tbl>
    <w:p>
      <w:pPr>
        <w:pStyle w:val="TableNote"/>
      </w:pPr>
      <w:r>
        <w:rPr>
          <w:rFonts w:ascii="Times New Roman" w:hAnsi="Times New Roman" w:eastAsia="Times New Roman"/>
          <w:sz w:val="20"/>
        </w:rPr>
        <w:t xml:space="preserve">Ghi chú. Trung bình cụm ngày và p t từ </w:t>
      </w:r>
      <w:r>
        <w:rPr>
          <w:rFonts w:ascii="Times New Roman" w:hAnsi="Times New Roman" w:eastAsia="Times New Roman"/>
          <w:sz w:val="20"/>
        </w:rPr>
        <w:t xml:space="preserve">event_tests.csv</w:t>
      </w:r>
      <w:r>
        <w:rPr>
          <w:rFonts w:ascii="Times New Roman" w:hAnsi="Times New Roman" w:eastAsia="Times New Roman"/>
          <w:sz w:val="20"/>
        </w:rPr>
        <w:t xml:space="preserve">; cùng tin có thể tham gia nhiều cửa sổ nhưng mỗi hàng là một narrative xác định. </w:t>
      </w:r>
      <w:r>
        <w:rPr>
          <w:rFonts w:ascii="Times New Roman" w:hAnsi="Times New Roman" w:eastAsia="Times New Roman"/>
          <w:sz w:val="20"/>
          <w:b/>
        </w:rPr>
        <w:t xml:space="preserve">*, </w:t>
      </w:r>
      <w:r>
        <w:rPr>
          <w:rFonts w:ascii="Times New Roman" w:hAnsi="Times New Roman" w:eastAsia="Times New Roman"/>
          <w:sz w:val="20"/>
        </w:rPr>
        <w:t xml:space="preserve">, * biểu thị mức ý nghĩa thống kê lần lượt là 1%, 5% và 10%. Tính toán của nhóm tác giả.</w:t>
      </w:r>
    </w:p>
    <w:p>
      <w:pPr>
        <w:pStyle w:val="Normal"/>
      </w:pPr>
      <w:r>
        <w:rPr>
          <w:rFonts w:ascii="Times New Roman" w:hAnsi="Times New Roman" w:eastAsia="Times New Roman"/>
          <w:sz w:val="26"/>
        </w:rPr>
        <w:t xml:space="preserve">Các dấu phù hợp một số cách diễn giải thông thường, nhưng không nhóm nào có ý nghĩa sau điều chỉnh kiểm định bội. Điều này có nghĩa là chưa thể xếp hạng narrative theo tác động giá; mức 0,045% của nhóm quy định không thể được xem là lợi nhuận có thể khai thác. Kết quả hiện tại chưa xác nhận hay phủ định kết luận của Walker (2024) và Khaksar và cộng sự (2026), vì họ dùng nguồn tin và thước đo narrative khác. Độ vững với attention mềm, loại tin suy đoán giá và trọng số nguồn cũng chưa đủ dữ liệu đồng bộ để kết luận. [[CHỜ_DỮ_LIỆU: bảng robustness_source_weighted_exclude_price]]</w:t>
      </w:r>
    </w:p>
    <w:p>
      <w:pPr>
        <w:pStyle w:val="Normal"/>
      </w:pPr>
      <w:r>
        <w:rPr>
          <w:rFonts w:ascii="Times New Roman" w:hAnsi="Times New Roman" w:eastAsia="Times New Roman"/>
          <w:sz w:val="26"/>
        </w:rPr>
        <w:t xml:space="preserve">RQ4 được kiểm tra qua phản ứng trước tin và qua thay đổi đồng hồ. CAR thuần trước tin [−4,−2] giờ bằng −0,01560% trên 772 ngày, p thô 0,5206 và p Holm 1,0000; chưa tìm thấy dịch chuyển giá trung bình có ý nghĩa. Tuy nhiên, độ lớn lợi suất bất thường và log khối lượng bất thường trước tin lần lượt bằng 0,1190% và 0,1522, với p Holm 0,00682 và dưới 0,00001. Điều này có nghĩa là hoạt động giao dịch có thể tăng trước mốc công bố mà không tạo lợi suất có hướng; sự chồng lấp giữa các tin là một lời giải thích khả dĩ, không thể gọi đó là rò rỉ thông tin. Bảng 7 cho thấy cùng những tin có hai đồng hồ tạo kết quả khác nhau ra sao.</w:t>
      </w:r>
    </w:p>
    <w:p>
      <w:pPr>
        <w:pStyle w:val="Caption"/>
        <w:keepNext/>
      </w:pPr>
      <w:r>
        <w:rPr>
          <w:rFonts w:ascii="Times New Roman" w:hAnsi="Times New Roman" w:eastAsia="Times New Roman"/>
          <w:sz w:val="26"/>
        </w:rPr>
        <w:t xml:space="preserve">Bảng 7</w:t>
      </w:r>
    </w:p>
    <w:p>
      <w:pPr>
        <w:pStyle w:val="Normal"/>
      </w:pPr>
      <w:r>
        <w:rPr>
          <w:rFonts w:ascii="Times New Roman" w:hAnsi="Times New Roman" w:eastAsia="Times New Roman"/>
          <w:sz w:val="26"/>
        </w:rPr>
        <w:t xml:space="preserve">Độ Nhạy Của CAR Theo Đồng Hồ Công Bố</w:t>
      </w:r>
    </w:p>
    <w:tbl>
      <w:tblPr>
        <w:tblW w:w="9000" w:type="dxa"/>
        <w:tblLayout w:type="autofit"/>
        <w:tblBorders>
          <w:top w:val="single" w:sz="8" w:color="000000"/>
          <w:bottom w:val="single" w:sz="8" w:color="000000"/>
          <w:left w:val="nil"/>
          <w:right w:val="nil"/>
          <w:insideH w:val="nil"/>
          <w:insideV w:val="nil"/>
        </w:tblBorders>
      </w:tblPr>
      <w:tblGrid>
        <w:gridCol w:w="1285"/>
        <w:gridCol w:w="1285"/>
        <w:gridCol w:w="1285"/>
        <w:gridCol w:w="1285"/>
        <w:gridCol w:w="1285"/>
        <w:gridCol w:w="1285"/>
        <w:gridCol w:w="1285"/>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Cửa sổ</w:t>
            </w:r>
          </w:p>
        </w:tc>
        <w:tc>
          <w:tcPr>
            <w:tcBorders>
              <w:bottom w:val="single" w:sz="6" w:color="000000"/>
            </w:tcBorders>
          </w:tcPr>
          <w:p>
            <w:pPr>
              <w:pStyle w:val="TableText"/>
            </w:pPr>
            <w:r>
              <w:rPr>
                <w:rFonts w:ascii="Times New Roman" w:hAnsi="Times New Roman" w:eastAsia="Times New Roman"/>
                <w:sz w:val="20"/>
                <w:b/>
              </w:rPr>
              <w:t xml:space="preserve">Cặp/ngày</w:t>
            </w:r>
          </w:p>
        </w:tc>
        <w:tc>
          <w:tcPr>
            <w:tcBorders>
              <w:bottom w:val="single" w:sz="6" w:color="000000"/>
            </w:tcBorders>
          </w:tcPr>
          <w:p>
            <w:pPr>
              <w:pStyle w:val="TableText"/>
            </w:pPr>
            <w:r>
              <w:rPr>
                <w:rFonts w:ascii="Times New Roman" w:hAnsi="Times New Roman" w:eastAsia="Times New Roman"/>
                <w:sz w:val="20"/>
                <w:b/>
              </w:rPr>
              <w:t xml:space="preserve">CAR giờ đăng (%)</w:t>
            </w:r>
          </w:p>
        </w:tc>
        <w:tc>
          <w:tcPr>
            <w:tcBorders>
              <w:bottom w:val="single" w:sz="6" w:color="000000"/>
            </w:tcBorders>
          </w:tcPr>
          <w:p>
            <w:pPr>
              <w:pStyle w:val="TableText"/>
            </w:pPr>
            <w:r>
              <w:rPr>
                <w:rFonts w:ascii="Times New Roman" w:hAnsi="Times New Roman" w:eastAsia="Times New Roman"/>
                <w:sz w:val="20"/>
                <w:b/>
              </w:rPr>
              <w:t xml:space="preserve">CAR giờ thấy (%)</w:t>
            </w:r>
          </w:p>
        </w:tc>
        <w:tc>
          <w:tcPr>
            <w:tcBorders>
              <w:bottom w:val="single" w:sz="6" w:color="000000"/>
            </w:tcBorders>
          </w:tcPr>
          <w:p>
            <w:pPr>
              <w:pStyle w:val="TableText"/>
            </w:pPr>
            <w:r>
              <w:rPr>
                <w:rFonts w:ascii="Times New Roman" w:hAnsi="Times New Roman" w:eastAsia="Times New Roman"/>
                <w:sz w:val="20"/>
                <w:b/>
              </w:rPr>
              <w:t xml:space="preserve">p giờ đăng Holm</w:t>
            </w:r>
          </w:p>
        </w:tc>
        <w:tc>
          <w:tcPr>
            <w:tcBorders>
              <w:bottom w:val="single" w:sz="6" w:color="000000"/>
            </w:tcBorders>
          </w:tcPr>
          <w:p>
            <w:pPr>
              <w:pStyle w:val="TableText"/>
            </w:pPr>
            <w:r>
              <w:rPr>
                <w:rFonts w:ascii="Times New Roman" w:hAnsi="Times New Roman" w:eastAsia="Times New Roman"/>
                <w:sz w:val="20"/>
                <w:b/>
              </w:rPr>
              <w:t xml:space="preserve">p giờ thấy Holm</w:t>
            </w:r>
          </w:p>
        </w:tc>
        <w:tc>
          <w:tcPr>
            <w:tcBorders>
              <w:bottom w:val="single" w:sz="6" w:color="000000"/>
            </w:tcBorders>
          </w:tcPr>
          <w:p>
            <w:pPr>
              <w:pStyle w:val="TableText"/>
            </w:pPr>
            <w:r>
              <w:rPr>
                <w:rFonts w:ascii="Times New Roman" w:hAnsi="Times New Roman" w:eastAsia="Times New Roman"/>
                <w:sz w:val="20"/>
                <w:b/>
              </w:rPr>
              <w:t xml:space="preserve">p chênh ghép cặp Holm</w:t>
            </w:r>
          </w:p>
        </w:tc>
      </w:tr>
      <w:tr>
        <w:trPr>
          <w:cantSplit/>
        </w:trPr>
        <w:tc>
          <w:p>
            <w:pPr>
              <w:pStyle w:val="TableText"/>
            </w:pPr>
            <w:r>
              <w:rPr>
                <w:rFonts w:ascii="Times New Roman" w:hAnsi="Times New Roman" w:eastAsia="Times New Roman"/>
                <w:sz w:val="20"/>
              </w:rPr>
              <w:t xml:space="preserve">[0,1] giờ</w:t>
            </w:r>
          </w:p>
        </w:tc>
        <w:tc>
          <w:p>
            <w:pPr>
              <w:pStyle w:val="TableText"/>
            </w:pPr>
            <w:r>
              <w:rPr>
                <w:rFonts w:ascii="Times New Roman" w:hAnsi="Times New Roman" w:eastAsia="Times New Roman"/>
                <w:sz w:val="20"/>
              </w:rPr>
              <w:t xml:space="preserve">39/32</w:t>
            </w:r>
          </w:p>
        </w:tc>
        <w:tc>
          <w:p>
            <w:pPr>
              <w:pStyle w:val="TableText"/>
            </w:pPr>
            <w:r>
              <w:rPr>
                <w:rFonts w:ascii="Times New Roman" w:hAnsi="Times New Roman" w:eastAsia="Times New Roman"/>
                <w:sz w:val="20"/>
              </w:rPr>
              <w:t xml:space="preserve">0,03999</w:t>
            </w:r>
          </w:p>
        </w:tc>
        <w:tc>
          <w:p>
            <w:pPr>
              <w:pStyle w:val="TableText"/>
            </w:pPr>
            <w:r>
              <w:rPr>
                <w:rFonts w:ascii="Times New Roman" w:hAnsi="Times New Roman" w:eastAsia="Times New Roman"/>
                <w:sz w:val="20"/>
              </w:rPr>
              <w:t xml:space="preserve">−0,12510</w:t>
            </w:r>
          </w:p>
        </w:tc>
        <w:tc>
          <w:p>
            <w:pPr>
              <w:pStyle w:val="TableText"/>
            </w:pPr>
            <w:r>
              <w:rPr>
                <w:rFonts w:ascii="Times New Roman" w:hAnsi="Times New Roman" w:eastAsia="Times New Roman"/>
                <w:sz w:val="20"/>
              </w:rPr>
              <w:t xml:space="preserve">0,7641</w:t>
            </w:r>
          </w:p>
        </w:tc>
        <w:tc>
          <w:p>
            <w:pPr>
              <w:pStyle w:val="TableText"/>
            </w:pPr>
            <w:r>
              <w:rPr>
                <w:rFonts w:ascii="Times New Roman" w:hAnsi="Times New Roman" w:eastAsia="Times New Roman"/>
                <w:sz w:val="20"/>
              </w:rPr>
              <w:t xml:space="preserve">0,1870</w:t>
            </w:r>
          </w:p>
        </w:tc>
        <w:tc>
          <w:p>
            <w:pPr>
              <w:pStyle w:val="TableText"/>
            </w:pPr>
            <w:r>
              <w:rPr>
                <w:rFonts w:ascii="Times New Roman" w:hAnsi="Times New Roman" w:eastAsia="Times New Roman"/>
                <w:sz w:val="20"/>
              </w:rPr>
              <w:t xml:space="preserve">0,4466</w:t>
            </w:r>
          </w:p>
        </w:tc>
      </w:tr>
      <w:tr>
        <w:trPr>
          <w:cantSplit/>
        </w:trPr>
        <w:tc>
          <w:p>
            <w:pPr>
              <w:pStyle w:val="TableText"/>
            </w:pPr>
            <w:r>
              <w:rPr>
                <w:rFonts w:ascii="Times New Roman" w:hAnsi="Times New Roman" w:eastAsia="Times New Roman"/>
                <w:sz w:val="20"/>
              </w:rPr>
              <w:t xml:space="preserve">[0,4] giờ</w:t>
            </w:r>
          </w:p>
        </w:tc>
        <w:tc>
          <w:p>
            <w:pPr>
              <w:pStyle w:val="TableText"/>
            </w:pPr>
            <w:r>
              <w:rPr>
                <w:rFonts w:ascii="Times New Roman" w:hAnsi="Times New Roman" w:eastAsia="Times New Roman"/>
                <w:sz w:val="20"/>
              </w:rPr>
              <w:t xml:space="preserve">39/32</w:t>
            </w:r>
          </w:p>
        </w:tc>
        <w:tc>
          <w:p>
            <w:pPr>
              <w:pStyle w:val="TableText"/>
            </w:pPr>
            <w:r>
              <w:rPr>
                <w:rFonts w:ascii="Times New Roman" w:hAnsi="Times New Roman" w:eastAsia="Times New Roman"/>
                <w:sz w:val="20"/>
              </w:rPr>
              <w:t xml:space="preserve">−0,16080</w:t>
            </w:r>
          </w:p>
        </w:tc>
        <w:tc>
          <w:p>
            <w:pPr>
              <w:pStyle w:val="TableText"/>
            </w:pPr>
            <w:r>
              <w:rPr>
                <w:rFonts w:ascii="Times New Roman" w:hAnsi="Times New Roman" w:eastAsia="Times New Roman"/>
                <w:sz w:val="20"/>
              </w:rPr>
              <w:t xml:space="preserve">−0,19150</w:t>
            </w:r>
          </w:p>
        </w:tc>
        <w:tc>
          <w:p>
            <w:pPr>
              <w:pStyle w:val="TableText"/>
            </w:pPr>
            <w:r>
              <w:rPr>
                <w:rFonts w:ascii="Times New Roman" w:hAnsi="Times New Roman" w:eastAsia="Times New Roman"/>
                <w:sz w:val="20"/>
              </w:rPr>
              <w:t xml:space="preserve">0,7641</w:t>
            </w:r>
          </w:p>
        </w:tc>
        <w:tc>
          <w:p>
            <w:pPr>
              <w:pStyle w:val="TableText"/>
            </w:pPr>
            <w:r>
              <w:rPr>
                <w:rFonts w:ascii="Times New Roman" w:hAnsi="Times New Roman" w:eastAsia="Times New Roman"/>
                <w:sz w:val="20"/>
              </w:rPr>
              <w:t xml:space="preserve">0,2236</w:t>
            </w:r>
          </w:p>
        </w:tc>
        <w:tc>
          <w:p>
            <w:pPr>
              <w:pStyle w:val="TableText"/>
            </w:pPr>
            <w:r>
              <w:rPr>
                <w:rFonts w:ascii="Times New Roman" w:hAnsi="Times New Roman" w:eastAsia="Times New Roman"/>
                <w:sz w:val="20"/>
              </w:rPr>
              <w:t xml:space="preserve">0,8896</w:t>
            </w:r>
          </w:p>
        </w:tc>
      </w:tr>
      <w:tr>
        <w:trPr>
          <w:cantSplit/>
        </w:trPr>
        <w:tc>
          <w:p>
            <w:pPr>
              <w:pStyle w:val="TableText"/>
            </w:pPr>
            <w:r>
              <w:rPr>
                <w:rFonts w:ascii="Times New Roman" w:hAnsi="Times New Roman" w:eastAsia="Times New Roman"/>
                <w:sz w:val="20"/>
              </w:rPr>
              <w:t xml:space="preserve">[0,24] giờ</w:t>
            </w:r>
          </w:p>
        </w:tc>
        <w:tc>
          <w:p>
            <w:pPr>
              <w:pStyle w:val="TableText"/>
            </w:pPr>
            <w:r>
              <w:rPr>
                <w:rFonts w:ascii="Times New Roman" w:hAnsi="Times New Roman" w:eastAsia="Times New Roman"/>
                <w:sz w:val="20"/>
              </w:rPr>
              <w:t xml:space="preserve">39/32</w:t>
            </w:r>
          </w:p>
        </w:tc>
        <w:tc>
          <w:p>
            <w:pPr>
              <w:pStyle w:val="TableText"/>
            </w:pPr>
            <w:r>
              <w:rPr>
                <w:rFonts w:ascii="Times New Roman" w:hAnsi="Times New Roman" w:eastAsia="Times New Roman"/>
                <w:sz w:val="20"/>
              </w:rPr>
              <w:t xml:space="preserve">−0,46330</w:t>
            </w:r>
          </w:p>
        </w:tc>
        <w:tc>
          <w:p>
            <w:pPr>
              <w:pStyle w:val="TableText"/>
            </w:pPr>
            <w:r>
              <w:rPr>
                <w:rFonts w:ascii="Times New Roman" w:hAnsi="Times New Roman" w:eastAsia="Times New Roman"/>
                <w:sz w:val="20"/>
              </w:rPr>
              <w:t xml:space="preserve">−1,02130**</w:t>
            </w:r>
          </w:p>
        </w:tc>
        <w:tc>
          <w:p>
            <w:pPr>
              <w:pStyle w:val="TableText"/>
            </w:pPr>
            <w:r>
              <w:rPr>
                <w:rFonts w:ascii="Times New Roman" w:hAnsi="Times New Roman" w:eastAsia="Times New Roman"/>
                <w:sz w:val="20"/>
              </w:rPr>
              <w:t xml:space="preserve">0,6869</w:t>
            </w:r>
          </w:p>
        </w:tc>
        <w:tc>
          <w:p>
            <w:pPr>
              <w:pStyle w:val="TableText"/>
            </w:pPr>
            <w:r>
              <w:rPr>
                <w:rFonts w:ascii="Times New Roman" w:hAnsi="Times New Roman" w:eastAsia="Times New Roman"/>
                <w:sz w:val="20"/>
              </w:rPr>
              <w:t xml:space="preserve">0,0406</w:t>
            </w:r>
          </w:p>
        </w:tc>
        <w:tc>
          <w:p>
            <w:pPr>
              <w:pStyle w:val="TableText"/>
            </w:pPr>
            <w:r>
              <w:rPr>
                <w:rFonts w:ascii="Times New Roman" w:hAnsi="Times New Roman" w:eastAsia="Times New Roman"/>
                <w:sz w:val="20"/>
              </w:rPr>
              <w:t xml:space="preserve">0,2009</w:t>
            </w:r>
          </w:p>
        </w:tc>
      </w:tr>
    </w:tbl>
    <w:p>
      <w:pPr>
        <w:pStyle w:val="TableNote"/>
      </w:pPr>
      <w:r>
        <w:rPr>
          <w:rFonts w:ascii="Times New Roman" w:hAnsi="Times New Roman" w:eastAsia="Times New Roman"/>
          <w:sz w:val="20"/>
        </w:rPr>
        <w:t xml:space="preserve">Ghi chú. 39 cặp thuộc 37 tin canonical trên 32 ngày; </w:t>
      </w:r>
      <w:r>
        <w:rPr>
          <w:rFonts w:ascii="Times New Roman" w:hAnsi="Times New Roman" w:eastAsia="Times New Roman"/>
          <w:sz w:val="20"/>
        </w:rPr>
        <w:t xml:space="preserve">published_at_utc</w:t>
      </w:r>
      <w:r>
        <w:rPr>
          <w:rFonts w:ascii="Times New Roman" w:hAnsi="Times New Roman" w:eastAsia="Times New Roman"/>
          <w:sz w:val="20"/>
        </w:rPr>
        <w:t xml:space="preserve"> và </w:t>
      </w:r>
      <w:r>
        <w:rPr>
          <w:rFonts w:ascii="Times New Roman" w:hAnsi="Times New Roman" w:eastAsia="Times New Roman"/>
          <w:sz w:val="20"/>
        </w:rPr>
        <w:t xml:space="preserve">seendate</w:t>
      </w:r>
      <w:r>
        <w:rPr>
          <w:rFonts w:ascii="Times New Roman" w:hAnsi="Times New Roman" w:eastAsia="Times New Roman"/>
          <w:sz w:val="20"/>
        </w:rPr>
        <w:t xml:space="preserve"> được áp dụng cho đúng cùng cặp tin–tài sản, từ </w:t>
      </w:r>
      <w:r>
        <w:rPr>
          <w:rFonts w:ascii="Times New Roman" w:hAnsi="Times New Roman" w:eastAsia="Times New Roman"/>
          <w:sz w:val="20"/>
        </w:rPr>
        <w:t xml:space="preserve">event_timing.csv</w:t>
      </w:r>
      <w:r>
        <w:rPr>
          <w:rFonts w:ascii="Times New Roman" w:hAnsi="Times New Roman" w:eastAsia="Times New Roman"/>
          <w:sz w:val="20"/>
        </w:rPr>
        <w:t xml:space="preserve">. Dấu </w:t>
      </w:r>
      <w:r>
        <w:rPr>
          <w:rFonts w:ascii="Times New Roman" w:hAnsi="Times New Roman" w:eastAsia="Times New Roman"/>
          <w:sz w:val="20"/>
          <w:b/>
        </w:rPr>
        <w:t xml:space="preserve"> ở CAR giờ thấy biểu thị p Holm của phản ứng so với 0, không phải p của chênh lệch hai đồng hồ. </w:t>
      </w:r>
      <w:r>
        <w:rPr>
          <w:rFonts w:ascii="Times New Roman" w:hAnsi="Times New Roman" w:eastAsia="Times New Roman"/>
          <w:sz w:val="20"/>
          <w:i/>
        </w:rPr>
        <w:t xml:space="preserve">, </w:t>
      </w:r>
      <w:r>
        <w:rPr>
          <w:rFonts w:ascii="Times New Roman" w:hAnsi="Times New Roman" w:eastAsia="Times New Roman"/>
          <w:sz w:val="20"/>
          <w:i/>
        </w:rPr>
        <w:t xml:space="preserve">, </w:t>
      </w:r>
      <w:r>
        <w:rPr>
          <w:rFonts w:ascii="Times New Roman" w:hAnsi="Times New Roman" w:eastAsia="Times New Roman"/>
          <w:sz w:val="20"/>
        </w:rPr>
        <w:t xml:space="preserve"> biểu thị mức ý nghĩa thống kê lần lượt là 1%, 5% và 10%. Tính toán của nhóm tác giả.</w:t>
      </w:r>
    </w:p>
    <w:p>
      <w:pPr>
        <w:pStyle w:val="Normal"/>
      </w:pPr>
      <w:r>
        <w:rPr>
          <w:rFonts w:ascii="Times New Roman" w:hAnsi="Times New Roman" w:eastAsia="Times New Roman"/>
          <w:sz w:val="26"/>
        </w:rPr>
        <w:t xml:space="preserve">Ở 24 giờ, kết quả có ý nghĩa khi tính từ giờ thấy tin nhưng không có ý nghĩa khi tính từ giờ đăng. Điều này có nghĩa là kết luận về một phản ứng khác 0 nhạy với lựa chọn mốc thời gian; kiểm định chênh lệch ghép cặp giữa hai cách đo lại có p Holm 0,2009, nên chưa đủ bằng chứng rằng chính sai lệch đồng hồ tạo ra mức chênh khác 0. Kết quả củng cố yêu cầu kiểm tra đồng hồ trước khi đưa ra tuyên bố giá dẫn tin hay tin dẫn giá. Chuỗi ngày có tin liên tục hiện chưa đủ 30 ngày cho VAR/Granger, vì vậy chưa đủ quan sát để kết luận chiều dự báo ở tần suất ngày. [[CHỜ_DỮ_LIỆU: bảng VAR_Granger_liên_tục]]</w:t>
      </w:r>
    </w:p>
    <w:p>
      <w:pPr>
        <w:pStyle w:val="Normal"/>
      </w:pPr>
      <w:r>
        <w:rPr>
          <w:rFonts w:ascii="Times New Roman" w:hAnsi="Times New Roman" w:eastAsia="Times New Roman"/>
          <w:sz w:val="26"/>
        </w:rPr>
        <w:t xml:space="preserve">Cuối cùng, Bảng 8 so cùng thuật toán Elastic Net trên 59 ngày kiểm tra Bitcoin có đủ đặc trưng và mục tiêu RV ngày sau. Đây là so sánh dự báo ghép cặp, nhưng phần kiểm định chỉ có một đoạn ngắn liên tục.</w:t>
      </w:r>
    </w:p>
    <w:p>
      <w:pPr>
        <w:pStyle w:val="Caption"/>
        <w:keepNext/>
      </w:pPr>
      <w:r>
        <w:rPr>
          <w:rFonts w:ascii="Times New Roman" w:hAnsi="Times New Roman" w:eastAsia="Times New Roman"/>
          <w:sz w:val="26"/>
        </w:rPr>
        <w:t xml:space="preserve">Bảng 8</w:t>
      </w:r>
    </w:p>
    <w:p>
      <w:pPr>
        <w:pStyle w:val="Normal"/>
      </w:pPr>
      <w:r>
        <w:rPr>
          <w:rFonts w:ascii="Times New Roman" w:hAnsi="Times New Roman" w:eastAsia="Times New Roman"/>
          <w:sz w:val="26"/>
        </w:rPr>
        <w:t xml:space="preserve">Dự Báo Biến Động Bitcoin Ngoài Mẫu, Kỳ Hạn Một Ngày</w:t>
      </w:r>
    </w:p>
    <w:tbl>
      <w:tblPr>
        <w:tblW w:w="9000" w:type="dxa"/>
        <w:tblLayout w:type="autofit"/>
        <w:tblBorders>
          <w:top w:val="single" w:sz="8" w:color="000000"/>
          <w:bottom w:val="single" w:sz="8" w:color="000000"/>
          <w:left w:val="nil"/>
          <w:right w:val="nil"/>
          <w:insideH w:val="nil"/>
          <w:insideV w:val="nil"/>
        </w:tblBorders>
      </w:tblPr>
      <w:tblGrid>
        <w:gridCol w:w="1800"/>
        <w:gridCol w:w="1800"/>
        <w:gridCol w:w="1800"/>
        <w:gridCol w:w="1800"/>
        <w:gridCol w:w="1800"/>
      </w:tblGrid>
      <w:tr>
        <w:trPr>
          <w:cantSplit/>
          <w:tblHeader w:val="true"/>
        </w:trPr>
        <w:tc>
          <w:tcPr>
            <w:tcBorders>
              <w:bottom w:val="single" w:sz="6" w:color="000000"/>
            </w:tcBorders>
          </w:tcPr>
          <w:p>
            <w:pPr>
              <w:pStyle w:val="TableText"/>
            </w:pPr>
            <w:r>
              <w:rPr>
                <w:rFonts w:ascii="Times New Roman" w:hAnsi="Times New Roman" w:eastAsia="Times New Roman"/>
                <w:sz w:val="20"/>
                <w:b/>
              </w:rPr>
              <w:t xml:space="preserve">Mô hình</w:t>
            </w:r>
          </w:p>
        </w:tc>
        <w:tc>
          <w:tcPr>
            <w:tcBorders>
              <w:bottom w:val="single" w:sz="6" w:color="000000"/>
            </w:tcBorders>
          </w:tcPr>
          <w:p>
            <w:pPr>
              <w:pStyle w:val="TableText"/>
            </w:pPr>
            <w:r>
              <w:rPr>
                <w:rFonts w:ascii="Times New Roman" w:hAnsi="Times New Roman" w:eastAsia="Times New Roman"/>
                <w:sz w:val="20"/>
                <w:b/>
              </w:rPr>
              <w:t xml:space="preserve">Ngày test</w:t>
            </w:r>
          </w:p>
        </w:tc>
        <w:tc>
          <w:tcPr>
            <w:tcBorders>
              <w:bottom w:val="single" w:sz="6" w:color="000000"/>
            </w:tcBorders>
          </w:tcPr>
          <w:p>
            <w:pPr>
              <w:pStyle w:val="TableText"/>
            </w:pPr>
            <w:r>
              <w:rPr>
                <w:rFonts w:ascii="Times New Roman" w:hAnsi="Times New Roman" w:eastAsia="Times New Roman"/>
                <w:sz w:val="20"/>
                <w:b/>
              </w:rPr>
              <w:t xml:space="preserve">RMSE</w:t>
            </w:r>
          </w:p>
        </w:tc>
        <w:tc>
          <w:tcPr>
            <w:tcBorders>
              <w:bottom w:val="single" w:sz="6" w:color="000000"/>
            </w:tcBorders>
          </w:tcPr>
          <w:p>
            <w:pPr>
              <w:pStyle w:val="TableText"/>
            </w:pPr>
            <w:r>
              <w:rPr>
                <w:rFonts w:ascii="Times New Roman" w:hAnsi="Times New Roman" w:eastAsia="Times New Roman"/>
                <w:sz w:val="20"/>
                <w:b/>
              </w:rPr>
              <w:t xml:space="preserve">R² OOS Campbell–Thompson</w:t>
            </w:r>
          </w:p>
        </w:tc>
        <w:tc>
          <w:tcPr>
            <w:tcBorders>
              <w:bottom w:val="single" w:sz="6" w:color="000000"/>
            </w:tcBorders>
          </w:tcPr>
          <w:p>
            <w:pPr>
              <w:pStyle w:val="TableText"/>
            </w:pPr>
            <w:r>
              <w:rPr>
                <w:rFonts w:ascii="Times New Roman" w:hAnsi="Times New Roman" w:eastAsia="Times New Roman"/>
                <w:sz w:val="20"/>
                <w:b/>
              </w:rPr>
              <w:t xml:space="preserve">Số ngày liên tục cho kiểm định</w:t>
            </w:r>
          </w:p>
        </w:tc>
      </w:tr>
      <w:tr>
        <w:trPr>
          <w:cantSplit/>
        </w:trPr>
        <w:tc>
          <w:p>
            <w:pPr>
              <w:pStyle w:val="TableText"/>
            </w:pPr>
            <w:r>
              <w:rPr>
                <w:rFonts w:ascii="Times New Roman" w:hAnsi="Times New Roman" w:eastAsia="Times New Roman"/>
                <w:sz w:val="20"/>
              </w:rPr>
              <w:t xml:space="preserve">Chỉ thị trường</w:t>
            </w:r>
          </w:p>
        </w:tc>
        <w:tc>
          <w:p>
            <w:pPr>
              <w:pStyle w:val="TableText"/>
            </w:pPr>
            <w:r>
              <w:rPr>
                <w:rFonts w:ascii="Times New Roman" w:hAnsi="Times New Roman" w:eastAsia="Times New Roman"/>
                <w:sz w:val="20"/>
              </w:rPr>
              <w:t xml:space="preserve">59</w:t>
            </w:r>
          </w:p>
        </w:tc>
        <w:tc>
          <w:p>
            <w:pPr>
              <w:pStyle w:val="TableText"/>
            </w:pPr>
            <w:r>
              <w:rPr>
                <w:rFonts w:ascii="Times New Roman" w:hAnsi="Times New Roman" w:eastAsia="Times New Roman"/>
                <w:sz w:val="20"/>
              </w:rPr>
              <w:t xml:space="preserve">0,000578</w:t>
            </w:r>
          </w:p>
        </w:tc>
        <w:tc>
          <w:p>
            <w:pPr>
              <w:pStyle w:val="TableText"/>
            </w:pPr>
            <w:r>
              <w:rPr>
                <w:rFonts w:ascii="Times New Roman" w:hAnsi="Times New Roman" w:eastAsia="Times New Roman"/>
                <w:sz w:val="20"/>
              </w:rPr>
              <w:t xml:space="preserve">0,1323</w:t>
            </w:r>
          </w:p>
        </w:tc>
        <w:tc>
          <w:p>
            <w:pPr>
              <w:pStyle w:val="TableText"/>
            </w:pPr>
            <w:r>
              <w:rPr>
                <w:rFonts w:ascii="Times New Roman" w:hAnsi="Times New Roman" w:eastAsia="Times New Roman"/>
                <w:sz w:val="20"/>
              </w:rPr>
              <w:t xml:space="preserve">—</w:t>
            </w:r>
          </w:p>
        </w:tc>
      </w:tr>
      <w:tr>
        <w:trPr>
          <w:cantSplit/>
        </w:trPr>
        <w:tc>
          <w:p>
            <w:pPr>
              <w:pStyle w:val="TableText"/>
            </w:pPr>
            <w:r>
              <w:rPr>
                <w:rFonts w:ascii="Times New Roman" w:hAnsi="Times New Roman" w:eastAsia="Times New Roman"/>
                <w:sz w:val="20"/>
              </w:rPr>
              <w:t xml:space="preserve">Thị trường + số tin thô</w:t>
            </w:r>
          </w:p>
        </w:tc>
        <w:tc>
          <w:p>
            <w:pPr>
              <w:pStyle w:val="TableText"/>
            </w:pPr>
            <w:r>
              <w:rPr>
                <w:rFonts w:ascii="Times New Roman" w:hAnsi="Times New Roman" w:eastAsia="Times New Roman"/>
                <w:sz w:val="20"/>
              </w:rPr>
              <w:t xml:space="preserve">59</w:t>
            </w:r>
          </w:p>
        </w:tc>
        <w:tc>
          <w:p>
            <w:pPr>
              <w:pStyle w:val="TableText"/>
            </w:pPr>
            <w:r>
              <w:rPr>
                <w:rFonts w:ascii="Times New Roman" w:hAnsi="Times New Roman" w:eastAsia="Times New Roman"/>
                <w:sz w:val="20"/>
              </w:rPr>
              <w:t xml:space="preserve">0,000578</w:t>
            </w:r>
          </w:p>
        </w:tc>
        <w:tc>
          <w:p>
            <w:pPr>
              <w:pStyle w:val="TableText"/>
            </w:pPr>
            <w:r>
              <w:rPr>
                <w:rFonts w:ascii="Times New Roman" w:hAnsi="Times New Roman" w:eastAsia="Times New Roman"/>
                <w:sz w:val="20"/>
              </w:rPr>
              <w:t xml:space="preserve">0,1323</w:t>
            </w:r>
          </w:p>
        </w:tc>
        <w:tc>
          <w:p>
            <w:pPr>
              <w:pStyle w:val="TableText"/>
            </w:pPr>
            <w:r>
              <w:rPr>
                <w:rFonts w:ascii="Times New Roman" w:hAnsi="Times New Roman" w:eastAsia="Times New Roman"/>
                <w:sz w:val="20"/>
              </w:rPr>
              <w:t xml:space="preserve">—</w:t>
            </w:r>
          </w:p>
        </w:tc>
      </w:tr>
      <w:tr>
        <w:trPr>
          <w:cantSplit/>
        </w:trPr>
        <w:tc>
          <w:p>
            <w:pPr>
              <w:pStyle w:val="TableText"/>
            </w:pPr>
            <w:r>
              <w:rPr>
                <w:rFonts w:ascii="Times New Roman" w:hAnsi="Times New Roman" w:eastAsia="Times New Roman"/>
                <w:sz w:val="20"/>
              </w:rPr>
              <w:t xml:space="preserve">Thị trường + văn bản</w:t>
            </w:r>
          </w:p>
        </w:tc>
        <w:tc>
          <w:p>
            <w:pPr>
              <w:pStyle w:val="TableText"/>
            </w:pPr>
            <w:r>
              <w:rPr>
                <w:rFonts w:ascii="Times New Roman" w:hAnsi="Times New Roman" w:eastAsia="Times New Roman"/>
                <w:sz w:val="20"/>
              </w:rPr>
              <w:t xml:space="preserve">59</w:t>
            </w:r>
          </w:p>
        </w:tc>
        <w:tc>
          <w:p>
            <w:pPr>
              <w:pStyle w:val="TableText"/>
            </w:pPr>
            <w:r>
              <w:rPr>
                <w:rFonts w:ascii="Times New Roman" w:hAnsi="Times New Roman" w:eastAsia="Times New Roman"/>
                <w:sz w:val="20"/>
              </w:rPr>
              <w:t xml:space="preserve">0,000574</w:t>
            </w:r>
          </w:p>
        </w:tc>
        <w:tc>
          <w:p>
            <w:pPr>
              <w:pStyle w:val="TableText"/>
            </w:pPr>
            <w:r>
              <w:rPr>
                <w:rFonts w:ascii="Times New Roman" w:hAnsi="Times New Roman" w:eastAsia="Times New Roman"/>
                <w:sz w:val="20"/>
              </w:rPr>
              <w:t xml:space="preserve">0,1433</w:t>
            </w:r>
          </w:p>
        </w:tc>
        <w:tc>
          <w:p>
            <w:pPr>
              <w:pStyle w:val="TableText"/>
            </w:pPr>
            <w:r>
              <w:rPr>
                <w:rFonts w:ascii="Times New Roman" w:hAnsi="Times New Roman" w:eastAsia="Times New Roman"/>
                <w:sz w:val="20"/>
              </w:rPr>
              <w:t xml:space="preserve">4</w:t>
            </w:r>
          </w:p>
        </w:tc>
      </w:tr>
    </w:tbl>
    <w:p>
      <w:pPr>
        <w:pStyle w:val="TableNote"/>
      </w:pPr>
      <w:r>
        <w:rPr>
          <w:rFonts w:ascii="Times New Roman" w:hAnsi="Times New Roman" w:eastAsia="Times New Roman"/>
          <w:sz w:val="20"/>
        </w:rPr>
        <w:t xml:space="preserve">Ghi chú. Số liệu từ </w:t>
      </w:r>
      <w:r>
        <w:rPr>
          <w:rFonts w:ascii="Times New Roman" w:hAnsi="Times New Roman" w:eastAsia="Times New Roman"/>
          <w:sz w:val="20"/>
        </w:rPr>
        <w:t xml:space="preserve">oos.csv</w:t>
      </w:r>
      <w:r>
        <w:rPr>
          <w:rFonts w:ascii="Times New Roman" w:hAnsi="Times New Roman" w:eastAsia="Times New Roman"/>
          <w:sz w:val="20"/>
        </w:rPr>
        <w:t xml:space="preserve">; R² OOS so với trung bình huấn luyện, không phải R² trong mẫu. Kiểm định Diebold–Mariano của bậc văn bản có p Holm 1,0000 nhưng chỉ dùng 04 ngày liên tục, không đủ để diễn giải xác nhận. </w:t>
      </w:r>
      <w:r>
        <w:rPr>
          <w:rFonts w:ascii="Times New Roman" w:hAnsi="Times New Roman" w:eastAsia="Times New Roman"/>
          <w:sz w:val="20"/>
          <w:b/>
        </w:rPr>
        <w:t xml:space="preserve">*, </w:t>
      </w:r>
      <w:r>
        <w:rPr>
          <w:rFonts w:ascii="Times New Roman" w:hAnsi="Times New Roman" w:eastAsia="Times New Roman"/>
          <w:sz w:val="20"/>
        </w:rPr>
        <w:t xml:space="preserve">, * biểu thị mức ý nghĩa thống kê lần lượt là 1%, 5% và 10%. Tính toán của nhóm tác giả.</w:t>
      </w:r>
    </w:p>
    <w:p>
      <w:pPr>
        <w:pStyle w:val="Normal"/>
      </w:pPr>
      <w:r>
        <w:rPr>
          <w:rFonts w:ascii="Times New Roman" w:hAnsi="Times New Roman" w:eastAsia="Times New Roman"/>
          <w:sz w:val="26"/>
        </w:rPr>
        <w:t xml:space="preserve">Sai số RMSE giảm nhẹ và R² OOS tăng khoảng 0,011 điểm so với mô hình chỉ có thị trường. Điều này có nghĩa là trong 59 ngày quan sát, điểm dự báo văn bản gần RV thật hơn một chút, nhưng lợi ích gia tăng chưa được xác nhận thống kê do chuỗi kiểm định liên tục chỉ dài 04 ngày. Hình 2 trình bày đường lỗi ngoài mẫu trên các ngày có quan sát, cần đọc cùng độ dài đoạn liên tục nêu ở Bảng 8. Kết quả phù hợp với yêu cầu đánh giá ngoài mẫu của Campbell và Thompson (2008), đồng thời không cho phép khẳng định tín hiệu tin có thể sinh lợi sau phí. Bảng chiến lược cũng chưa thể diễn giải ổn định trên những ngày rời rạc; đây chỉ là phép thử giá trị kinh tế, không phải khuyến nghị giao dịch. [[CHỜ_DỮ_LIỆU: bảng RQ5_DM_GW_MCS_đủ_chuỗi]]</w:t>
      </w:r>
    </w:p>
    <w:p>
      <w:pPr>
        <w:jc w:val="center"/>
      </w:pPr>
      <w:r>
        <w:drawing>
          <wp:inline>
            <wp:extent cx="5600000" cy="4480000"/>
            <wp:docPr id="5" name="Lỗi dự báo ngoài mẫu theo ngày"/>
            <a:graphic>
              <a:graphicData uri="http://schemas.openxmlformats.org/drawingml/2006/picture">
                <pic:pic>
                  <pic:nvPicPr>
                    <pic:cNvPr id="0" name="oos_loss.png"/>
                    <pic:cNvPicPr/>
                  </pic:nvPicPr>
                  <pic:blipFill>
                    <a:blip r:embed="rId5"/>
                    <a:stretch>
                      <a:fillRect/>
                    </a:stretch>
                  </pic:blipFill>
                  <pic:spPr>
                    <a:xfrm>
                      <a:off x="0" y="0"/>
                      <a:ext cx="5600000" cy="4480000"/>
                    </a:xfrm>
                    <a:prstGeom prst="rect">
                      <a:avLst/>
                    </a:prstGeom>
                  </pic:spPr>
                </pic:pic>
              </a:graphicData>
            </a:graphic>
          </wp:inline>
        </w:drawing>
      </w:r>
    </w:p>
    <w:p>
      <w:pPr>
        <w:pStyle w:val="Caption"/>
        <w:jc w:val="center"/>
      </w:pPr>
      <w:r>
        <w:rPr>
          <w:rFonts w:ascii="Times New Roman" w:hAnsi="Times New Roman" w:eastAsia="Times New Roman"/>
          <w:sz w:val="26"/>
        </w:rPr>
        <w:t xml:space="preserve">Hình 2. Lỗi Dự Báo Ngoài Mẫu Theo Ngày</w:t>
      </w:r>
    </w:p>
    <w:p>
      <w:pPr>
        <w:pStyle w:val="TableNote"/>
      </w:pPr>
      <w:r>
        <w:rPr>
          <w:rFonts w:ascii="Times New Roman" w:hAnsi="Times New Roman" w:eastAsia="Times New Roman"/>
          <w:sz w:val="20"/>
        </w:rPr>
        <w:t xml:space="preserve">Ghi chú. Hình từ dự báo thật của mô hình thị trường và mô hình có văn bản; các khoảng trống trên trục thời gian là ngày không có mẫu ghép hợp lệ. Tính toán của nhóm tác giả.</w:t>
      </w:r>
    </w:p>
    <w:p>
      <w:pPr>
        <w:pStyle w:val="Heading1"/>
        <w:keepNext/>
      </w:pPr>
      <w:r>
        <w:rPr>
          <w:rFonts w:ascii="Times New Roman" w:hAnsi="Times New Roman" w:eastAsia="Times New Roman"/>
          <w:sz w:val="26"/>
        </w:rPr>
        <w:t xml:space="preserve">5. Kết luận</w:t>
      </w:r>
    </w:p>
    <w:p>
      <w:pPr>
        <w:pStyle w:val="Normal"/>
      </w:pPr>
      <w:r>
        <w:rPr>
          <w:rFonts w:ascii="Times New Roman" w:hAnsi="Times New Roman" w:eastAsia="Times New Roman"/>
          <w:sz w:val="26"/>
        </w:rPr>
        <w:t xml:space="preserve">Nghiên cứu đặt cảm xúc và narrative tin tức vào cùng một khuôn kiểm tra cho 05 tài sản tiền mã hóa, trong đó thời điểm công bố được xử lý như một phần của phép đo chứ không chỉ là thuộc tính dữ liệu. Trên bản chụp thật hiện có, tin phủ 24,76% ngày lịch. Không có bằng chứng giá sau tin xấu mạnh hơn tin tốt trong bốn giờ hoặc một ngày; khối lượng quanh tin tốt cao hơn trong mẫu ngày ghép cặp. Chưa có narrative nào cho CAR có ý nghĩa sau điều chỉnh kiểm định bội. Việc đổi từ giờ đăng sang giờ hệ thống thấy tin làm đổi trạng thái ý nghĩa ở cửa sổ 24 giờ, nhưng mức chênh hai cách đo chưa có ý nghĩa. Dự báo RV Bitcoin khi thêm văn bản có RMSE thấp hơn rất nhẹ, song RQ5 vẫn chưa có đoạn kiểm định liên tục đủ dài. RQ1 còn cần nhãn kiểm định độc lập; RQ4 còn cần chuỗi tin liền mạch cho VAR/Granger.</w:t>
      </w:r>
    </w:p>
    <w:p>
      <w:pPr>
        <w:pStyle w:val="Normal"/>
      </w:pPr>
      <w:r>
        <w:rPr>
          <w:rFonts w:ascii="Times New Roman" w:hAnsi="Times New Roman" w:eastAsia="Times New Roman"/>
          <w:sz w:val="26"/>
        </w:rPr>
        <w:t xml:space="preserve">Đối với nhà đầu tư, kết quả hiện tại không ủng hộ việc biến một hệ số cảm xúc hoặc một CAR theo narrative thành quy tắc giao dịch. Đối với đơn vị cung cấp dữ liệu và người xây sản phẩm phân tích, thông tin giờ đăng, giờ thấy và quy tắc gán ngày cần được lưu và hiển thị cùng chỉ số, vì thay đổi đồng hồ có thể đổi diễn giải thống kê. Đối với cơ quan quản lý, việc công bố chính xác thời điểm phát hành thông tin giúp đánh giá phản ứng thị trường minh bạch hơn; kết quả hiện tại chưa cho phép suy luận một loại tin gây biến động giá.</w:t>
      </w:r>
    </w:p>
    <w:p>
      <w:pPr>
        <w:pStyle w:val="Normal"/>
      </w:pPr>
      <w:r>
        <w:rPr>
          <w:rFonts w:ascii="Times New Roman" w:hAnsi="Times New Roman" w:eastAsia="Times New Roman"/>
          <w:sz w:val="26"/>
        </w:rPr>
        <w:t xml:space="preserve">Hạn chế lớn nhất là lấy mẫu GDELT theo các lô giờ và độ phủ ngày còn thưa; các tin chồng lấp khiến phản ứng sự kiện khó quy về một tin riêng. Tập audit đồng hồ chỉ có 37 tin dùng được trong so sánh giờ, nhánh tiếng Việt và UCRY chỉ phủ một phần mẫu, còn điểm FinBERT có thể chịu sai lệch miền. Nghiên cứu tiếp theo cần hoàn tất thu tin, đánh nhãn độc lập, kiểm tra các đoạn ngày liên tục, tái ước lượng theo nguồn và giai đoạn, rồi mới kết luận đầy đủ RQ1–RQ5. Các kết luận đã nêu là quan hệ thống kê trên tập quan sát hiện có, không phải tác động nhân quả hay hiệu quả giao dịch được bảo đảm.</w:t>
      </w:r>
    </w:p>
    <w:p>
      <w:pPr>
        <w:pStyle w:val="Heading1"/>
        <w:keepNext/>
      </w:pPr>
      <w:r>
        <w:rPr>
          <w:rFonts w:ascii="Times New Roman" w:hAnsi="Times New Roman" w:eastAsia="Times New Roman"/>
          <w:sz w:val="26"/>
        </w:rPr>
        <w:t xml:space="preserve">Tài liệu tham khảo</w:t>
      </w:r>
    </w:p>
    <w:p>
      <w:pPr>
        <w:pStyle w:val="Normal"/>
      </w:pPr>
      <w:r>
        <w:rPr>
          <w:rFonts w:ascii="Times New Roman" w:hAnsi="Times New Roman" w:eastAsia="Times New Roman"/>
          <w:sz w:val="26"/>
        </w:rPr>
        <w:t xml:space="preserve">Andersen, T. G., &amp; Bollerslev, T. (1998). Answering the skeptics: Yes, standard volatility models do provide accurate forecasts. </w:t>
      </w:r>
      <w:r>
        <w:rPr>
          <w:rFonts w:ascii="Times New Roman" w:hAnsi="Times New Roman" w:eastAsia="Times New Roman"/>
          <w:sz w:val="26"/>
          <w:i/>
        </w:rPr>
        <w:t xml:space="preserve">International Economic Review, 39</w:t>
      </w:r>
      <w:r>
        <w:rPr>
          <w:rFonts w:ascii="Times New Roman" w:hAnsi="Times New Roman" w:eastAsia="Times New Roman"/>
          <w:sz w:val="26"/>
        </w:rPr>
        <w:t xml:space="preserve">(4), 885–905. https://doi.org/10.2307/2527343</w:t>
      </w:r>
    </w:p>
    <w:p>
      <w:pPr>
        <w:pStyle w:val="Normal"/>
      </w:pPr>
      <w:r>
        <w:rPr>
          <w:rFonts w:ascii="Times New Roman" w:hAnsi="Times New Roman" w:eastAsia="Times New Roman"/>
          <w:sz w:val="26"/>
        </w:rPr>
        <w:t xml:space="preserve">Antweiler, W., &amp; Frank, M. Z. (2004). Is all that talk just noise? The information content of internet stock message boards. </w:t>
      </w:r>
      <w:r>
        <w:rPr>
          <w:rFonts w:ascii="Times New Roman" w:hAnsi="Times New Roman" w:eastAsia="Times New Roman"/>
          <w:sz w:val="26"/>
          <w:i/>
        </w:rPr>
        <w:t xml:space="preserve">The Journal of Finance, 59</w:t>
      </w:r>
      <w:r>
        <w:rPr>
          <w:rFonts w:ascii="Times New Roman" w:hAnsi="Times New Roman" w:eastAsia="Times New Roman"/>
          <w:sz w:val="26"/>
        </w:rPr>
        <w:t xml:space="preserve">(3), 1259–1294. https://doi.org/10.1111/j.1540-6261.2004.00662.x</w:t>
      </w:r>
    </w:p>
    <w:p>
      <w:pPr>
        <w:pStyle w:val="Normal"/>
      </w:pPr>
      <w:r>
        <w:rPr>
          <w:rFonts w:ascii="Times New Roman" w:hAnsi="Times New Roman" w:eastAsia="Times New Roman"/>
          <w:sz w:val="26"/>
        </w:rPr>
        <w:t xml:space="preserve">Araci, D. (2019). </w:t>
      </w:r>
      <w:r>
        <w:rPr>
          <w:rFonts w:ascii="Times New Roman" w:hAnsi="Times New Roman" w:eastAsia="Times New Roman"/>
          <w:sz w:val="26"/>
          <w:i/>
        </w:rPr>
        <w:t xml:space="preserve">FinBERT: Financial sentiment analysis with pre-trained language models</w:t>
      </w:r>
      <w:r>
        <w:rPr>
          <w:rFonts w:ascii="Times New Roman" w:hAnsi="Times New Roman" w:eastAsia="Times New Roman"/>
          <w:sz w:val="26"/>
        </w:rPr>
        <w:t xml:space="preserve"> (arXiv:1908.10063). arXiv. https://doi.org/10.48550/arXiv.1908.10063</w:t>
      </w:r>
    </w:p>
    <w:p>
      <w:pPr>
        <w:pStyle w:val="Normal"/>
      </w:pPr>
      <w:r>
        <w:rPr>
          <w:rFonts w:ascii="Times New Roman" w:hAnsi="Times New Roman" w:eastAsia="Times New Roman"/>
          <w:sz w:val="26"/>
        </w:rPr>
        <w:t xml:space="preserve">Baker, M., &amp; Wurgler, J. (2007). Investor sentiment in the stock market. </w:t>
      </w:r>
      <w:r>
        <w:rPr>
          <w:rFonts w:ascii="Times New Roman" w:hAnsi="Times New Roman" w:eastAsia="Times New Roman"/>
          <w:sz w:val="26"/>
          <w:i/>
        </w:rPr>
        <w:t xml:space="preserve">Journal of Economic Perspectives, 21</w:t>
      </w:r>
      <w:r>
        <w:rPr>
          <w:rFonts w:ascii="Times New Roman" w:hAnsi="Times New Roman" w:eastAsia="Times New Roman"/>
          <w:sz w:val="26"/>
        </w:rPr>
        <w:t xml:space="preserve">(2), 129–151. https://doi.org/10.1257/jep.21.2.129</w:t>
      </w:r>
    </w:p>
    <w:p>
      <w:pPr>
        <w:pStyle w:val="Normal"/>
      </w:pPr>
      <w:r>
        <w:rPr>
          <w:rFonts w:ascii="Times New Roman" w:hAnsi="Times New Roman" w:eastAsia="Times New Roman"/>
          <w:sz w:val="26"/>
        </w:rPr>
        <w:t xml:space="preserve">Bybee, L., Kelly, B., Manela, A., &amp; Xiu, D. (2024). Business news and business cycles. </w:t>
      </w:r>
      <w:r>
        <w:rPr>
          <w:rFonts w:ascii="Times New Roman" w:hAnsi="Times New Roman" w:eastAsia="Times New Roman"/>
          <w:sz w:val="26"/>
          <w:i/>
        </w:rPr>
        <w:t xml:space="preserve">The Journal of Finance, 79</w:t>
      </w:r>
      <w:r>
        <w:rPr>
          <w:rFonts w:ascii="Times New Roman" w:hAnsi="Times New Roman" w:eastAsia="Times New Roman"/>
          <w:sz w:val="26"/>
        </w:rPr>
        <w:t xml:space="preserve">(5), 3105–3147. https://doi.org/10.1111/jofi.13377</w:t>
      </w:r>
    </w:p>
    <w:p>
      <w:pPr>
        <w:pStyle w:val="Normal"/>
      </w:pPr>
      <w:r>
        <w:rPr>
          <w:rFonts w:ascii="Times New Roman" w:hAnsi="Times New Roman" w:eastAsia="Times New Roman"/>
          <w:sz w:val="26"/>
        </w:rPr>
        <w:t xml:space="preserve">Campbell, J. Y., &amp; Thompson, S. B. (2008). Predicting excess stock returns out of sample: Can anything beat the historical average? </w:t>
      </w:r>
      <w:r>
        <w:rPr>
          <w:rFonts w:ascii="Times New Roman" w:hAnsi="Times New Roman" w:eastAsia="Times New Roman"/>
          <w:sz w:val="26"/>
          <w:i/>
        </w:rPr>
        <w:t xml:space="preserve">The Review of Financial Studies, 21</w:t>
      </w:r>
      <w:r>
        <w:rPr>
          <w:rFonts w:ascii="Times New Roman" w:hAnsi="Times New Roman" w:eastAsia="Times New Roman"/>
          <w:sz w:val="26"/>
        </w:rPr>
        <w:t xml:space="preserve">(4), 1509–1531. https://doi.org/10.1093/rfs/hhm055</w:t>
      </w:r>
    </w:p>
    <w:p>
      <w:pPr>
        <w:pStyle w:val="Normal"/>
      </w:pPr>
      <w:r>
        <w:rPr>
          <w:rFonts w:ascii="Times New Roman" w:hAnsi="Times New Roman" w:eastAsia="Times New Roman"/>
          <w:sz w:val="26"/>
        </w:rPr>
        <w:t xml:space="preserve">Chou, K.-H., Day, M.-Y., &amp; Chiu, C.-L. (2023). Do bitcoin news information flow and return volatility fit the sequential information arrival hypothesis and the mixture of distribution hypothesis? </w:t>
      </w:r>
      <w:r>
        <w:rPr>
          <w:rFonts w:ascii="Times New Roman" w:hAnsi="Times New Roman" w:eastAsia="Times New Roman"/>
          <w:sz w:val="26"/>
          <w:i/>
        </w:rPr>
        <w:t xml:space="preserve">International Review of Economics &amp; Finance, 88</w:t>
      </w:r>
      <w:r>
        <w:rPr>
          <w:rFonts w:ascii="Times New Roman" w:hAnsi="Times New Roman" w:eastAsia="Times New Roman"/>
          <w:sz w:val="26"/>
        </w:rPr>
        <w:t xml:space="preserve">, 365–385. https://doi.org/10.1016/j.iref.2023.06.021</w:t>
      </w:r>
    </w:p>
    <w:p>
      <w:pPr>
        <w:pStyle w:val="Normal"/>
      </w:pPr>
      <w:r>
        <w:rPr>
          <w:rFonts w:ascii="Times New Roman" w:hAnsi="Times New Roman" w:eastAsia="Times New Roman"/>
          <w:sz w:val="26"/>
        </w:rPr>
        <w:t xml:space="preserve">Clark, T. E., &amp; West, K. D. (2007). Approximately normal tests for equal predictive accuracy in nested models. </w:t>
      </w:r>
      <w:r>
        <w:rPr>
          <w:rFonts w:ascii="Times New Roman" w:hAnsi="Times New Roman" w:eastAsia="Times New Roman"/>
          <w:sz w:val="26"/>
          <w:i/>
        </w:rPr>
        <w:t xml:space="preserve">Journal of Econometrics, 138</w:t>
      </w:r>
      <w:r>
        <w:rPr>
          <w:rFonts w:ascii="Times New Roman" w:hAnsi="Times New Roman" w:eastAsia="Times New Roman"/>
          <w:sz w:val="26"/>
        </w:rPr>
        <w:t xml:space="preserve">(1), 291–311. https://doi.org/10.1016/j.jeconom.2006.05.023</w:t>
      </w:r>
    </w:p>
    <w:p>
      <w:pPr>
        <w:pStyle w:val="Normal"/>
      </w:pPr>
      <w:r>
        <w:rPr>
          <w:rFonts w:ascii="Times New Roman" w:hAnsi="Times New Roman" w:eastAsia="Times New Roman"/>
          <w:sz w:val="26"/>
        </w:rPr>
        <w:t xml:space="preserve">Critien, J. V., Gatt, A., &amp; Ellul, J. (2022). Bitcoin price change and trend prediction through Twitter sentiment and data volume. </w:t>
      </w:r>
      <w:r>
        <w:rPr>
          <w:rFonts w:ascii="Times New Roman" w:hAnsi="Times New Roman" w:eastAsia="Times New Roman"/>
          <w:sz w:val="26"/>
          <w:i/>
        </w:rPr>
        <w:t xml:space="preserve">Financial Innovation, 8</w:t>
      </w:r>
      <w:r>
        <w:rPr>
          <w:rFonts w:ascii="Times New Roman" w:hAnsi="Times New Roman" w:eastAsia="Times New Roman"/>
          <w:sz w:val="26"/>
        </w:rPr>
        <w:t xml:space="preserve">(1), Article 45. https://doi.org/10.1186/s40854-022-00352-7</w:t>
      </w:r>
    </w:p>
    <w:p>
      <w:pPr>
        <w:pStyle w:val="Normal"/>
      </w:pPr>
      <w:r>
        <w:rPr>
          <w:rFonts w:ascii="Times New Roman" w:hAnsi="Times New Roman" w:eastAsia="Times New Roman"/>
          <w:sz w:val="26"/>
        </w:rPr>
        <w:t xml:space="preserve">Da, Z., Engelberg, J., &amp; Gao, P. (2011). In search of attention. </w:t>
      </w:r>
      <w:r>
        <w:rPr>
          <w:rFonts w:ascii="Times New Roman" w:hAnsi="Times New Roman" w:eastAsia="Times New Roman"/>
          <w:sz w:val="26"/>
          <w:i/>
        </w:rPr>
        <w:t xml:space="preserve">The Journal of Finance, 66</w:t>
      </w:r>
      <w:r>
        <w:rPr>
          <w:rFonts w:ascii="Times New Roman" w:hAnsi="Times New Roman" w:eastAsia="Times New Roman"/>
          <w:sz w:val="26"/>
        </w:rPr>
        <w:t xml:space="preserve">(5), 1461–1499. https://doi.org/10.1111/j.1540-6261.2011.01679.x</w:t>
      </w:r>
    </w:p>
    <w:p>
      <w:pPr>
        <w:pStyle w:val="Normal"/>
      </w:pPr>
      <w:r>
        <w:rPr>
          <w:rFonts w:ascii="Times New Roman" w:hAnsi="Times New Roman" w:eastAsia="Times New Roman"/>
          <w:sz w:val="26"/>
        </w:rPr>
        <w:t xml:space="preserve">Diebold, F. X., &amp; Mariano, R. S. (1995). Comparing predictive accuracy. </w:t>
      </w:r>
      <w:r>
        <w:rPr>
          <w:rFonts w:ascii="Times New Roman" w:hAnsi="Times New Roman" w:eastAsia="Times New Roman"/>
          <w:sz w:val="26"/>
          <w:i/>
        </w:rPr>
        <w:t xml:space="preserve">Journal of Business &amp; Economic Statistics, 13</w:t>
      </w:r>
      <w:r>
        <w:rPr>
          <w:rFonts w:ascii="Times New Roman" w:hAnsi="Times New Roman" w:eastAsia="Times New Roman"/>
          <w:sz w:val="26"/>
        </w:rPr>
        <w:t xml:space="preserve">(3), 253–263. https://doi.org/10.1080/07350015.1995.10524599</w:t>
      </w:r>
    </w:p>
    <w:p>
      <w:pPr>
        <w:pStyle w:val="Normal"/>
      </w:pPr>
      <w:r>
        <w:rPr>
          <w:rFonts w:ascii="Times New Roman" w:hAnsi="Times New Roman" w:eastAsia="Times New Roman"/>
          <w:sz w:val="26"/>
        </w:rPr>
        <w:t xml:space="preserve">Fama, E. F. (1970). Efficient capital markets: A review of theory and empirical work. </w:t>
      </w:r>
      <w:r>
        <w:rPr>
          <w:rFonts w:ascii="Times New Roman" w:hAnsi="Times New Roman" w:eastAsia="Times New Roman"/>
          <w:sz w:val="26"/>
          <w:i/>
        </w:rPr>
        <w:t xml:space="preserve">The Journal of Finance, 25</w:t>
      </w:r>
      <w:r>
        <w:rPr>
          <w:rFonts w:ascii="Times New Roman" w:hAnsi="Times New Roman" w:eastAsia="Times New Roman"/>
          <w:sz w:val="26"/>
        </w:rPr>
        <w:t xml:space="preserve">(2), 383–417. https://doi.org/10.2307/2325486</w:t>
      </w:r>
    </w:p>
    <w:p>
      <w:pPr>
        <w:pStyle w:val="Normal"/>
      </w:pPr>
      <w:r>
        <w:rPr>
          <w:rFonts w:ascii="Times New Roman" w:hAnsi="Times New Roman" w:eastAsia="Times New Roman"/>
          <w:sz w:val="26"/>
        </w:rPr>
        <w:t xml:space="preserve">Garcia, D., &amp; Schweitzer, F. (2015). Social signals and algorithmic trading of Bitcoin. </w:t>
      </w:r>
      <w:r>
        <w:rPr>
          <w:rFonts w:ascii="Times New Roman" w:hAnsi="Times New Roman" w:eastAsia="Times New Roman"/>
          <w:sz w:val="26"/>
          <w:i/>
        </w:rPr>
        <w:t xml:space="preserve">Royal Society Open Science, 2</w:t>
      </w:r>
      <w:r>
        <w:rPr>
          <w:rFonts w:ascii="Times New Roman" w:hAnsi="Times New Roman" w:eastAsia="Times New Roman"/>
          <w:sz w:val="26"/>
        </w:rPr>
        <w:t xml:space="preserve">(9), Article 150288. https://doi.org/10.1098/rsos.150288</w:t>
      </w:r>
    </w:p>
    <w:p>
      <w:pPr>
        <w:pStyle w:val="Normal"/>
      </w:pPr>
      <w:r>
        <w:rPr>
          <w:rFonts w:ascii="Times New Roman" w:hAnsi="Times New Roman" w:eastAsia="Times New Roman"/>
          <w:sz w:val="26"/>
        </w:rPr>
        <w:t xml:space="preserve">Granger, C. W. J. (1969). Investigating causal relations by econometric models and cross-spectral methods. </w:t>
      </w:r>
      <w:r>
        <w:rPr>
          <w:rFonts w:ascii="Times New Roman" w:hAnsi="Times New Roman" w:eastAsia="Times New Roman"/>
          <w:sz w:val="26"/>
          <w:i/>
        </w:rPr>
        <w:t xml:space="preserve">Econometrica, 37</w:t>
      </w:r>
      <w:r>
        <w:rPr>
          <w:rFonts w:ascii="Times New Roman" w:hAnsi="Times New Roman" w:eastAsia="Times New Roman"/>
          <w:sz w:val="26"/>
        </w:rPr>
        <w:t xml:space="preserve">(3), 424–438. https://doi.org/10.2307/1912791</w:t>
      </w:r>
    </w:p>
    <w:p>
      <w:pPr>
        <w:pStyle w:val="Normal"/>
      </w:pPr>
      <w:r>
        <w:rPr>
          <w:rFonts w:ascii="Times New Roman" w:hAnsi="Times New Roman" w:eastAsia="Times New Roman"/>
          <w:sz w:val="26"/>
        </w:rPr>
        <w:t xml:space="preserve">Grootendorst, M. (2022). </w:t>
      </w:r>
      <w:r>
        <w:rPr>
          <w:rFonts w:ascii="Times New Roman" w:hAnsi="Times New Roman" w:eastAsia="Times New Roman"/>
          <w:sz w:val="26"/>
          <w:i/>
        </w:rPr>
        <w:t xml:space="preserve">BERTopic: Neural topic modeling with a class-based TF-IDF procedure</w:t>
      </w:r>
      <w:r>
        <w:rPr>
          <w:rFonts w:ascii="Times New Roman" w:hAnsi="Times New Roman" w:eastAsia="Times New Roman"/>
          <w:sz w:val="26"/>
        </w:rPr>
        <w:t xml:space="preserve"> (arXiv:2203.05794). arXiv. https://doi.org/10.48550/arXiv.2203.05794</w:t>
      </w:r>
    </w:p>
    <w:p>
      <w:pPr>
        <w:pStyle w:val="Normal"/>
      </w:pPr>
      <w:r>
        <w:rPr>
          <w:rFonts w:ascii="Times New Roman" w:hAnsi="Times New Roman" w:eastAsia="Times New Roman"/>
          <w:sz w:val="26"/>
        </w:rPr>
        <w:t xml:space="preserve">Gür, Y. E., &amp; Ünal, E. (2026). The impact of news sentiment on the Bitcoin price via machine learning and deep learning-based NLP models. </w:t>
      </w:r>
      <w:r>
        <w:rPr>
          <w:rFonts w:ascii="Times New Roman" w:hAnsi="Times New Roman" w:eastAsia="Times New Roman"/>
          <w:sz w:val="26"/>
          <w:i/>
        </w:rPr>
        <w:t xml:space="preserve">Journal of Forecasting, 45</w:t>
      </w:r>
      <w:r>
        <w:rPr>
          <w:rFonts w:ascii="Times New Roman" w:hAnsi="Times New Roman" w:eastAsia="Times New Roman"/>
          <w:sz w:val="26"/>
        </w:rPr>
        <w:t xml:space="preserve">(3), 895–923. https://doi.org/10.1002/for.70068</w:t>
      </w:r>
    </w:p>
    <w:p>
      <w:pPr>
        <w:pStyle w:val="Normal"/>
      </w:pPr>
      <w:r>
        <w:rPr>
          <w:rFonts w:ascii="Times New Roman" w:hAnsi="Times New Roman" w:eastAsia="Times New Roman"/>
          <w:sz w:val="26"/>
        </w:rPr>
        <w:t xml:space="preserve">Ider, D., &amp; Lessmann, S. (2022). </w:t>
      </w:r>
      <w:r>
        <w:rPr>
          <w:rFonts w:ascii="Times New Roman" w:hAnsi="Times New Roman" w:eastAsia="Times New Roman"/>
          <w:sz w:val="26"/>
          <w:i/>
        </w:rPr>
        <w:t xml:space="preserve">Forecasting cryptocurrency returns from sentiment signals: An analysis of BERT classifiers and weak supervision</w:t>
      </w:r>
      <w:r>
        <w:rPr>
          <w:rFonts w:ascii="Times New Roman" w:hAnsi="Times New Roman" w:eastAsia="Times New Roman"/>
          <w:sz w:val="26"/>
        </w:rPr>
        <w:t xml:space="preserve"> (arXiv:2204.05781). arXiv. https://doi.org/10.48550/arXiv.2204.05781</w:t>
      </w:r>
    </w:p>
    <w:p>
      <w:pPr>
        <w:pStyle w:val="Normal"/>
      </w:pPr>
      <w:r>
        <w:rPr>
          <w:rFonts w:ascii="Times New Roman" w:hAnsi="Times New Roman" w:eastAsia="Times New Roman"/>
          <w:sz w:val="26"/>
        </w:rPr>
        <w:t xml:space="preserve">Kao, Y.-S., Day, M.-Y., &amp; Chou, K.-H. (2024). A comparison of bitcoin futures return and return volatility based on news sentiment contemporaneously or lead-lag. </w:t>
      </w:r>
      <w:r>
        <w:rPr>
          <w:rFonts w:ascii="Times New Roman" w:hAnsi="Times New Roman" w:eastAsia="Times New Roman"/>
          <w:sz w:val="26"/>
          <w:i/>
        </w:rPr>
        <w:t xml:space="preserve">The North American Journal of Economics and Finance, 72</w:t>
      </w:r>
      <w:r>
        <w:rPr>
          <w:rFonts w:ascii="Times New Roman" w:hAnsi="Times New Roman" w:eastAsia="Times New Roman"/>
          <w:sz w:val="26"/>
        </w:rPr>
        <w:t xml:space="preserve">, Article 102159. https://doi.org/10.1016/j.najef.2024.102159</w:t>
      </w:r>
    </w:p>
    <w:p>
      <w:pPr>
        <w:pStyle w:val="Normal"/>
      </w:pPr>
      <w:r>
        <w:rPr>
          <w:rFonts w:ascii="Times New Roman" w:hAnsi="Times New Roman" w:eastAsia="Times New Roman"/>
          <w:sz w:val="26"/>
        </w:rPr>
        <w:t xml:space="preserve">Khaksar, E., Biktimirov, E. N., Ayanso, A., &amp; Sokolyk, T. (2026). Bitcoin returns and volume: Uncovering investor sentiment through topic modeling. </w:t>
      </w:r>
      <w:r>
        <w:rPr>
          <w:rFonts w:ascii="Times New Roman" w:hAnsi="Times New Roman" w:eastAsia="Times New Roman"/>
          <w:sz w:val="26"/>
          <w:i/>
        </w:rPr>
        <w:t xml:space="preserve">International Review of Financial Analysis, 116</w:t>
      </w:r>
      <w:r>
        <w:rPr>
          <w:rFonts w:ascii="Times New Roman" w:hAnsi="Times New Roman" w:eastAsia="Times New Roman"/>
          <w:sz w:val="26"/>
        </w:rPr>
        <w:t xml:space="preserve">, Article 105197. https://doi.org/10.1016/j.irfa.2026.105197</w:t>
      </w:r>
    </w:p>
    <w:p>
      <w:pPr>
        <w:pStyle w:val="Normal"/>
      </w:pPr>
      <w:r>
        <w:rPr>
          <w:rFonts w:ascii="Times New Roman" w:hAnsi="Times New Roman" w:eastAsia="Times New Roman"/>
          <w:sz w:val="26"/>
        </w:rPr>
        <w:t xml:space="preserve">Kraaijeveld, O., &amp; De Smedt, J. (2020). The predictive power of public Twitter sentiment for forecasting cryptocurrency prices. </w:t>
      </w:r>
      <w:r>
        <w:rPr>
          <w:rFonts w:ascii="Times New Roman" w:hAnsi="Times New Roman" w:eastAsia="Times New Roman"/>
          <w:sz w:val="26"/>
          <w:i/>
        </w:rPr>
        <w:t xml:space="preserve">Journal of International Financial Markets, Institutions and Money, 65</w:t>
      </w:r>
      <w:r>
        <w:rPr>
          <w:rFonts w:ascii="Times New Roman" w:hAnsi="Times New Roman" w:eastAsia="Times New Roman"/>
          <w:sz w:val="26"/>
        </w:rPr>
        <w:t xml:space="preserve">, Article 101188. https://doi.org/10.1016/j.intfin.2020.101188</w:t>
      </w:r>
    </w:p>
    <w:p>
      <w:pPr>
        <w:pStyle w:val="Normal"/>
      </w:pPr>
      <w:r>
        <w:rPr>
          <w:rFonts w:ascii="Times New Roman" w:hAnsi="Times New Roman" w:eastAsia="Times New Roman"/>
          <w:sz w:val="26"/>
        </w:rPr>
        <w:t xml:space="preserve">Kristoufek, L. (2013). BitCoin meets Google Trends and Wikipedia: Quantifying the relationship between phenomena of the Internet era. </w:t>
      </w:r>
      <w:r>
        <w:rPr>
          <w:rFonts w:ascii="Times New Roman" w:hAnsi="Times New Roman" w:eastAsia="Times New Roman"/>
          <w:sz w:val="26"/>
          <w:i/>
        </w:rPr>
        <w:t xml:space="preserve">Scientific Reports, 3</w:t>
      </w:r>
      <w:r>
        <w:rPr>
          <w:rFonts w:ascii="Times New Roman" w:hAnsi="Times New Roman" w:eastAsia="Times New Roman"/>
          <w:sz w:val="26"/>
        </w:rPr>
        <w:t xml:space="preserve">, Article 3415. https://doi.org/10.1038/srep03415</w:t>
      </w:r>
    </w:p>
    <w:p>
      <w:pPr>
        <w:pStyle w:val="Normal"/>
      </w:pPr>
      <w:r>
        <w:rPr>
          <w:rFonts w:ascii="Times New Roman" w:hAnsi="Times New Roman" w:eastAsia="Times New Roman"/>
          <w:sz w:val="26"/>
        </w:rPr>
        <w:t xml:space="preserve">Liu, Y., &amp; Tsyvinski, A. (2021). Risks and returns of cryptocurrency. </w:t>
      </w:r>
      <w:r>
        <w:rPr>
          <w:rFonts w:ascii="Times New Roman" w:hAnsi="Times New Roman" w:eastAsia="Times New Roman"/>
          <w:sz w:val="26"/>
          <w:i/>
        </w:rPr>
        <w:t xml:space="preserve">The Review of Financial Studies, 34</w:t>
      </w:r>
      <w:r>
        <w:rPr>
          <w:rFonts w:ascii="Times New Roman" w:hAnsi="Times New Roman" w:eastAsia="Times New Roman"/>
          <w:sz w:val="26"/>
        </w:rPr>
        <w:t xml:space="preserve">(6), 2689–2727. https://doi.org/10.1093/rfs/hhaa113</w:t>
      </w:r>
    </w:p>
    <w:p>
      <w:pPr>
        <w:pStyle w:val="Normal"/>
      </w:pPr>
      <w:r>
        <w:rPr>
          <w:rFonts w:ascii="Times New Roman" w:hAnsi="Times New Roman" w:eastAsia="Times New Roman"/>
          <w:sz w:val="26"/>
        </w:rPr>
        <w:t xml:space="preserve">Loughran, T., &amp; McDonald, B. (2011). When is a liability not a liability? Textual analysis, dictionaries, and 10-Ks. </w:t>
      </w:r>
      <w:r>
        <w:rPr>
          <w:rFonts w:ascii="Times New Roman" w:hAnsi="Times New Roman" w:eastAsia="Times New Roman"/>
          <w:sz w:val="26"/>
          <w:i/>
        </w:rPr>
        <w:t xml:space="preserve">The Journal of Finance, 66</w:t>
      </w:r>
      <w:r>
        <w:rPr>
          <w:rFonts w:ascii="Times New Roman" w:hAnsi="Times New Roman" w:eastAsia="Times New Roman"/>
          <w:sz w:val="26"/>
        </w:rPr>
        <w:t xml:space="preserve">(1), 35–65. https://doi.org/10.1111/j.1540-6261.2010.01625.x</w:t>
      </w:r>
    </w:p>
    <w:p>
      <w:pPr>
        <w:pStyle w:val="Normal"/>
      </w:pPr>
      <w:r>
        <w:rPr>
          <w:rFonts w:ascii="Times New Roman" w:hAnsi="Times New Roman" w:eastAsia="Times New Roman"/>
          <w:sz w:val="26"/>
        </w:rPr>
        <w:t xml:space="preserve">Lucey, B. M., Vigne, S. A., Yarovaya, L., &amp; Wang, Y. (2022). The cryptocurrency uncertainty index. </w:t>
      </w:r>
      <w:r>
        <w:rPr>
          <w:rFonts w:ascii="Times New Roman" w:hAnsi="Times New Roman" w:eastAsia="Times New Roman"/>
          <w:sz w:val="26"/>
          <w:i/>
        </w:rPr>
        <w:t xml:space="preserve">Finance Research Letters, 45</w:t>
      </w:r>
      <w:r>
        <w:rPr>
          <w:rFonts w:ascii="Times New Roman" w:hAnsi="Times New Roman" w:eastAsia="Times New Roman"/>
          <w:sz w:val="26"/>
        </w:rPr>
        <w:t xml:space="preserve">, Article 102147. https://doi.org/10.1016/j.frl.2021.102147</w:t>
      </w:r>
    </w:p>
    <w:p>
      <w:pPr>
        <w:pStyle w:val="Normal"/>
      </w:pPr>
      <w:r>
        <w:rPr>
          <w:rFonts w:ascii="Times New Roman" w:hAnsi="Times New Roman" w:eastAsia="Times New Roman"/>
          <w:sz w:val="26"/>
        </w:rPr>
        <w:t xml:space="preserve">Nasekin, S., &amp; Chen, C. Y.-H. (2020). Deep learning-based cryptocurrency sentiment construction. </w:t>
      </w:r>
      <w:r>
        <w:rPr>
          <w:rFonts w:ascii="Times New Roman" w:hAnsi="Times New Roman" w:eastAsia="Times New Roman"/>
          <w:sz w:val="26"/>
          <w:i/>
        </w:rPr>
        <w:t xml:space="preserve">Digital Finance, 2</w:t>
      </w:r>
      <w:r>
        <w:rPr>
          <w:rFonts w:ascii="Times New Roman" w:hAnsi="Times New Roman" w:eastAsia="Times New Roman"/>
          <w:sz w:val="26"/>
        </w:rPr>
        <w:t xml:space="preserve">(1–2), 39–67. https://doi.org/10.1007/s42521-020-00018-y</w:t>
      </w:r>
    </w:p>
    <w:p>
      <w:pPr>
        <w:pStyle w:val="Normal"/>
      </w:pPr>
      <w:r>
        <w:rPr>
          <w:rFonts w:ascii="Times New Roman" w:hAnsi="Times New Roman" w:eastAsia="Times New Roman"/>
          <w:sz w:val="26"/>
        </w:rPr>
        <w:t xml:space="preserve">Newey, W. K., &amp; West, K. D. (1987). A simple, positive semi-definite, heteroskedasticity and autocorrelation consistent covariance matrix. </w:t>
      </w:r>
      <w:r>
        <w:rPr>
          <w:rFonts w:ascii="Times New Roman" w:hAnsi="Times New Roman" w:eastAsia="Times New Roman"/>
          <w:sz w:val="26"/>
          <w:i/>
        </w:rPr>
        <w:t xml:space="preserve">Econometrica, 55</w:t>
      </w:r>
      <w:r>
        <w:rPr>
          <w:rFonts w:ascii="Times New Roman" w:hAnsi="Times New Roman" w:eastAsia="Times New Roman"/>
          <w:sz w:val="26"/>
        </w:rPr>
        <w:t xml:space="preserve">(3), 703–708. https://doi.org/10.2307/1913610</w:t>
      </w:r>
    </w:p>
    <w:p>
      <w:pPr>
        <w:pStyle w:val="Normal"/>
      </w:pPr>
      <w:r>
        <w:rPr>
          <w:rFonts w:ascii="Times New Roman" w:hAnsi="Times New Roman" w:eastAsia="Times New Roman"/>
          <w:sz w:val="26"/>
        </w:rPr>
        <w:t xml:space="preserve">Ortu, M., Uras, N., Conversano, C., Bartolucci, S., &amp; Destefanis, G. (2022). On technical trading and social media indicators for cryptocurrency price classification through deep learning. </w:t>
      </w:r>
      <w:r>
        <w:rPr>
          <w:rFonts w:ascii="Times New Roman" w:hAnsi="Times New Roman" w:eastAsia="Times New Roman"/>
          <w:sz w:val="26"/>
          <w:i/>
        </w:rPr>
        <w:t xml:space="preserve">Expert Systems with Applications, 198</w:t>
      </w:r>
      <w:r>
        <w:rPr>
          <w:rFonts w:ascii="Times New Roman" w:hAnsi="Times New Roman" w:eastAsia="Times New Roman"/>
          <w:sz w:val="26"/>
        </w:rPr>
        <w:t xml:space="preserve">, Article 116804. https://doi.org/10.1016/j.eswa.2022.116804</w:t>
      </w:r>
    </w:p>
    <w:p>
      <w:pPr>
        <w:pStyle w:val="Normal"/>
      </w:pPr>
      <w:r>
        <w:rPr>
          <w:rFonts w:ascii="Times New Roman" w:hAnsi="Times New Roman" w:eastAsia="Times New Roman"/>
          <w:sz w:val="26"/>
        </w:rPr>
        <w:t xml:space="preserve">Shiller, R. J. (2017). Narrative economics. </w:t>
      </w:r>
      <w:r>
        <w:rPr>
          <w:rFonts w:ascii="Times New Roman" w:hAnsi="Times New Roman" w:eastAsia="Times New Roman"/>
          <w:sz w:val="26"/>
          <w:i/>
        </w:rPr>
        <w:t xml:space="preserve">American Economic Review, 107</w:t>
      </w:r>
      <w:r>
        <w:rPr>
          <w:rFonts w:ascii="Times New Roman" w:hAnsi="Times New Roman" w:eastAsia="Times New Roman"/>
          <w:sz w:val="26"/>
        </w:rPr>
        <w:t xml:space="preserve">(4), 967–1004. https://doi.org/10.1257/aer.107.4.967</w:t>
      </w:r>
    </w:p>
    <w:p>
      <w:pPr>
        <w:pStyle w:val="Normal"/>
      </w:pPr>
      <w:r>
        <w:rPr>
          <w:rFonts w:ascii="Times New Roman" w:hAnsi="Times New Roman" w:eastAsia="Times New Roman"/>
          <w:sz w:val="26"/>
        </w:rPr>
        <w:t xml:space="preserve">Tetlock, P. C. (2007). Giving content to investor sentiment: The role of media in the stock market. </w:t>
      </w:r>
      <w:r>
        <w:rPr>
          <w:rFonts w:ascii="Times New Roman" w:hAnsi="Times New Roman" w:eastAsia="Times New Roman"/>
          <w:sz w:val="26"/>
          <w:i/>
        </w:rPr>
        <w:t xml:space="preserve">The Journal of Finance, 62</w:t>
      </w:r>
      <w:r>
        <w:rPr>
          <w:rFonts w:ascii="Times New Roman" w:hAnsi="Times New Roman" w:eastAsia="Times New Roman"/>
          <w:sz w:val="26"/>
        </w:rPr>
        <w:t xml:space="preserve">(3), 1139–1168. https://doi.org/10.1111/j.1540-6261.2007.01232.x</w:t>
      </w:r>
    </w:p>
    <w:p>
      <w:pPr>
        <w:pStyle w:val="Normal"/>
      </w:pPr>
      <w:r>
        <w:rPr>
          <w:rFonts w:ascii="Times New Roman" w:hAnsi="Times New Roman" w:eastAsia="Times New Roman"/>
          <w:sz w:val="26"/>
        </w:rPr>
        <w:t xml:space="preserve">Walker, C. B. (2024). Going mainstream: Cryptocurrency narratives in newspapers. </w:t>
      </w:r>
      <w:r>
        <w:rPr>
          <w:rFonts w:ascii="Times New Roman" w:hAnsi="Times New Roman" w:eastAsia="Times New Roman"/>
          <w:sz w:val="26"/>
          <w:i/>
        </w:rPr>
        <w:t xml:space="preserve">International Review of Financial Analysis, 94</w:t>
      </w:r>
      <w:r>
        <w:rPr>
          <w:rFonts w:ascii="Times New Roman" w:hAnsi="Times New Roman" w:eastAsia="Times New Roman"/>
          <w:sz w:val="26"/>
        </w:rPr>
        <w:t xml:space="preserve">, Article 103305. https://doi.org/10.1016/j.irfa.2024.103305</w:t>
      </w:r>
    </w:p>
    <w:sectPr>
      <w:headerReference w:type="default" r:id="rId1"/>
      <w:pgSz w:w="11906" w:h="16838"/>
      <w:pgMar w:top="1440" w:right="1300" w:bottom="1440" w:left="1300" w:header="500" w:footer="500"/>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Fonts w:ascii="Times New Roman" w:hAnsi="Times New Roman" w:eastAsia="Times New Roman"/>
          <w:sz w:val="20"/>
          <w:vertAlign w:val="superscript"/>
        </w:rPr>
        <w:footnoteRef/>
      </w:r>
      <w:r>
        <w:rPr>
          <w:rFonts w:ascii="Times New Roman" w:hAnsi="Times New Roman" w:eastAsia="Times New Roman"/>
          <w:sz w:val="20"/>
        </w:rPr>
        <w:t xml:space="preserve"> </w:t>
      </w:r>
      <w:r>
        <w:rPr>
          <w:rFonts w:ascii="Times New Roman" w:hAnsi="Times New Roman" w:eastAsia="Times New Roman"/>
          <w:sz w:val="20"/>
        </w:rPr>
        <w:t xml:space="preserve">Khoảng ngày t là [00:00, 24:00) UTC. </w:t>
      </w:r>
      <w:r>
        <w:rPr>
          <w:rFonts w:ascii="Times New Roman" w:hAnsi="Times New Roman" w:eastAsia="Times New Roman"/>
          <w:sz w:val="20"/>
        </w:rPr>
        <w:t xml:space="preserve">public_ts_utc</w:t>
      </w:r>
      <w:r>
        <w:rPr>
          <w:rFonts w:ascii="Times New Roman" w:hAnsi="Times New Roman" w:eastAsia="Times New Roman"/>
          <w:sz w:val="20"/>
        </w:rPr>
        <w:t xml:space="preserve"> chỉ nhận giờ đăng nếu không sau giờ thấy, cách không quá 48 giờ và cùng ngày UTC; nếu không, lấy giờ thấy. Quy tắc ngăn gán văn bản quan sát ở ngày sau về ngày trước.</w:t>
      </w:r>
    </w:p>
  </w:footnote>
  <w:footnote w:id="2">
    <w:p>
      <w:pPr>
        <w:pStyle w:val="FootnoteText"/>
      </w:pPr>
      <w:r>
        <w:rPr>
          <w:rFonts w:ascii="Times New Roman" w:hAnsi="Times New Roman" w:eastAsia="Times New Roman"/>
          <w:sz w:val="20"/>
          <w:vertAlign w:val="superscript"/>
        </w:rPr>
        <w:footnoteRef/>
      </w:r>
      <w:r>
        <w:rPr>
          <w:rFonts w:ascii="Times New Roman" w:hAnsi="Times New Roman" w:eastAsia="Times New Roman"/>
          <w:sz w:val="20"/>
        </w:rPr>
        <w:t xml:space="preserve"> </w:t>
      </w:r>
      <w:r>
        <w:rPr>
          <w:rFonts w:ascii="Times New Roman" w:hAnsi="Times New Roman" w:eastAsia="Times New Roman"/>
          <w:sz w:val="20"/>
        </w:rPr>
        <w:t xml:space="preserve">Zero-shot dùng embedding của văn bản và mô tả narrative; xác suất mềm chuẩn hóa trên 08 nhóm. LDA và BERTopic chỉ fit trên train; lựa chọn số chủ đề hoặc ngưỡng dùng valid, không nhìn test.</w:t>
      </w:r>
    </w:p>
  </w:footnote>
  <w:footnote w:id="3">
    <w:p>
      <w:pPr>
        <w:pStyle w:val="FootnoteText"/>
      </w:pPr>
      <w:r>
        <w:rPr>
          <w:rFonts w:ascii="Times New Roman" w:hAnsi="Times New Roman" w:eastAsia="Times New Roman"/>
          <w:sz w:val="20"/>
          <w:vertAlign w:val="superscript"/>
        </w:rPr>
        <w:footnoteRef/>
      </w:r>
      <w:r>
        <w:rPr>
          <w:rFonts w:ascii="Times New Roman" w:hAnsi="Times New Roman" w:eastAsia="Times New Roman"/>
          <w:sz w:val="20"/>
        </w:rPr>
        <w:t xml:space="preserve"> </w:t>
      </w:r>
      <w:r>
        <w:rPr>
          <w:rFonts w:ascii="Times New Roman" w:hAnsi="Times New Roman" w:eastAsia="Times New Roman"/>
          <w:sz w:val="20"/>
        </w:rPr>
        <w:t xml:space="preserve">ADF có giả thuyết không là chuỗi có nghiệm đơn vị; KPSS có giả thuyết không là chuỗi dừng. Thiếu đoạn ngày liên tục không được bù bằng giá trị 0 vì 0 có nghĩa kinh tế khác với không thu được tin.</w:t>
      </w:r>
    </w:p>
  </w:footnote>
  <w:footnote w:id="4">
    <w:p>
      <w:pPr>
        <w:pStyle w:val="FootnoteText"/>
      </w:pPr>
      <w:r>
        <w:rPr>
          <w:rFonts w:ascii="Times New Roman" w:hAnsi="Times New Roman" w:eastAsia="Times New Roman"/>
          <w:sz w:val="20"/>
          <w:vertAlign w:val="superscript"/>
        </w:rPr>
        <w:footnoteRef/>
      </w:r>
      <w:r>
        <w:rPr>
          <w:rFonts w:ascii="Times New Roman" w:hAnsi="Times New Roman" w:eastAsia="Times New Roman"/>
          <w:sz w:val="20"/>
        </w:rPr>
        <w:t xml:space="preserve"> </w:t>
      </w:r>
      <w:r>
        <w:rPr>
          <w:rFonts w:ascii="Times New Roman" w:hAnsi="Times New Roman" w:eastAsia="Times New Roman"/>
          <w:sz w:val="20"/>
        </w:rPr>
        <w:t xml:space="preserve">Purge loại quan sát huấn luyện có ngày mục tiêu chạm ngày dự báo; embargo chừa thêm khoảng h ngày. Diebold–Mariano dùng hiệu chỉnh Harvey–Leybourne–Newbold; Clark–West xét sai số dự báo của mô hình lớn hơn lồng mô hình nhỏ.</w:t>
      </w:r>
    </w:p>
  </w:footnote>
</w:footnotes>
</file>

<file path=word/header1.xml><?xml version="1.0" encoding="utf-8"?>
<w:hdr xmlns:w="http://schemas.openxmlformats.org/wordprocessingml/2006/main">
  <w:p>
    <w:pPr>
      <w:jc w:val="center"/>
    </w:pPr>
    <w:r>
      <w:rPr>
        <w:rFonts w:ascii="Times New Roman" w:hAnsi="Times New Roman" w:eastAsia="Times New Roman"/>
        <w:sz w:val="20"/>
      </w:rPr>
      <w:fldChar w:fldCharType="begin"/>
    </w:r>
    <w:r>
      <w:instrText xml:space="preserve"> PAGE </w:instrText>
    </w:r>
    <w:r>
      <w:fldChar w:fldCharType="separate"/>
    </w:r>
    <w:r>
      <w:rPr>
        <w:rFonts w:ascii="Times New Roman" w:hAnsi="Times New Roman" w:eastAsia="Times New Roman"/>
        <w:sz w:val="20"/>
      </w:rPr>
      <w:t xml:space="preserve">1</w:t>
    </w:r>
    <w:r>
      <w:fldChar w:fldCharType="end"/>
    </w:r>
  </w:p>
</w:hdr>
</file>

<file path=word/styles.xml><?xml version="1.0" encoding="utf-8"?>
<w:styles xmlns:w="http://schemas.openxmlformats.org/wordprocessingml/2006/main">
  <w:style w:type="paragraph" w:styleId="Normal">
    <w:name w:val="Normal"/>
    <w:pPr>
      <w:spacing w:before="0" w:after="0" w:line="276" w:lineRule="auto"/>
      <w:ind w:firstLine="720"/>
    </w:pPr>
    <w:rPr>
      <w:rFonts w:ascii="Times New Roman" w:hAnsi="Times New Roman"/>
      <w:sz w:val="26"/>
    </w:rPr>
  </w:style>
  <w:style w:type="paragraph" w:styleId="Title">
    <w:name w:val="Title"/>
    <w:pPr>
      <w:spacing w:before="0" w:after="0" w:line="276" w:lineRule="auto"/>
      <w:ind w:firstLine="0"/>
      <w:jc w:val="center"/>
    </w:pPr>
    <w:rPr>
      <w:rFonts w:ascii="Times New Roman" w:hAnsi="Times New Roman"/>
      <w:sz w:val="28"/>
      <w:b/>
    </w:rPr>
  </w:style>
  <w:style w:type="paragraph" w:styleId="Subtitle">
    <w:name w:val="Subtitle"/>
    <w:pPr>
      <w:spacing w:before="0" w:after="0" w:line="276" w:lineRule="auto"/>
      <w:ind w:firstLine="0"/>
      <w:jc w:val="center"/>
    </w:pPr>
    <w:rPr>
      <w:rFonts w:ascii="Times New Roman" w:hAnsi="Times New Roman"/>
      <w:sz w:val="26"/>
    </w:rPr>
  </w:style>
  <w:style w:type="paragraph" w:styleId="Heading1">
    <w:name w:val="Heading1"/>
    <w:pPr>
      <w:spacing w:before="0" w:after="0" w:line="276" w:lineRule="auto"/>
      <w:ind w:firstLine="0"/>
    </w:pPr>
    <w:rPr>
      <w:rFonts w:ascii="Times New Roman" w:hAnsi="Times New Roman"/>
      <w:sz w:val="26"/>
      <w:b/>
    </w:rPr>
  </w:style>
  <w:style w:type="paragraph" w:styleId="Caption">
    <w:name w:val="Caption"/>
    <w:pPr>
      <w:spacing w:before="0" w:after="0" w:line="276" w:lineRule="auto"/>
      <w:ind w:firstLine="0"/>
    </w:pPr>
    <w:rPr>
      <w:rFonts w:ascii="Times New Roman" w:hAnsi="Times New Roman"/>
      <w:sz w:val="26"/>
      <w:b/>
    </w:rPr>
  </w:style>
  <w:style w:type="paragraph" w:styleId="TableText">
    <w:name w:val="TableText"/>
    <w:pPr>
      <w:spacing w:before="0" w:after="0" w:line="276" w:lineRule="auto"/>
      <w:ind w:firstLine="0"/>
    </w:pPr>
    <w:rPr>
      <w:rFonts w:ascii="Times New Roman" w:hAnsi="Times New Roman"/>
      <w:sz w:val="20"/>
    </w:rPr>
  </w:style>
  <w:style w:type="paragraph" w:styleId="TableNote">
    <w:name w:val="TableNote"/>
    <w:pPr>
      <w:spacing w:before="0" w:after="0" w:line="276" w:lineRule="auto"/>
      <w:ind w:firstLine="0"/>
    </w:pPr>
    <w:rPr>
      <w:rFonts w:ascii="Times New Roman" w:hAnsi="Times New Roman"/>
      <w:sz w:val="20"/>
    </w:rPr>
  </w:style>
  <w:style w:type="paragraph" w:styleId="FootnoteText">
    <w:name w:val="FootnoteText"/>
    <w:pPr>
      <w:spacing w:before="0" w:after="0" w:line="276" w:lineRule="auto"/>
      <w:ind w:firstLine="0"/>
    </w:pPr>
    <w:rPr>
      <w:rFonts w:ascii="Times New Roman" w:hAnsi="Times New Roman"/>
      <w:sz w:val="20"/>
    </w:rPr>
  </w:style>
</w:styles>
</file>

<file path=word/_rels/document.xml.rels><?xml version='1.0' encoding='utf-8'?>
<ns0:Relationships xmlns:ns0="http://schemas.openxmlformats.org/package/2006/relationships"><ns0:Relationship Id="rId1" Type="http://schemas.openxmlformats.org/officeDocument/2006/relationships/header" Target="header1.xml" /><ns0:Relationship Id="rId2" Type="http://schemas.openxmlformats.org/officeDocument/2006/relationships/styles" Target="styles.xml" /><ns0:Relationship Id="rId3" Type="http://schemas.openxmlformats.org/officeDocument/2006/relationships/footnotes" Target="footnotes.xml" /><ns0:Relationship Id="rId4" Type="http://schemas.openxmlformats.org/officeDocument/2006/relationships/image" Target="media/image1.png" /><ns0:Relationship Id="rId5" Type="http://schemas.openxmlformats.org/officeDocument/2006/relationships/image" Target="media/image2.png" /></ns0:Relationships>
</file>