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BENEFITS REALIZATION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Business case của dự án: [DÁN LỢI ÍCH ĐÃ HỨA KHI XIN DUYỆT DỰ 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Baseline hiện tại của các chỉ số: [SỐ LIỆU TRƯỚC DỰ ÁN,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Thời điểm dự kiến go-live: [NGÀY]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Benefit map</w:t>
      </w:r>
    </w:p>
    <w:p>
      <w:r>
        <w:rPr>
          <w:rFonts w:ascii="Arial" w:hAnsi="Arial"/>
          <w:b w:val="0"/>
          <w:i w:val="0"/>
          <w:color w:val="25324A"/>
          <w:sz w:val="21"/>
        </w:rPr>
        <w:t>Benefit map: Output dự án → Outcome nghiệp vụ → Benefit đo được → Mục tiêu chiến lược (vẽ Mermaid flowchart)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Bảng benefit register</w:t>
      </w:r>
    </w:p>
    <w:p>
      <w:r>
        <w:rPr>
          <w:rFonts w:ascii="Arial" w:hAnsi="Arial"/>
          <w:b w:val="0"/>
          <w:i w:val="0"/>
          <w:color w:val="25324A"/>
          <w:sz w:val="21"/>
        </w:rPr>
        <w:t>Bảng benefit register: từng benefit — cách đo (công thức cụ thể) — baseline — target — thời điểm kỳ vọng đạt (nhiều benefit chỉ đến 6-12 tháng sau go-live) — Benefit Owner (người nghiệp vụ)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Phân loại</w:t>
      </w:r>
    </w:p>
    <w:p>
      <w:r>
        <w:rPr>
          <w:rFonts w:ascii="Arial" w:hAnsi="Arial"/>
          <w:b w:val="0"/>
          <w:i w:val="0"/>
          <w:color w:val="25324A"/>
          <w:sz w:val="21"/>
        </w:rPr>
        <w:t>Phân loại: benefit tài chính (quy được ra tiền) vs phi tài chính (chất lượng, hài lòng, rủi ro giảm) — cách đo từng loại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Kế hoạch đo</w:t>
      </w:r>
    </w:p>
    <w:p>
      <w:r>
        <w:rPr>
          <w:rFonts w:ascii="Arial" w:hAnsi="Arial"/>
          <w:b w:val="0"/>
          <w:i w:val="0"/>
          <w:color w:val="25324A"/>
          <w:sz w:val="21"/>
        </w:rPr>
        <w:t>Kế hoạch đo: nguồn dữ liệu, tần suất đo, ai đo, báo cáo cho ai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Điều kiện tiên quyết để benefit xảy ra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kiện tiên quyết để benefit xảy ra: user thật sự dùng hệ thống, quy trình cũ được tắt, training hoàn thành — theo dõi các điều kiện này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Dis-benefit (tác động tiêu cực kèm theo)</w:t>
      </w:r>
    </w:p>
    <w:p>
      <w:r>
        <w:rPr>
          <w:rFonts w:ascii="Arial" w:hAnsi="Arial"/>
          <w:b w:val="0"/>
          <w:i w:val="0"/>
          <w:color w:val="25324A"/>
          <w:sz w:val="21"/>
        </w:rPr>
        <w:t>Dis-benefit (tác động tiêu cực kèm theo): nhận diện + kế hoạch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Lịch benefit review</w:t>
      </w:r>
    </w:p>
    <w:p>
      <w:r>
        <w:rPr>
          <w:rFonts w:ascii="Arial" w:hAnsi="Arial"/>
          <w:b w:val="0"/>
          <w:i w:val="0"/>
          <w:color w:val="25324A"/>
          <w:sz w:val="21"/>
        </w:rPr>
        <w:t>Lịch benefit review: các mốc sau go-live ([3/6/12] tháng), quyết định tại mỗi mốc nếu benefit không đạt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Benefit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618"/>
        <w:gridCol w:w="1264"/>
        <w:gridCol w:w="1264"/>
        <w:gridCol w:w="171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Benefit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Measure / Formula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Baseline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Target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Benefit review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2256"/>
        <w:gridCol w:w="3340"/>
        <w:gridCol w:w="1625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Review point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source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if missed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Benefit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Benefit Map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1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Benefit Map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OUTPUT --&gt; OUTCOME --&gt; BENEFIT --&gt; GOAL[Strategic goal]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Benefit không có owner phía nghiệp vụ = benefit sẽ không ai đòi — không chấp nhận benefit "vô chủ"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Đo benefit SAU go-live mới là lúc bắt đầu, không phải lúc đóng dự án là xong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Benefit phải trace ngược được về business case gốc — chống "lạm phát lợi ích" khi báo cáo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Baseline phải chốt TRƯỚC go-live, không đo hồi tố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Benefits Realization Plan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