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SECURITY &amp; COMPLIANCE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SECURITY RISK ASSESSMENT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ÁN&gt;-73-v1.0-YYYYMMDD]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Security Engineer / CISO đại diện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Tài sản thông tin chính: [DATA, HỆ THỐNG, DỊCH VỤ]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Bối cảnh triển khai: [CLOUD / ON-PREM / HYBRID, VENDOR LIÊN QUAN]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Sự cố/lo ngại đã biết: [NẾU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Danh mục tài sản (asset inventory) + phân loại CIA</w:t>
      </w:r>
    </w:p>
    <w:p>
      <w:r>
        <w:rPr>
          <w:rFonts w:ascii="Arial" w:hAnsi="Arial"/>
          <w:b w:val="0"/>
          <w:i w:val="0"/>
          <w:color w:val="25324A"/>
          <w:sz w:val="21"/>
        </w:rPr>
        <w:t>Danh mục tài sản (asset inventory) + phân loại CIA (Confidentiality/Integrity/Availability) từng tài sản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Nhận diện threat &amp; vulnerability cho từng tài sản quan trọng</w:t>
      </w:r>
    </w:p>
    <w:p>
      <w:r>
        <w:rPr>
          <w:rFonts w:ascii="Arial" w:hAnsi="Arial"/>
          <w:b w:val="0"/>
          <w:i w:val="0"/>
          <w:color w:val="25324A"/>
          <w:sz w:val="21"/>
        </w:rPr>
        <w:t>Nhận diện threat &amp; vulnerability cho từng tài sản quan trọng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Ma trận rủi ro</w:t>
      </w:r>
    </w:p>
    <w:p>
      <w:r>
        <w:rPr>
          <w:rFonts w:ascii="Arial" w:hAnsi="Arial"/>
          <w:b w:val="0"/>
          <w:i w:val="0"/>
          <w:color w:val="25324A"/>
          <w:sz w:val="21"/>
        </w:rPr>
        <w:t>Ma trận rủi ro: Likelihood × Impact, thang 5×5, kèm định nghĩa từng mức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Xếp hạng rủi ro + risk owner đề xuất cho từng rủi ro</w:t>
      </w:r>
    </w:p>
    <w:p>
      <w:r>
        <w:rPr>
          <w:rFonts w:ascii="Arial" w:hAnsi="Arial"/>
          <w:b w:val="0"/>
          <w:i w:val="0"/>
          <w:color w:val="25324A"/>
          <w:sz w:val="21"/>
        </w:rPr>
        <w:t>Xếp hạng rủi ro + risk owner đề xuất cho từng rủi ro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Phương án xử lý theo 4 chiến lược</w:t>
      </w:r>
    </w:p>
    <w:p>
      <w:r>
        <w:rPr>
          <w:rFonts w:ascii="Arial" w:hAnsi="Arial"/>
          <w:b w:val="0"/>
          <w:i w:val="0"/>
          <w:color w:val="25324A"/>
          <w:sz w:val="21"/>
        </w:rPr>
        <w:t>Phương án xử lý theo 4 chiến lược: Mitigate / Transfer / Avoid / Accept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Kế hoạch xử lý rủi ro ưu tiên cao</w:t>
      </w:r>
    </w:p>
    <w:p>
      <w:r>
        <w:rPr>
          <w:rFonts w:ascii="Arial" w:hAnsi="Arial"/>
          <w:b w:val="0"/>
          <w:i w:val="0"/>
          <w:color w:val="25324A"/>
          <w:sz w:val="21"/>
        </w:rPr>
        <w:t>Kế hoạch xử lý rủi ro ưu tiên cao: hành động, deadline, chi phí ước lượng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Rủi ro tồn dư (residual risk) sau xử lý + ai phê duyệt chấp nhận</w:t>
      </w:r>
    </w:p>
    <w:p>
      <w:r>
        <w:rPr>
          <w:rFonts w:ascii="Arial" w:hAnsi="Arial"/>
          <w:b w:val="0"/>
          <w:i w:val="0"/>
          <w:color w:val="25324A"/>
          <w:sz w:val="21"/>
        </w:rPr>
        <w:t>Rủi ro tồn dư (residual risk) sau xử lý + ai phê duyệt chấp nhận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Security risk register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3069"/>
        <w:gridCol w:w="1444"/>
        <w:gridCol w:w="1264"/>
        <w:gridCol w:w="2166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 ID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Scenario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Likelihood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Treatment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Treatment plan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8"/>
        <w:gridCol w:w="1625"/>
        <w:gridCol w:w="1264"/>
        <w:gridCol w:w="1986"/>
        <w:gridCol w:w="1263"/>
      </w:tblGrid>
      <w:tr>
        <w:trPr>
          <w:tblHeader w:val="true"/>
        </w:trP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 owner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Due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Residual risk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rủi ro có 1 risk owner cụ thể — không để "cả team chịu trách nhiệm"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Risk acceptance phải có phê duyệt bằng văn bản của người có thẩm quyền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Đánh giá lại định kỳ [QUÝ/NĂM] và khi có thay đổi lớn về hệ thống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SECURITY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Risk Assessment</dc:title>
  <dc:subject>Power Home SECURITY &amp; COMPLIANCE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