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SOLUTION ARCHITECT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NFR SPECIFICATION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ÁN&gt;-44-v1.0-YYYYMMDD]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SA (input từ BA, SRE, Security)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Lượng user / traffic dự kiến (hiện tại &amp; 2 năm tới):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Mức độ quan trọng của hệ thống: [mission-critical / business-critical / internal]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Yêu cầu tuân thủ: [GDPR / tiêu chuẩn ngành phù hợp / nghị định địa phương...]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Performance (response time p95/p99, throughput)</w:t>
      </w:r>
    </w:p>
    <w:p>
      <w:r>
        <w:rPr>
          <w:rFonts w:ascii="Arial" w:hAnsi="Arial"/>
          <w:b w:val="0"/>
          <w:i w:val="0"/>
          <w:color w:val="25324A"/>
          <w:sz w:val="21"/>
        </w:rPr>
        <w:t>Performance (response time p95/p99, throughput)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Availability &amp; Reliability (uptime %, RTO/RPO, MTTR)</w:t>
      </w:r>
    </w:p>
    <w:p>
      <w:r>
        <w:rPr>
          <w:rFonts w:ascii="Arial" w:hAnsi="Arial"/>
          <w:b w:val="0"/>
          <w:i w:val="0"/>
          <w:color w:val="25324A"/>
          <w:sz w:val="21"/>
        </w:rPr>
        <w:t>Availability &amp; Reliability (uptime %, RTO/RPO, MTTR)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Scalability (horizontal/vertical, giới hạn thiết kế)</w:t>
      </w:r>
    </w:p>
    <w:p>
      <w:r>
        <w:rPr>
          <w:rFonts w:ascii="Arial" w:hAnsi="Arial"/>
          <w:b w:val="0"/>
          <w:i w:val="0"/>
          <w:color w:val="25324A"/>
          <w:sz w:val="21"/>
        </w:rPr>
        <w:t>Scalability (horizontal/vertical, giới hạn thiết kế)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Security (map sang OWASP ASVS level, chuẩn mã hoá)</w:t>
      </w:r>
    </w:p>
    <w:p>
      <w:r>
        <w:rPr>
          <w:rFonts w:ascii="Arial" w:hAnsi="Arial"/>
          <w:b w:val="0"/>
          <w:i w:val="0"/>
          <w:color w:val="25324A"/>
          <w:sz w:val="21"/>
        </w:rPr>
        <w:t>Security (map sang OWASP ASVS level, chuẩn mã hoá)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Usability &amp; Accessibility (WCAG 2.2 AA)</w:t>
      </w:r>
    </w:p>
    <w:p>
      <w:r>
        <w:rPr>
          <w:rFonts w:ascii="Arial" w:hAnsi="Arial"/>
          <w:b w:val="0"/>
          <w:i w:val="0"/>
          <w:color w:val="25324A"/>
          <w:sz w:val="21"/>
        </w:rPr>
        <w:t>Usability &amp; Accessibility (WCAG 2.2 AA)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Maintainability (test coverage tối thiểu, quality gate)</w:t>
      </w:r>
    </w:p>
    <w:p>
      <w:r>
        <w:rPr>
          <w:rFonts w:ascii="Arial" w:hAnsi="Arial"/>
          <w:b w:val="0"/>
          <w:i w:val="0"/>
          <w:color w:val="25324A"/>
          <w:sz w:val="21"/>
        </w:rPr>
        <w:t>Maintainability (test coverage tối thiểu, quality gate)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Compatibility (ma trận browser/OS/device)</w:t>
      </w:r>
    </w:p>
    <w:p>
      <w:r>
        <w:rPr>
          <w:rFonts w:ascii="Arial" w:hAnsi="Arial"/>
          <w:b w:val="0"/>
          <w:i w:val="0"/>
          <w:color w:val="25324A"/>
          <w:sz w:val="21"/>
        </w:rPr>
        <w:t>Compatibility (ma trận browser/OS/device)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Compliance &amp; Auditability (log retention, audit trail) Format mỗi NFR</w:t>
      </w:r>
    </w:p>
    <w:p>
      <w:r>
        <w:rPr>
          <w:rFonts w:ascii="Arial" w:hAnsi="Arial"/>
          <w:b w:val="0"/>
          <w:i w:val="0"/>
          <w:color w:val="25324A"/>
          <w:sz w:val="21"/>
        </w:rPr>
        <w:t>Compliance &amp; Auditability (log retention, audit trail) Format mỗi NFR: NFR-xxx | Category | Mô tả đo được | Target | Cách đo/verify | Priority | Nguồn (BA/SRE/Security)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NFR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076"/>
        <w:gridCol w:w="2527"/>
        <w:gridCol w:w="2076"/>
        <w:gridCol w:w="126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NFR ID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Quality attribute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 / Target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Quality Attribute Scenario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1805"/>
        <w:gridCol w:w="1625"/>
        <w:gridCol w:w="2166"/>
        <w:gridCol w:w="1805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Source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Stimulus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Environment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Measure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Cấm từ mơ hồ ("nhanh", "an toàn", "ổn định") — mọi NFR phải testable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NFR xung đột nhau (VD security vs performance) phải nêu trade-off và quyết định chọn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SOLUTION ARCHITECT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NFR Specification</dc:title>
  <dc:subject>BP SOLUTION ARCHITECT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