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SECURITY &amp; COMPLIANCE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COMPLIANCE GAP CHECKLIST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ÁN&gt;-75-v1.0-YYYYMMDD]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Compliance Officer / Security Engineer kiêm nhiệm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Chuẩn/quy định mục tiêu &amp; lý do: [KHÁCH HÀNG YÊU CẦU / PHÁP LÝ / CHIẾN LƯỢC]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Hiện trạng đã biết: [CHỨNG CHỈ ĐANG CÓ, CHÍNH SÁCH ĐANG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Thời hạn cần đạt: [NGÀY / KHÔNG RÕ]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Tóm tắt chuẩn</w:t>
      </w:r>
    </w:p>
    <w:p>
      <w:r>
        <w:rPr>
          <w:rFonts w:ascii="Arial" w:hAnsi="Arial"/>
          <w:b w:val="0"/>
          <w:i w:val="0"/>
          <w:color w:val="25324A"/>
          <w:sz w:val="21"/>
        </w:rPr>
        <w:t>Tóm tắt chuẩn: phạm vi áp dụng, các nhóm yêu cầu chính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Bảng gap assessment</w:t>
      </w:r>
    </w:p>
    <w:p>
      <w:r>
        <w:rPr>
          <w:rFonts w:ascii="Arial" w:hAnsi="Arial"/>
          <w:b w:val="0"/>
          <w:i w:val="0"/>
          <w:color w:val="25324A"/>
          <w:sz w:val="21"/>
        </w:rPr>
        <w:t>Bảng gap assessment: từng control/điều khoản — trạng thái (Đạt / Đạt một phần / Chưa đạt / Không áp dụng) — bằng chứng cần có — gap cụ thể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Xếp ưu tiên gap theo rủi ro và effort (ma trận quick win / dự án lớn)</w:t>
      </w:r>
    </w:p>
    <w:p>
      <w:r>
        <w:rPr>
          <w:rFonts w:ascii="Arial" w:hAnsi="Arial"/>
          <w:b w:val="0"/>
          <w:i w:val="0"/>
          <w:color w:val="25324A"/>
          <w:sz w:val="21"/>
        </w:rPr>
        <w:t>Xếp ưu tiên gap theo rủi ro và effort (ma trận quick win / dự án lớn)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Remediation roadmap</w:t>
      </w:r>
    </w:p>
    <w:p>
      <w:r>
        <w:rPr>
          <w:rFonts w:ascii="Arial" w:hAnsi="Arial"/>
          <w:b w:val="0"/>
          <w:i w:val="0"/>
          <w:color w:val="25324A"/>
          <w:sz w:val="21"/>
        </w:rPr>
        <w:t>Remediation roadmap: hành động, owner đề xuất, timeline, phụ thuộc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Danh sách bằng chứng (evidence) cần thu thập cho audit</w:t>
      </w:r>
    </w:p>
    <w:p>
      <w:r>
        <w:rPr>
          <w:rFonts w:ascii="Arial" w:hAnsi="Arial"/>
          <w:b w:val="0"/>
          <w:i w:val="0"/>
          <w:color w:val="25324A"/>
          <w:sz w:val="21"/>
        </w:rPr>
        <w:t>Danh sách bằng chứng (evidence) cần thu thập cho audit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Rủi ro nếu không tuân thủ</w:t>
      </w:r>
    </w:p>
    <w:p>
      <w:r>
        <w:rPr>
          <w:rFonts w:ascii="Arial" w:hAnsi="Arial"/>
          <w:b w:val="0"/>
          <w:i w:val="0"/>
          <w:color w:val="25324A"/>
          <w:sz w:val="21"/>
        </w:rPr>
        <w:t>Rủi ro nếu không tuân thủ: phạt, mất hợp đồng, uy tín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Compliance gaps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2437"/>
        <w:gridCol w:w="1805"/>
        <w:gridCol w:w="1173"/>
        <w:gridCol w:w="1806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 / Clause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Gap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Remediation tracker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9"/>
        <w:gridCol w:w="1625"/>
        <w:gridCol w:w="1354"/>
        <w:gridCol w:w="1354"/>
        <w:gridCol w:w="1534"/>
      </w:tblGrid>
      <w:tr>
        <w:trPr>
          <w:tblHeader w:val="true"/>
        </w:trP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Due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3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"Không áp dụng" phải kèm justification bằng văn bản — auditor sẽ hỏi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Bằng chứng phải là artifact thật (policy đã ký, log, config), không phải lời mô tả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Compliance là quá trình liên tục — đề xuất chu kỳ internal audit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SECURITY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Gap Checklist</dc:title>
  <dc:subject>BP SECURITY &amp; COMPLIANCE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