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ARCHITECTURE DECISION RECORD (ADR)</w:t>
      </w:r>
    </w:p>
    <w:p>
      <w:pPr>
        <w:pStyle w:val="Heading1"/>
        <w:spacing w:after="60" w:before="1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ADR-</w:t>
      </w:r>
      <w:r>
        <w:rPr>
          <w:rFonts w:ascii="Calibri" w:cs="Calibri" w:eastAsia="Calibri" w:hAnsi="Calibri"/>
          <w:i/>
          <w:iCs/>
          <w:color w:val="C00000"/>
          <w:sz w:val="34"/>
          <w:szCs w:val="34"/>
        </w:rPr>
        <w:t xml:space="preserve">[xxx]</w:t>
      </w: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: </w:t>
      </w:r>
      <w:r>
        <w:rPr>
          <w:rFonts w:ascii="Calibri" w:cs="Calibri" w:eastAsia="Calibri" w:hAnsi="Calibri"/>
          <w:i/>
          <w:iCs/>
          <w:color w:val="C00000"/>
          <w:sz w:val="30"/>
          <w:szCs w:val="30"/>
        </w:rPr>
        <w:t xml:space="preserve">[Động từ + quyết định — VD: Chọn &lt;phương án X&gt; làm &lt;vấn đề — message broker / database / pattern giao tiếp giữa services&gt;]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62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Ngày quyết định</w:t>
            </w:r>
          </w:p>
        </w:tc>
        <w:tc>
          <w:tcPr>
            <w:tcW w:type="dxa" w:w="6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[dd/mm/yyyy]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Người quyết định (deciders)</w:t>
            </w:r>
          </w:p>
        </w:tc>
        <w:tc>
          <w:tcPr>
            <w:tcW w:type="dxa" w:w="6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 — SA + Tech Lead + ĐIỀN, người có quyền chốt]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Người tư vấn / được tham vấn</w:t>
            </w:r>
          </w:p>
        </w:tc>
        <w:tc>
          <w:tcPr>
            <w:tcW w:type="dxa" w:w="6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 — VD: EA, Security, DBA, vendor]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Tham chiếu</w:t>
            </w:r>
          </w:p>
        </w:tc>
        <w:tc>
          <w:tcPr>
            <w:tcW w:type="dxa" w:w="6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[Link SRS/BRD mã FR/NFR liên quan; link ADR liên quan]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Status (Trạng thái)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[Proposed / Accepted / Deprecated / Superseded by ADR-yyy / Rejected]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Context (Bối cảnh &amp; các lực tác động)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Mô tả vấn đề cần quyết định và các "lực" (forces) đang tác động — cả business lẫn technical. Không nêu giải pháp ở đây.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Vấn đề: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VD: chọn message broker / database / pattern giao tiếp giữa services]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Lực business: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VD: deadline, ngân sách, cam kết SLA với khách hàng]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Lực technical: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VD: hệ thống hiện hữu phải tích hợp, tải dự kiến, tech stack hiện tại]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Ràng buộc (constraints):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budget, kỹ năng team, deadline, hệ thống hiện hữu, quy định pháp lý]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Giả định (assumptions):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điều đang tin là đúng nhưng chưa xác nhận]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Decision Drivers (Tiêu chí đánh giá + trọng số)</w:t>
      </w:r>
    </w:p>
    <w:p>
      <w:pPr>
        <w:pBdr>
          <w:left w:val="single" w:color="2E75B6" w:sz="18"/>
        </w:pBd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  Best practice: chốt driver và trọng số TRƯỚC khi chấm điểm option — tránh "chấm ngược" để hợp thức hóa phương án đã thích sẵn. Tổng trọng số = 100%.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200"/>
        <w:gridCol w:w="3000"/>
      </w:tblGrid>
      <w:tr>
        <w:trPr>
          <w:tblHeader/>
        </w:trPr>
        <w:tc>
          <w:tcPr>
            <w:tcW w:type="dxa" w:w="7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Tiêu chí (driver)</w:t>
            </w:r>
          </w:p>
        </w:tc>
        <w:tc>
          <w:tcPr>
            <w:tcW w:type="dxa" w:w="12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Trọng số</w:t>
            </w:r>
          </w:p>
        </w:tc>
        <w:tc>
          <w:tcPr>
            <w:tcW w:type="dxa" w:w="30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Cách đo / diễn giải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D1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[VD: Phù hợp NFR — throughput/latency yêu cầu]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[30%]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 — VD: đạt ≥ ĐIỀN msg/s trong PoC]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D2</w:t>
            </w:r>
          </w:p>
        </w:tc>
        <w:tc>
          <w:tcPr>
            <w:tcW w:type="dxa" w:w="4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[VD: Kỹ năng team &amp; learning curve]</w:t>
            </w:r>
          </w:p>
        </w:tc>
        <w:tc>
          <w:tcPr>
            <w:tcW w:type="dxa" w:w="1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[20%]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 — VD: số người đã có kinh nghiệm]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D3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[VD: Chi phí (license + hạ tầng + vận hành, TCO 3 năm)]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[20%]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D4</w:t>
            </w:r>
          </w:p>
        </w:tc>
        <w:tc>
          <w:tcPr>
            <w:tcW w:type="dxa" w:w="4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[VD: Độ trưởng thành &amp; hệ sinh thái, hỗ trợ vendor]</w:t>
            </w:r>
          </w:p>
        </w:tc>
        <w:tc>
          <w:tcPr>
            <w:tcW w:type="dxa" w:w="1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[15%]</w:t>
            </w:r>
          </w:p>
        </w:tc>
        <w:tc>
          <w:tcPr>
            <w:tcW w:type="dxa" w:w="30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  <w:tr>
        <w:tc>
          <w:tcPr>
            <w:tcW w:type="dxa" w:w="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D5</w:t>
            </w:r>
          </w:p>
        </w:tc>
        <w:tc>
          <w:tcPr>
            <w:tcW w:type="dxa" w:w="4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[VD: Khả năng tích hợp với hệ thống hiện hữu ĐIỀN]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[15%]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Considered Options (Các phương án đã cân nhắc)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4.1 Bảng so sánh theo driver</w:t>
      </w:r>
    </w:p>
    <w:p>
      <w:pPr>
        <w:pBdr>
          <w:left w:val="single" w:color="2E75B6" w:sz="18"/>
        </w:pBd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  Thang điểm gợi ý: 1 (kém) – 5 (tốt). Điểm có trọng số = Σ(điểm × trọng số driver).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200"/>
      </w:tblGrid>
      <w:tr>
        <w:trPr>
          <w:tblHeader/>
        </w:trPr>
        <w:tc>
          <w:tcPr>
            <w:tcW w:type="dxa" w:w="2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Driver (trọng số)</w:t>
            </w:r>
          </w:p>
        </w:tc>
        <w:tc>
          <w:tcPr>
            <w:tcW w:type="dxa" w:w="23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A: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3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B: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2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C: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D1 </w:t>
            </w: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[30%]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[điểm 1–5]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[điểm 1–5]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[điểm 1–5]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D2 </w:t>
            </w: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[20%]</w:t>
            </w:r>
          </w:p>
        </w:tc>
        <w:tc>
          <w:tcPr>
            <w:tcW w:type="dxa" w:w="2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[...]</w:t>
            </w:r>
          </w:p>
        </w:tc>
        <w:tc>
          <w:tcPr>
            <w:tcW w:type="dxa" w:w="2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[...]</w:t>
            </w:r>
          </w:p>
        </w:tc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[...]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D3 </w:t>
            </w: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[20%]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[...]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[...]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[...]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D4 </w:t>
            </w: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[15%]</w:t>
            </w:r>
          </w:p>
        </w:tc>
        <w:tc>
          <w:tcPr>
            <w:tcW w:type="dxa" w:w="2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[...]</w:t>
            </w:r>
          </w:p>
        </w:tc>
        <w:tc>
          <w:tcPr>
            <w:tcW w:type="dxa" w:w="2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[...]</w:t>
            </w:r>
          </w:p>
        </w:tc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[...]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D5 </w:t>
            </w: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[15%]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[...]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[...]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[...]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Tổng có trọng số</w:t>
            </w:r>
          </w:p>
        </w:tc>
        <w:tc>
          <w:tcPr>
            <w:tcW w:type="dxa" w:w="2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4.2 Phân tích chi tiết từng option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500"/>
        <w:gridCol w:w="2500"/>
      </w:tblGrid>
      <w:tr>
        <w:trPr>
          <w:tblHeader/>
        </w:trPr>
        <w:tc>
          <w:tcPr>
            <w:tcW w:type="dxa" w:w="16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Khía cạnh</w:t>
            </w:r>
          </w:p>
        </w:tc>
        <w:tc>
          <w:tcPr>
            <w:tcW w:type="dxa" w:w="26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A: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5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B: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5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 C: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Ưu điểm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  <w:tr>
        <w:tc>
          <w:tcPr>
            <w:tcW w:type="dxa" w:w="1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Nhược điểm</w:t>
            </w:r>
          </w:p>
        </w:tc>
        <w:tc>
          <w:tcPr>
            <w:tcW w:type="dxa" w:w="2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 phí (TCO)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 — license/hạ tầng/người]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  <w:tr>
        <w:tc>
          <w:tcPr>
            <w:tcW w:type="dxa" w:w="1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Rủi ro chính</w:t>
            </w:r>
          </w:p>
        </w:tc>
        <w:tc>
          <w:tcPr>
            <w:tcW w:type="dxa" w:w="2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 + mức C/T/T]</w:t>
            </w:r>
          </w:p>
        </w:tc>
        <w:tc>
          <w:tcPr>
            <w:tcW w:type="dxa" w:w="2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Độ trưởng thành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 — version, cộng đồng, LTS, case study cùng ngành]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  <w:tr>
        <w:tc>
          <w:tcPr>
            <w:tcW w:type="dxa" w:w="1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Fit với constraints</w:t>
            </w:r>
          </w:p>
        </w:tc>
        <w:tc>
          <w:tcPr>
            <w:tcW w:type="dxa" w:w="26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 — đối chiếu ràng buộc ở Mục 2]</w:t>
            </w:r>
          </w:p>
        </w:tc>
        <w:tc>
          <w:tcPr>
            <w:tcW w:type="dxa" w:w="2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Decision (Quyết định)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Chọn: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[Option ĐIỀN — tên phương án]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Lý do: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tóm tắt 3–5 dòng vì sao option này thắng theo driver; nêu rõ trade-off đã chấp nhận. VD: "Option A đạt điểm cao nhất ở D1, D5 vốn chiếm 45% trọng số; chấp nhận nhược điểm về D2 vì có kế hoạch đào tạo ở Mục 8."]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Các phương án bị loại và lý do loại: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bắt buộc, mỗi option 1–2 dòng. VD: "Option B bị loại vì vượt budget ĐIỀN%; Option C bị loại vì chưa có hỗ trợ chính thức cho ĐIỀN."]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Consequences (Hệ quả)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6.1 Tích cực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VD: đáp ứng NFR throughput; giảm chi phí vận hành ĐIỀN%]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[ĐIỀN]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6.2 Tiêu cực / đánh đổi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 — VD: team cần ĐIỀN tuần ramp-up; thêm 1 thành phần hạ tầng phải vận hành]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[ĐIỀN]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6.3 Technical debt chấp nhận có chủ đích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00"/>
        <w:gridCol w:w="3100"/>
      </w:tblGrid>
      <w:tr>
        <w:trPr>
          <w:tblHeader/>
        </w:trPr>
        <w:tc>
          <w:tcPr>
            <w:tcW w:type="dxa" w:w="3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Debt</w:t>
            </w:r>
          </w:p>
        </w:tc>
        <w:tc>
          <w:tcPr>
            <w:tcW w:type="dxa" w:w="27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Lý do chấp nhận</w:t>
            </w:r>
          </w:p>
        </w:tc>
        <w:tc>
          <w:tcPr>
            <w:tcW w:type="dxa" w:w="31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Kế hoạch trả / thời điểm xem lại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 — VD: chưa bật multi-DC replication ở phase 1]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 — VD: ưu tiên go-live]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 — VD: review lại tại phase 2 / Q ĐIỀN]</w:t>
            </w:r>
          </w:p>
        </w:tc>
      </w:tr>
      <w:tr>
        <w:tc>
          <w:tcPr>
            <w:tcW w:type="dxa" w:w="3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27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31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Follow-up Actions (Hành động tiếp theo)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1800"/>
        <w:gridCol w:w="1200"/>
        <w:gridCol w:w="1300"/>
      </w:tblGrid>
      <w:tr>
        <w:trPr>
          <w:tblHeader/>
        </w:trPr>
        <w:tc>
          <w:tcPr>
            <w:tcW w:type="dxa" w:w="5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18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12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Hạn</w:t>
            </w:r>
          </w:p>
        </w:tc>
        <w:tc>
          <w:tcPr>
            <w:tcW w:type="dxa" w:w="1300"/>
            <w:shd w:fill="2E75B6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[VD: PoC xác nhận driver D1 với tải ĐIỀN]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[dd/mm]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[Open]</w:t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[VD: Cập nhật SAD Mục 4/5 theo quyết định này]</w:t>
            </w:r>
          </w:p>
        </w:tc>
        <w:tc>
          <w:tcPr>
            <w:tcW w:type="dxa" w:w="18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1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[dd/mm]</w:t>
            </w:r>
          </w:p>
        </w:tc>
        <w:tc>
          <w:tcPr>
            <w:tcW w:type="dxa" w:w="1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[Open]</w:t>
            </w:r>
          </w:p>
        </w:tc>
      </w:tr>
      <w:tr>
        <w:tc>
          <w:tcPr>
            <w:tcW w:type="dxa" w:w="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[VD: Kế hoạch đào tạo team về ĐIỀN]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[dd/mm]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[Open]</w:t>
            </w:r>
          </w:p>
        </w:tc>
      </w:tr>
      <w:tr>
        <w:tc>
          <w:tcPr>
            <w:tcW w:type="dxa" w:w="5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[VD: Thông báo quyết định tới EA/ARB, dev team, vendor]</w:t>
            </w:r>
          </w:p>
        </w:tc>
        <w:tc>
          <w:tcPr>
            <w:tcW w:type="dxa" w:w="18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[ĐIỀN]</w:t>
            </w:r>
          </w:p>
        </w:tc>
        <w:tc>
          <w:tcPr>
            <w:tcW w:type="dxa" w:w="12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[dd/mm]</w:t>
            </w:r>
          </w:p>
        </w:tc>
        <w:tc>
          <w:tcPr>
            <w:tcW w:type="dxa" w:w="1300"/>
            <w:shd w:fill="F2F2F2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19"/>
                <w:szCs w:val="19"/>
              </w:rPr>
              <w:t xml:space="preserve">[Open]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ADR-</w:t>
    </w:r>
    <w:r>
      <w:rPr>
        <w:rFonts w:ascii="Calibri" w:cs="Calibri" w:eastAsia="Calibri" w:hAnsi="Calibri"/>
        <w:i/>
        <w:iCs/>
        <w:color w:val="C00000"/>
        <w:sz w:val="18"/>
        <w:szCs w:val="18"/>
      </w:rPr>
      <w:t xml:space="preserve">[xxx]</w:t>
    </w:r>
    <w:r>
      <w:rPr>
        <w:rFonts w:ascii="Calibri" w:cs="Calibri" w:eastAsia="Calibri" w:hAnsi="Calibri"/>
        <w:color w:val="808080"/>
        <w:sz w:val="18"/>
        <w:szCs w:val="18"/>
      </w:rPr>
      <w:t xml:space="preserve"> — docs/adr/ — </w:t>
    </w:r>
    <w:r>
      <w:rPr>
        <w:rFonts w:ascii="Calibri" w:cs="Calibri" w:eastAsia="Calibri" w:hAnsi="Calibri"/>
        <w:i/>
        <w:iCs/>
        <w:color w:val="C00000"/>
        <w:sz w:val="18"/>
        <w:szCs w:val="18"/>
      </w:rPr>
      <w:t xml:space="preserve">[TÊN DỰ ÁN]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2026-07-15T08:31:29.218Z</dcterms:created>
  <dcterms:modified xsi:type="dcterms:W3CDTF">2026-07-15T08:31:29.231Z</dcterms:modified>
</cp:coreProperties>
</file>