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OPERATIONS &amp; SRE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SLI/SLO/SLA DOCUMENT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ÁN&gt;-81-v1.0-YYYYMMDD]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SRE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Dịch vụ/tính năng trong phạm vi: [LIỆT KÊ]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Kỳ vọng nghiệp vụ: [VD: THANH TOÁN KHÔNG ĐƯỢC GIÁN ĐOẠN QUÁ X PHÚT]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Công cụ monitoring hiện có: [PROMETHEUS / DATADOG / CLOUDWATCH...]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Cam kết hợp đồng với khách hàng (nếu có): [DÁN ĐIỀU KHOẢN]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Phân biệt SLI / SLO / SLA (giải thích 3 câu cho stakeholder không kỹ thuật)</w:t>
      </w:r>
    </w:p>
    <w:p>
      <w:r>
        <w:rPr>
          <w:rFonts w:ascii="Arial" w:hAnsi="Arial"/>
          <w:b w:val="0"/>
          <w:i w:val="0"/>
          <w:color w:val="25324A"/>
          <w:sz w:val="21"/>
        </w:rPr>
        <w:t>Phân biệt SLI / SLO / SLA (giải thích 3 câu cho stakeholder không kỹ thuật)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SLI cho từng dịch vụ</w:t>
      </w:r>
    </w:p>
    <w:p>
      <w:r>
        <w:rPr>
          <w:rFonts w:ascii="Arial" w:hAnsi="Arial"/>
          <w:b w:val="0"/>
          <w:i w:val="0"/>
          <w:color w:val="25324A"/>
          <w:sz w:val="21"/>
        </w:rPr>
        <w:t>SLI cho từng dịch vụ: chọn từ availability, latency (p50/p95/p99), error rate, throughput, freshness — kèm công thức đo chính xác và nguồn dữ liệu (metric nào, tool nào)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SLO đề xuất</w:t>
      </w:r>
    </w:p>
    <w:p>
      <w:r>
        <w:rPr>
          <w:rFonts w:ascii="Arial" w:hAnsi="Arial"/>
          <w:b w:val="0"/>
          <w:i w:val="0"/>
          <w:color w:val="25324A"/>
          <w:sz w:val="21"/>
        </w:rPr>
        <w:t>SLO đề xuất: mục tiêu + cửa sổ đo (rolling 28/30 ngày) + căn cứ chọn mức đó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Error budget</w:t>
      </w:r>
    </w:p>
    <w:p>
      <w:r>
        <w:rPr>
          <w:rFonts w:ascii="Arial" w:hAnsi="Arial"/>
          <w:b w:val="0"/>
          <w:i w:val="0"/>
          <w:color w:val="25324A"/>
          <w:sz w:val="21"/>
        </w:rPr>
        <w:t>Error budget: cách tính, ví dụ cụ thể (VD: SLO 99.9%/30 ngày → budget 43.2 phút)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Error budget policy</w:t>
      </w:r>
    </w:p>
    <w:p>
      <w:r>
        <w:rPr>
          <w:rFonts w:ascii="Arial" w:hAnsi="Arial"/>
          <w:b w:val="0"/>
          <w:i w:val="0"/>
          <w:color w:val="25324A"/>
          <w:sz w:val="21"/>
        </w:rPr>
        <w:t>Error budget policy: burn rate bao nhiêu thì cảnh báo, hết budget thì hành động gì (đóng băng release tính năng, ưu tiên reliability)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SLA đối ngoại (nếu có)</w:t>
      </w:r>
    </w:p>
    <w:p>
      <w:r>
        <w:rPr>
          <w:rFonts w:ascii="Arial" w:hAnsi="Arial"/>
          <w:b w:val="0"/>
          <w:i w:val="0"/>
          <w:color w:val="25324A"/>
          <w:sz w:val="21"/>
        </w:rPr>
        <w:t>SLA đối ngoại (nếu có): mức cam kết thấp hơn SLO nội bộ, điều khoản bồi hoàn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Bảng alert threshold gắn với burn rate (fast burn / slow burn)</w:t>
      </w:r>
    </w:p>
    <w:p>
      <w:r>
        <w:rPr>
          <w:rFonts w:ascii="Arial" w:hAnsi="Arial"/>
          <w:b w:val="0"/>
          <w:i w:val="0"/>
          <w:color w:val="25324A"/>
          <w:sz w:val="21"/>
        </w:rPr>
        <w:t>Bảng alert threshold gắn với burn rate (fast burn / slow burn)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Service objectives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1805"/>
        <w:gridCol w:w="1625"/>
        <w:gridCol w:w="1625"/>
        <w:gridCol w:w="1715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Service / Journey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SLI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SLO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Window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Error budget policy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6"/>
        <w:gridCol w:w="1805"/>
        <w:gridCol w:w="3430"/>
        <w:gridCol w:w="1715"/>
      </w:tblGrid>
      <w:tr>
        <w:trPr>
          <w:tblHeader w:val="true"/>
        </w:trP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Condition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Budget state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Required action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 owner</w:t>
            </w:r>
          </w:p>
        </w:tc>
      </w:tr>
      <w:t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SLI đo từ góc nhìn người dùng, không đo cho có (CPU cao không phải SLI)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SLO 100% là sai — mọi mục tiêu phải chừa error budget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SLA cam kết ra ngoài luôn thấp hơn SLO nội bộ để có biên an toàn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Chưa có dữ liệu lịch sử → đề xuất SLO tạm + kế hoạch đo 4-6 tuần rồi hiệu chỉnh, đánh dấu [CẦN XÁC NHẬN]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OPERATIONS &amp; SRE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SLI/SLO/SLA Document</dc:title>
  <dc:subject>Power Home OPERATIONS &amp; SRE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