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SECURITY RISK ASSESSMENT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 / CISO đại diện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Tài sản thông tin chính: [DATA, HỆ THỐNG, DỊCH VỤ]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Bối cảnh triển khai: [CLOUD / ON-PREM / HYBRID, VENDOR LIÊN QUAN]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Sự cố/lo ngại đã biết: [NẾU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Danh mục tài sản (asset inventory) + phân loại CIA</w:t>
      </w:r>
    </w:p>
    <w:p>
      <w:r>
        <w:rPr>
          <w:rFonts w:ascii="Arial" w:hAnsi="Arial"/>
          <w:b w:val="0"/>
          <w:i w:val="0"/>
          <w:color w:val="25324A"/>
          <w:sz w:val="21"/>
        </w:rPr>
        <w:t>Danh mục tài sản (asset inventory) + phân loại CIA (Confidentiality/Integrity/Availability) từng tài sản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Nhận diện threat &amp; vulnerability cho từng tài sản quan trọng</w:t>
      </w:r>
    </w:p>
    <w:p>
      <w:r>
        <w:rPr>
          <w:rFonts w:ascii="Arial" w:hAnsi="Arial"/>
          <w:b w:val="0"/>
          <w:i w:val="0"/>
          <w:color w:val="25324A"/>
          <w:sz w:val="21"/>
        </w:rPr>
        <w:t>Nhận diện threat &amp; vulnerability cho từng tài sản quan trọng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Ma trận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Ma trận rủi ro: Likelihood × Impact, thang 5×5, kèm định nghĩa từng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Xếp hạng rủi ro + risk owner đề xuất cho từng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Xếp hạng rủi ro + risk owner đề xuất cho từng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Phương án xử lý theo 4 chiến lược</w:t>
      </w:r>
    </w:p>
    <w:p>
      <w:r>
        <w:rPr>
          <w:rFonts w:ascii="Arial" w:hAnsi="Arial"/>
          <w:b w:val="0"/>
          <w:i w:val="0"/>
          <w:color w:val="25324A"/>
          <w:sz w:val="21"/>
        </w:rPr>
        <w:t>Phương án xử lý theo 4 chiến lược: Mitigate / Transfer / Avoid / Accept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Kế hoạch xử lý rủi ro ưu tiên cao</w:t>
      </w:r>
    </w:p>
    <w:p>
      <w:r>
        <w:rPr>
          <w:rFonts w:ascii="Arial" w:hAnsi="Arial"/>
          <w:b w:val="0"/>
          <w:i w:val="0"/>
          <w:color w:val="25324A"/>
          <w:sz w:val="21"/>
        </w:rPr>
        <w:t>Kế hoạch xử lý rủi ro ưu tiên cao: hành động, deadline, chi phí ước lượng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Rủi ro tồn dư (residual risk) sau xử lý + ai phê duyệt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tồn dư (residual risk) sau xử lý + ai phê duyệt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Security risk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3069"/>
        <w:gridCol w:w="1444"/>
        <w:gridCol w:w="1264"/>
        <w:gridCol w:w="2166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 ID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Likelihood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Treatment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Treatment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8"/>
        <w:gridCol w:w="1625"/>
        <w:gridCol w:w="1264"/>
        <w:gridCol w:w="1986"/>
        <w:gridCol w:w="1263"/>
      </w:tblGrid>
      <w:tr>
        <w:trPr>
          <w:tblHeader w:val="true"/>
        </w:trP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 owner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Residual risk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rủi ro có 1 risk owner cụ thể — không để "cả team chịu trách nhiệm"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Risk acceptance phải có phê duyệt bằng văn bản của người có thẩm quyền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Đánh giá lại định kỳ [QUÝ/NĂM] và khi có thay đổi lớn về hệ thống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Risk Assessment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