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6477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keepNext/>
      </w:pPr>
      <w:r>
        <w:t xml:space="preserve">BÁO CÁO RỦI RO DOANH NGHIỆP</w:t>
      </w:r>
    </w:p>
    <w:p>
      <w:pPr>
        <w:pStyle w:val="Normal"/>
        <w:keepNext w:val="false"/>
      </w:pPr>
      <w:r>
        <w:t xml:space="preserve">SYNTHETIC · DỮ LIỆU THỬ NGHIỆM</w:t>
      </w:r>
    </w:p>
    <w:p>
      <w:pPr>
        <w:pStyle w:val="Normal"/>
        <w:keepNext w:val="false"/>
      </w:pPr>
      <w:r>
        <w:t xml:space="preserve">Công ty Mẫu | 2026-09-03 | Q4-2026 | VND (triệu) | v1</w:t>
      </w:r>
    </w:p>
    <w:p>
      <w:pPr>
        <w:pStyle w:val="Heading1"/>
        <w:keepNext/>
      </w:pPr>
      <w:r>
        <w:t xml:space="preserve">Quyết định cần xử lý</w:t>
      </w:r>
    </w:p>
    <w:p>
      <w:pPr>
        <w:pStyle w:val="Normal"/>
        <w:keepNext w:val="false"/>
      </w:pPr>
      <w:r>
        <w:t xml:space="preserve">Quyết định nguồn lực dự phòng và xử lý breach thanh khoản; chưa phê duyệt.</w:t>
      </w:r>
    </w:p>
    <w:p>
      <w:pPr>
        <w:pStyle w:val="Normal"/>
        <w:keepNext w:val="false"/>
      </w:pPr>
      <w:r>
        <w:t xml:space="preserve">3 risks; 2 metric breaches; 1 metric chưa đủ. Trạng thái đã biết: capacity_breach.</w:t>
      </w:r>
    </w:p>
    <w:p>
      <w:pPr>
        <w:pStyle w:val="Heading1"/>
        <w:keepNext/>
      </w:pPr>
      <w:r>
        <w:t xml:space="preserve">Risk profile</w:t>
      </w:r>
    </w:p>
    <w:p>
      <w:pPr>
        <w:pStyle w:val="Heading2"/>
        <w:keepNext/>
      </w:pPr>
      <w:r>
        <w:t xml:space="preserve">R1 · Gián đoạn nguồn cung</w:t>
      </w:r>
    </w:p>
    <w:p>
      <w:pPr>
        <w:pStyle w:val="Normal"/>
        <w:keepNext w:val="false"/>
      </w:pPr>
      <w:r>
        <w:t xml:space="preserve">Hai suppliers cùng cảng → Cảng chung dừng dài hơn buffer → Thiếu hàng và giảm contribution. Owner: COO.</w:t>
      </w:r>
    </w:p>
    <w:p>
      <w:pPr>
        <w:pStyle w:val="Normal"/>
        <w:keepNext w:val="false"/>
      </w:pPr>
      <w:r>
        <w:t xml:space="preserve">Assessment: current/M1: High (approved); I=4, L=3</w:t>
      </w:r>
    </w:p>
    <w:p>
      <w:pPr>
        <w:pStyle w:val="Normal"/>
        <w:keepNext w:val="false"/>
      </w:pPr>
      <w:r>
        <w:t xml:space="preserve">Appetite: breach; incomplete=false. Evidence: SYN1.</w:t>
      </w:r>
    </w:p>
    <w:p>
      <w:pPr>
        <w:pStyle w:val="Heading2"/>
        <w:keepNext/>
      </w:pPr>
      <w:r>
        <w:t xml:space="preserve">R2 · Thiếu hụt thanh khoản</w:t>
      </w:r>
    </w:p>
    <w:p>
      <w:pPr>
        <w:pStyle w:val="Normal"/>
        <w:keepNext w:val="false"/>
      </w:pPr>
      <w:r>
        <w:t xml:space="preserve">Khách hàng trả chậm → Thu tiền trễ hơn hạn thanh toán → Cash xuống dưới mức sàn. Owner: CFO.</w:t>
      </w:r>
    </w:p>
    <w:p>
      <w:pPr>
        <w:pStyle w:val="Normal"/>
        <w:keepNext w:val="false"/>
      </w:pPr>
      <w:r>
        <w:t xml:space="preserve">Assessment: current/M1: Critical (approved); I=5, L=4</w:t>
      </w:r>
    </w:p>
    <w:p>
      <w:pPr>
        <w:pStyle w:val="Normal"/>
        <w:keepNext w:val="false"/>
      </w:pPr>
      <w:r>
        <w:t xml:space="preserve">Appetite: capacity_breach; incomplete=false. Evidence: SYN1.</w:t>
      </w:r>
    </w:p>
    <w:p>
      <w:pPr>
        <w:pStyle w:val="Heading2"/>
        <w:keepNext/>
      </w:pPr>
      <w:r>
        <w:t xml:space="preserve">R3 · Chất lượng và thu hồi</w:t>
      </w:r>
    </w:p>
    <w:p>
      <w:pPr>
        <w:pStyle w:val="Normal"/>
        <w:keepNext w:val="false"/>
      </w:pPr>
      <w:r>
        <w:t xml:space="preserve">Sai lệch quá trình đóng gói → Batch phải thu hồi → Chi phí recall và mất service. Owner: Quality Director.</w:t>
      </w:r>
    </w:p>
    <w:p>
      <w:pPr>
        <w:pStyle w:val="Normal"/>
        <w:keepNext w:val="false"/>
      </w:pPr>
      <w:r>
        <w:t xml:space="preserve">Assessment: current/M1: UNKNOWN (approved); I=—, L=—</w:t>
      </w:r>
    </w:p>
    <w:p>
      <w:pPr>
        <w:pStyle w:val="Normal"/>
        <w:keepNext w:val="false"/>
      </w:pPr>
      <w:r>
        <w:t xml:space="preserve">Appetite: UNKNOWN; incomplete=true. Evidence: SYN1.</w:t>
      </w:r>
    </w:p>
    <w:p>
      <w:pPr>
        <w:pStyle w:val="Heading1"/>
        <w:keepNext/>
        <w:pageBreakBefore/>
      </w:pPr>
      <w:r>
        <w:t xml:space="preserve">Appetite và KRI</w:t>
      </w:r>
    </w:p>
    <w:p>
      <w:pPr>
        <w:pStyle w:val="Heading2"/>
        <w:keepNext/>
      </w:pPr>
      <w:r>
        <w:t xml:space="preserve">K1 · Capacity thiếu hụt</w:t>
      </w:r>
    </w:p>
    <w:p>
      <w:pPr>
        <w:pStyle w:val="Normal"/>
        <w:keepNext w:val="false"/>
      </w:pPr>
      <w:r>
        <w:t xml:space="preserve">200 units N/A · breach · 2026-09-03. Xác nhận nguồn thay thế</w:t>
      </w:r>
    </w:p>
    <w:p>
      <w:pPr>
        <w:pStyle w:val="Normal"/>
        <w:keepNext w:val="false"/>
      </w:pPr>
      <w:r>
        <w:t xml:space="preserve">Rules: warning &gt;= 100; breach &gt;= 200; capacity_breach &gt;= 300</w:t>
      </w:r>
    </w:p>
    <w:p>
      <w:pPr>
        <w:pStyle w:val="Heading2"/>
        <w:keepNext/>
      </w:pPr>
      <w:r>
        <w:t xml:space="preserve">K2 · Cash cuối kỳ</w:t>
      </w:r>
    </w:p>
    <w:p>
      <w:pPr>
        <w:pStyle w:val="Normal"/>
        <w:keepNext w:val="false"/>
      </w:pPr>
      <w:r>
        <w:t xml:space="preserve">-2000 triệu VND · capacity_breach · 2026-09-03. Escalate CFO/Board và cash plan</w:t>
      </w:r>
    </w:p>
    <w:p>
      <w:pPr>
        <w:pStyle w:val="Normal"/>
        <w:keepNext w:val="false"/>
      </w:pPr>
      <w:r>
        <w:t xml:space="preserve">Rules: warning &lt;= 5000; breach &lt;= 0; capacity_breach &lt;= -1000</w:t>
      </w:r>
    </w:p>
    <w:p>
      <w:pPr>
        <w:pStyle w:val="Heading2"/>
        <w:keepNext/>
      </w:pPr>
      <w:r>
        <w:t xml:space="preserve">K3 · Complaint rate</w:t>
      </w:r>
    </w:p>
    <w:p>
      <w:pPr>
        <w:pStyle w:val="Normal"/>
        <w:keepNext w:val="false"/>
      </w:pPr>
      <w:r>
        <w:t xml:space="preserve">UNKNOWN ratio N/A · UNKNOWN · 2026-09-03. Xác minh complaint và batch</w:t>
      </w:r>
    </w:p>
    <w:p>
      <w:pPr>
        <w:pStyle w:val="Normal"/>
        <w:keepNext w:val="false"/>
      </w:pPr>
      <w:r>
        <w:t xml:space="preserve">Rules: warning &gt;= 0.01; breach &gt;= 0.02; capacity_breach &gt;= 0.05</w:t>
      </w:r>
    </w:p>
    <w:p>
      <w:pPr>
        <w:pStyle w:val="Heading1"/>
        <w:keepNext/>
      </w:pPr>
      <w:r>
        <w:t xml:space="preserve">Scenario và tổn thất</w:t>
      </w:r>
    </w:p>
    <w:p>
      <w:pPr>
        <w:pStyle w:val="Heading2"/>
        <w:keepNext/>
      </w:pPr>
      <w:r>
        <w:t xml:space="preserve">SC1 · Port outage + chậm thu tiền (stress)</w:t>
      </w:r>
    </w:p>
    <w:p>
      <w:pPr>
        <w:pStyle w:val="Normal"/>
        <w:keepNext w:val="false"/>
      </w:pPr>
      <w:r>
        <w:t xml:space="preserve">Incremental loss 11000 triệu VND; closing cash -2000 triệu VND</w:t>
      </w:r>
    </w:p>
    <w:p>
      <w:pPr>
        <w:pStyle w:val="Normal"/>
        <w:keepNext w:val="false"/>
      </w:pPr>
      <w:r>
        <w:t xml:space="preserve">Demand 1000, capacity1000; opening cash20000 triệu; Capacity800; Contribution40 triệu/unit; Recovery2000 triệu; Penalty1000 triệu; Inflows8000 triệu; Outflows30000 triệu</w:t>
      </w:r>
    </w:p>
    <w:p>
      <w:pPr>
        <w:pStyle w:val="Normal"/>
        <w:keepNext w:val="false"/>
      </w:pPr>
      <w:r>
        <w:t xml:space="preserve">Synthetic combined stress; không có probability/forecast; không cộng cash balance với P&amp;L loss.</w:t>
      </w:r>
    </w:p>
    <w:p>
      <w:pPr>
        <w:pStyle w:val="Normal"/>
        <w:keepNext w:val="false"/>
      </w:pPr>
      <w:r>
        <w:t xml:space="preserve">Economic losses: 13000 triệu VND; Group/Q4-2026; loại nội bộ 0. Không cộng cash balance vào loss.</w:t>
      </w:r>
    </w:p>
    <w:p>
      <w:pPr>
        <w:pStyle w:val="Heading1"/>
        <w:keepNext/>
        <w:pageBreakBefore/>
      </w:pPr>
      <w:r>
        <w:t xml:space="preserve">Treatment</w:t>
      </w:r>
    </w:p>
    <w:p>
      <w:pPr>
        <w:pStyle w:val="Heading2"/>
        <w:keepNext/>
      </w:pPr>
      <w:r>
        <w:t xml:space="preserve">TR1 · Thử alternate port và cash contingency</w:t>
      </w:r>
    </w:p>
    <w:p>
      <w:pPr>
        <w:pStyle w:val="Normal"/>
        <w:keepNext w:val="false"/>
      </w:pPr>
      <w:r>
        <w:t xml:space="preserve">COO + CFO | 2026-09-20 | proposed | 500 VND</w:t>
      </w:r>
    </w:p>
    <w:p>
      <w:pPr>
        <w:pStyle w:val="Normal"/>
        <w:keepNext w:val="false"/>
      </w:pPr>
      <w:r>
        <w:t xml:space="preserve">Giảm thời gian gián đoạn; chưa đo benefit thực tế (assumed). Cần 2 người; mới có 1. Secondary risk: Alternate port tăng transit và phí.</w:t>
      </w:r>
    </w:p>
    <w:p>
      <w:pPr>
        <w:pStyle w:val="Heading2"/>
        <w:keepNext/>
      </w:pPr>
      <w:r>
        <w:t xml:space="preserve">TR1 · No-action và target</w:t>
      </w:r>
    </w:p>
    <w:p>
      <w:pPr>
        <w:pStyle w:val="Normal"/>
        <w:keepNext w:val="false"/>
      </w:pPr>
      <w:r>
        <w:t xml:space="preserve">No-action: Synthetic: giữ exposure gián đoạn và cash shortfall của SC1.</w:t>
      </w:r>
    </w:p>
    <w:p>
      <w:pPr>
        <w:pStyle w:val="Normal"/>
        <w:keepNext w:val="false"/>
      </w:pPr>
      <w:r>
        <w:t xml:space="preserve">Target: Synthetic: khôi phục khả năng giao hàng; residual exposure chưa định lượng, chờ thử alternate port.</w:t>
      </w:r>
    </w:p>
    <w:p>
      <w:pPr>
        <w:pStyle w:val="Normal"/>
        <w:keepNext w:val="false"/>
      </w:pPr>
      <w:r>
        <w:t xml:space="preserve">Target assessment IDs: Chưa cung cấp</w:t>
      </w:r>
    </w:p>
    <w:p>
      <w:pPr>
        <w:pStyle w:val="Heading1"/>
        <w:keepNext/>
      </w:pPr>
      <w:r>
        <w:t xml:space="preserve">Khoảng trống bằng chứng</w:t>
      </w:r>
    </w:p>
    <w:p>
      <w:pPr>
        <w:pStyle w:val="Normal"/>
        <w:keepNext w:val="false"/>
      </w:pPr>
      <w:r>
        <w:t xml:space="preserve">C1: no evidence; conclusion must disclose the gap</w:t>
      </w:r>
    </w:p>
    <w:p>
      <w:pPr>
        <w:pStyle w:val="Heading1"/>
        <w:keepNext/>
      </w:pPr>
      <w:r>
        <w:t xml:space="preserve">Phương pháp và bằng chứng</w:t>
      </w:r>
    </w:p>
    <w:p>
      <w:pPr>
        <w:pStyle w:val="Normal"/>
        <w:keepNext w:val="false"/>
      </w:pPr>
      <w:r>
        <w:t xml:space="preserve">M1/synthetic-1 · approved. Synthetic categorical mapping do người lập fixture xác định; không nhân/trung bình điểm. Horizon Q4-2026.</w:t>
      </w:r>
    </w:p>
    <w:p>
      <w:pPr>
        <w:pStyle w:val="Normal"/>
        <w:keepNext w:val="false"/>
      </w:pPr>
      <w:r>
        <w:t xml:space="preserve">SYN1: Fixture synthetic của dự án ERM; synthetic:fixture-v1; v1; current; Không phải dữ liệu doanh nghiệp thực hoặc benchmark ngành.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20"/>
    </w:pPr>
    <w:r>
      <w:rPr>
        <w:sz w:val="18"/>
        <w:szCs w:val="18"/>
      </w:rPr>
      <w:t xml:space="preserve">SYN-ERM-01 · v1</w:t>
    </w:r>
    <w:r>
      <w:rPr>
        <w:sz w:val="14"/>
        <w:szCs w:val="14"/>
      </w:rPr>
      <w:br/>
      <w:t xml:space="preserve">Snapshot SHA-256: 8ea35412e7940ab5f83839d7febaab665d84806d4dea36239686bb7b7952d99d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Normal"/>
      <w:keepNext w:val="false"/>
    </w:pPr>
    <w:r>
      <w:t xml:space="preserve">Thiện’s Skill · ERM · SYNTHETIC · DỮ LIỆU THỬ NGHIỆM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w="http://schemas.openxmlformats.org/wordprocessingml/2006/main">
  <w:docDefaults>
    <w:rPrDefault>
      <w:rPr>
        <w:rFonts w:ascii="Calibri" w:cs="Calibri" w:eastAsia="Calibri" w:hAnsi="Calibri"/>
        <w:color w:val="142D4E"/>
        <w:sz w:val="22"/>
        <w:szCs w:val="22"/>
      </w:rPr>
    </w:rPrDefault>
    <w:pPrDefault>
      <w:pPr>
        <w:spacing w:after="120" w:before="0" w:line="264"/>
      </w:pPr>
    </w:pPrDefault>
  </w:docDefaults>
  <w:style w:type="paragraph" w:styleId="Title">
    <w:name w:val="Title"/>
    <w:basedOn w:val="Normal"/>
    <w:next w:val="Normal"/>
    <w:qFormat/>
    <w:pPr>
      <w:spacing w:after="160" w:before="0"/>
    </w:pPr>
    <w:rPr>
      <w:b/>
      <w:bCs/>
      <w:color w:val="000000"/>
      <w:sz w:val="46"/>
      <w:szCs w:val="46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next w:val="Normal"/>
    <w:pPr>
      <w:spacing w:before="0" w:after="120" w:line="264"/>
    </w:pPr>
    <w:rPr>
      <w:rFonts w:ascii="Calibri" w:hAnsi="Calibri" w:eastAsia="Calibri" w:cs="Calibri"/>
      <w:color w:val="142D4E"/>
      <w:sz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e7d971d0e9b2c70785eeb217231398d826b21a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2026-09-04T02:51:48.777Z</dcterms:created>
  <dcterms:modified xsi:type="dcterms:W3CDTF">2026-09-04T02:51:48.777Z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