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trình nhận hàng trả</w:t>
      </w:r>
    </w:p>
    <w:p>
      <w:pPr>
        <w:pStyle w:val="Subtitle"/>
      </w:pPr>
      <w:r>
        <w:t>SOP-SYN-15 | Phiên bản 1 | Dữ liệu tổng hợp</w:t>
      </w:r>
    </w:p>
    <w:p>
      <w:r>
        <w:t>Dữ liệu tổng hợp được phép dùng trong AI và lưu trong bộ kiểm thử; không phải hồ sơ doanh nghiệp thật.</w:t>
      </w:r>
    </w:p>
    <w:p>
      <w:pPr>
        <w:pStyle w:val="Heading2"/>
      </w:pPr>
      <w:r>
        <w:t>Mục tiêu và phạm vi</w:t>
      </w:r>
    </w:p>
    <w:p>
      <w:r>
        <w:t>Tiếp nhận yêu cầu trả hàng, đối chiếu hàng nhận lại và hoàn tiền đúng giao dịch được chấp thuận. Bắt đầu khi khách yêu cầu trả; kết thúc khi hàng, tiền và công nợ được đối chiếu.</w:t>
      </w:r>
    </w:p>
    <w:p>
      <w:pPr>
        <w:pStyle w:val="Heading2"/>
      </w:pPr>
      <w:r>
        <w:t>Trình tự xử lý</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B8BEC5"/>
          <w:left w:val="single" w:sz="4" w:color="B8BEC5"/>
          <w:bottom w:val="single" w:sz="4" w:color="B8BEC5"/>
          <w:right w:val="single" w:sz="4" w:color="B8BEC5"/>
          <w:insideH w:val="single" w:sz="4" w:color="B8BEC5"/>
          <w:insideV w:val="single" w:sz="4" w:color="B8BEC5"/>
        </w:tblBorders>
      </w:tblPr>
      <w:tblGrid>
        <w:gridCol w:w="1250"/>
        <w:gridCol w:w="3250"/>
        <w:gridCol w:w="2200"/>
        <w:gridCol w:w="2660"/>
      </w:tblGrid>
      <w:tr>
        <w:trPr>
          <w:tblHeader/>
        </w:trPr>
        <w:tc>
          <w:tcPr>
            <w:tcW w:type="dxa" w:w="1250"/>
            <w:vAlign w:val="center"/>
            <w:shd w:fill="F2F4F7"/>
          </w:tcPr>
          <w:p>
            <w:pPr>
              <w:spacing w:after="60"/>
            </w:pPr>
            <w:r>
              <w:rPr>
                <w:b/>
                <w:sz w:val="20"/>
              </w:rPr>
              <w:t>Bước</w:t>
            </w:r>
          </w:p>
        </w:tc>
        <w:tc>
          <w:tcPr>
            <w:tcW w:type="dxa" w:w="3250"/>
            <w:vAlign w:val="center"/>
            <w:shd w:fill="F2F4F7"/>
          </w:tcPr>
          <w:p>
            <w:pPr>
              <w:spacing w:after="60"/>
            </w:pPr>
            <w:r>
              <w:rPr>
                <w:b/>
                <w:sz w:val="20"/>
              </w:rPr>
              <w:t>Nội dung</w:t>
            </w:r>
          </w:p>
        </w:tc>
        <w:tc>
          <w:tcPr>
            <w:tcW w:type="dxa" w:w="2200"/>
            <w:vAlign w:val="center"/>
            <w:shd w:fill="F2F4F7"/>
          </w:tcPr>
          <w:p>
            <w:pPr>
              <w:spacing w:after="60"/>
            </w:pPr>
            <w:r>
              <w:rPr>
                <w:b/>
                <w:sz w:val="20"/>
              </w:rPr>
              <w:t>Người thực hiện</w:t>
            </w:r>
          </w:p>
        </w:tc>
        <w:tc>
          <w:tcPr>
            <w:tcW w:type="dxa" w:w="2660"/>
            <w:vAlign w:val="center"/>
            <w:shd w:fill="F2F4F7"/>
          </w:tcPr>
          <w:p>
            <w:pPr>
              <w:spacing w:after="60"/>
            </w:pPr>
            <w:r>
              <w:rPr>
                <w:b/>
                <w:sz w:val="20"/>
              </w:rPr>
              <w:t>Hồ sơ</w:t>
            </w:r>
          </w:p>
        </w:tc>
      </w:tr>
      <w:tr>
        <w:tc>
          <w:tcPr>
            <w:tcW w:type="dxa" w:w="1250"/>
            <w:vAlign w:val="center"/>
          </w:tcPr>
          <w:p>
            <w:pPr>
              <w:spacing w:after="60"/>
            </w:pPr>
            <w:r>
              <w:rPr>
                <w:b w:val="0"/>
                <w:sz w:val="20"/>
              </w:rPr>
              <w:t>Tiếp nhận</w:t>
            </w:r>
          </w:p>
        </w:tc>
        <w:tc>
          <w:tcPr>
            <w:tcW w:type="dxa" w:w="3250"/>
            <w:vAlign w:val="center"/>
          </w:tcPr>
          <w:p>
            <w:pPr>
              <w:spacing w:after="60"/>
            </w:pPr>
            <w:r>
              <w:rPr>
                <w:b w:val="0"/>
                <w:sz w:val="20"/>
              </w:rPr>
              <w:t>Ghi mã đơn và lý do trả</w:t>
            </w:r>
          </w:p>
        </w:tc>
        <w:tc>
          <w:tcPr>
            <w:tcW w:type="dxa" w:w="2200"/>
            <w:vAlign w:val="center"/>
          </w:tcPr>
          <w:p>
            <w:pPr>
              <w:spacing w:after="60"/>
            </w:pPr>
            <w:r>
              <w:rPr>
                <w:b w:val="0"/>
                <w:sz w:val="20"/>
              </w:rPr>
              <w:t>Nhân viên dịch vụ</w:t>
            </w:r>
          </w:p>
        </w:tc>
        <w:tc>
          <w:tcPr>
            <w:tcW w:type="dxa" w:w="2660"/>
            <w:vAlign w:val="center"/>
          </w:tcPr>
          <w:p>
            <w:pPr>
              <w:spacing w:after="60"/>
            </w:pPr>
            <w:r>
              <w:rPr>
                <w:b w:val="0"/>
                <w:sz w:val="20"/>
              </w:rPr>
              <w:t>Yêu cầu trả</w:t>
            </w:r>
          </w:p>
        </w:tc>
      </w:tr>
      <w:tr>
        <w:tc>
          <w:tcPr>
            <w:tcW w:type="dxa" w:w="1250"/>
            <w:vAlign w:val="center"/>
          </w:tcPr>
          <w:p>
            <w:pPr>
              <w:spacing w:after="60"/>
            </w:pPr>
            <w:r>
              <w:rPr>
                <w:b w:val="0"/>
                <w:sz w:val="20"/>
              </w:rPr>
              <w:t>Nhận hàng</w:t>
            </w:r>
          </w:p>
        </w:tc>
        <w:tc>
          <w:tcPr>
            <w:tcW w:type="dxa" w:w="3250"/>
            <w:vAlign w:val="center"/>
          </w:tcPr>
          <w:p>
            <w:pPr>
              <w:spacing w:after="60"/>
            </w:pPr>
            <w:r>
              <w:rPr>
                <w:b w:val="0"/>
                <w:sz w:val="20"/>
              </w:rPr>
              <w:t>Kiểm đếm và ghi tình trạng</w:t>
            </w:r>
          </w:p>
        </w:tc>
        <w:tc>
          <w:tcPr>
            <w:tcW w:type="dxa" w:w="2200"/>
            <w:vAlign w:val="center"/>
          </w:tcPr>
          <w:p>
            <w:pPr>
              <w:spacing w:after="60"/>
            </w:pPr>
            <w:r>
              <w:rPr>
                <w:b w:val="0"/>
                <w:sz w:val="20"/>
              </w:rPr>
              <w:t>Nhân viên kho</w:t>
            </w:r>
          </w:p>
        </w:tc>
        <w:tc>
          <w:tcPr>
            <w:tcW w:type="dxa" w:w="2660"/>
            <w:vAlign w:val="center"/>
          </w:tcPr>
          <w:p>
            <w:pPr>
              <w:spacing w:after="60"/>
            </w:pPr>
            <w:r>
              <w:rPr>
                <w:b w:val="0"/>
                <w:sz w:val="20"/>
              </w:rPr>
              <w:t>Phiếu nhận, ảnh</w:t>
            </w:r>
          </w:p>
        </w:tc>
      </w:tr>
      <w:tr>
        <w:tc>
          <w:tcPr>
            <w:tcW w:type="dxa" w:w="1250"/>
            <w:vAlign w:val="center"/>
          </w:tcPr>
          <w:p>
            <w:pPr>
              <w:spacing w:after="60"/>
            </w:pPr>
            <w:r>
              <w:rPr>
                <w:b w:val="0"/>
                <w:sz w:val="20"/>
              </w:rPr>
              <w:t>Chấp thuận</w:t>
            </w:r>
          </w:p>
        </w:tc>
        <w:tc>
          <w:tcPr>
            <w:tcW w:type="dxa" w:w="3250"/>
            <w:vAlign w:val="center"/>
          </w:tcPr>
          <w:p>
            <w:pPr>
              <w:spacing w:after="60"/>
            </w:pPr>
            <w:r>
              <w:rPr>
                <w:b w:val="0"/>
                <w:sz w:val="20"/>
              </w:rPr>
              <w:t>Xem điều kiện hoàn tiền trước phát lệnh</w:t>
            </w:r>
          </w:p>
        </w:tc>
        <w:tc>
          <w:tcPr>
            <w:tcW w:type="dxa" w:w="2200"/>
            <w:vAlign w:val="center"/>
          </w:tcPr>
          <w:p>
            <w:pPr>
              <w:spacing w:after="60"/>
            </w:pPr>
            <w:r>
              <w:rPr>
                <w:b w:val="0"/>
                <w:sz w:val="20"/>
              </w:rPr>
              <w:t>Trưởng ca</w:t>
            </w:r>
          </w:p>
        </w:tc>
        <w:tc>
          <w:tcPr>
            <w:tcW w:type="dxa" w:w="2660"/>
            <w:vAlign w:val="center"/>
          </w:tcPr>
          <w:p>
            <w:pPr>
              <w:spacing w:after="60"/>
            </w:pPr>
            <w:r>
              <w:rPr>
                <w:b w:val="0"/>
                <w:sz w:val="20"/>
              </w:rPr>
              <w:t>Ghi nhận phê duyệt</w:t>
            </w:r>
          </w:p>
        </w:tc>
      </w:tr>
      <w:tr>
        <w:tc>
          <w:tcPr>
            <w:tcW w:type="dxa" w:w="1250"/>
            <w:vAlign w:val="center"/>
          </w:tcPr>
          <w:p>
            <w:pPr>
              <w:spacing w:after="60"/>
            </w:pPr>
            <w:r>
              <w:rPr>
                <w:b w:val="0"/>
                <w:sz w:val="20"/>
              </w:rPr>
              <w:t>Hoàn tiền</w:t>
            </w:r>
          </w:p>
        </w:tc>
        <w:tc>
          <w:tcPr>
            <w:tcW w:type="dxa" w:w="3250"/>
            <w:vAlign w:val="center"/>
          </w:tcPr>
          <w:p>
            <w:pPr>
              <w:spacing w:after="60"/>
            </w:pPr>
            <w:r>
              <w:rPr>
                <w:b w:val="0"/>
                <w:sz w:val="20"/>
              </w:rPr>
              <w:t>Trả về tài khoản gốc sau chấp thuận</w:t>
            </w:r>
          </w:p>
        </w:tc>
        <w:tc>
          <w:tcPr>
            <w:tcW w:type="dxa" w:w="2200"/>
            <w:vAlign w:val="center"/>
          </w:tcPr>
          <w:p>
            <w:pPr>
              <w:spacing w:after="60"/>
            </w:pPr>
            <w:r>
              <w:rPr>
                <w:b w:val="0"/>
                <w:sz w:val="20"/>
              </w:rPr>
              <w:t>Kế toán</w:t>
            </w:r>
          </w:p>
        </w:tc>
        <w:tc>
          <w:tcPr>
            <w:tcW w:type="dxa" w:w="2660"/>
            <w:vAlign w:val="center"/>
          </w:tcPr>
          <w:p>
            <w:pPr>
              <w:spacing w:after="60"/>
            </w:pPr>
            <w:r>
              <w:rPr>
                <w:b w:val="0"/>
                <w:sz w:val="20"/>
              </w:rPr>
              <w:t>Lệnh hoàn và đối chiếu</w:t>
            </w:r>
          </w:p>
        </w:tc>
      </w:tr>
    </w:tbl>
    <w:p>
      <w:pPr>
        <w:pStyle w:val="Heading2"/>
      </w:pPr>
      <w:r>
        <w:t>Ngoại lệ và lưu hồ sơ</w:t>
      </w:r>
    </w:p>
    <w:p>
      <w:r>
        <w:t>Chênh lệch số lượng hoặc tình trạng phải được giữ lại để làm rõ trước hoàn tiền. Lưu liên kết yêu cầu, phiếu nhận, phê duyệt và lệnh hoàn theo mã đơn.</w:t>
      </w:r>
    </w:p>
    <w:p>
      <w:pPr>
        <w:pStyle w:val="Heading2"/>
      </w:pPr>
      <w:r>
        <w:t>Hồ sơ cung cấp</w:t>
      </w:r>
    </w:p>
    <w:p>
      <w:r>
        <w:t>Chỉ có SOP này; không có log, walkthrough hoặc kiểm thử vận hành. Ma trận thẩm quyền chi tiết chưa được cung cấp.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SOP-SYN-15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SOP - TEST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64" w:lineRule="auto" w:before="0"/>
    </w:pPr>
    <w:rPr>
      <w:rFonts w:ascii="Calibri" w:hAnsi="Calibri"/>
      <w:b w:val="0"/>
      <w:i w:val="0"/>
      <w:color w:val="55555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64" w:lineRule="auto" w:before="0"/>
    </w:pPr>
    <w:rPr>
      <w:rFonts w:ascii="Calibri" w:hAnsi="Calibri"/>
      <w:b w:val="0"/>
      <w:i w:val="0"/>
      <w:color w:val="55555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64" w:lineRule="auto" w:before="0"/>
      <w:contextualSpacing/>
    </w:pPr>
    <w:rPr>
      <w:rFonts w:asciiTheme="majorHAnsi" w:eastAsiaTheme="majorEastAsia" w:hAnsiTheme="majorHAnsi" w:cstheme="majorBidi" w:ascii="Calibri" w:hAnsi="Calibri"/>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b w:val="0"/>
      <w:i w:val="0"/>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nhận hàng trả</dc:title>
  <dc:subject/>
  <dc:creator>Synthetic fixture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