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微软雅黑" w:hAnsi="微软雅黑" w:eastAsia="微软雅黑"/>
          <w:b/>
          <w:sz w:val="72"/>
        </w:rPr>
        <w:t>与AI共生</w:t>
      </w:r>
    </w:p>
    <w:p>
      <w:pPr>
        <w:jc w:val="center"/>
      </w:pPr>
      <w:r>
        <w:rPr>
          <w:rFonts w:ascii="微软雅黑" w:hAnsi="微软雅黑" w:eastAsia="微软雅黑"/>
          <w:sz w:val="36"/>
        </w:rPr>
        <w:t>AI时代大学生的生成指南</w:t>
      </w:r>
    </w:p>
    <w:p>
      <w:pPr>
        <w:spacing w:before="960"/>
        <w:jc w:val="center"/>
      </w:pPr>
      <w:r>
        <w:rPr>
          <w:color w:val="808080"/>
          <w:sz w:val="22"/>
        </w:rPr>
        <w:t>全书初稿 · 各章按简编篇幅合成，扩写至目标字数的工作仍在进行</w:t>
        <w:br/>
        <w:t>文中 [待核实] 标记处需在出版前完成人工核验</w:t>
      </w:r>
    </w:p>
    <w:p>
      <w:r>
        <w:br w:type="page"/>
      </w:r>
    </w:p>
    <w:p>
      <w:pPr>
        <w:pStyle w:val="Heading1"/>
      </w:pPr>
      <w:r>
        <w:t>目 录</w:t>
      </w:r>
    </w:p>
    <w:p>
      <w:r>
        <w:fldChar w:fldCharType="begin"/>
        <w:instrText>TOC \o "1-3" \h \z \u</w:instrText>
        <w:fldChar w:fldCharType="separate"/>
        <w:t>【在 Word 中打开后：引用 → 目录 → 更新目录，或右键此处选择更新域】</w:t>
        <w:fldChar w:fldCharType="end"/>
      </w:r>
    </w:p>
    <w:p>
      <w:r>
        <w:br w:type="page"/>
      </w:r>
    </w:p>
    <w:p>
      <w:pPr>
        <w:pStyle w:val="Heading1"/>
      </w:pPr>
      <w:r>
        <w:t>前言　当大学遇上生成式AI</w:t>
      </w:r>
    </w:p>
    <w:p>
      <w:pPr>
        <w:ind w:firstLine="480"/>
      </w:pPr>
      <w:r>
        <w:t>生成式人工智能进入大学的方式，与此前任何一种教育技术都不同：它没有被制度正式迎入，而是先于制度抵达了每一间教室。在一个普通的大学班级里，几乎每位学生都用过大语言模型，但在课堂讨论、师生对话与正式陈述中，这种使用大多处于不可见的状态。公开的规范话语与私下的真实行为之间，横着一道系统性的沉默。这道沉默本身——比任何关于"AI将取代什么"的预言——更值得先被分析，因为它透露了大学此刻的真实处境：技术已经就位，而规则、评价与共识都还没有。本书要讨论的正是这个处境。它的中心判断可以先一句话说完：AI首先改变的不是"教育是否需要人"，而是教育中不同任务的价格——让某些任务的完成成本骤降，让另一些任务的稀缺性上升。此后的一切分析，都在这句话的延长线上进行。</w:t>
      </w:r>
    </w:p>
    <w:p>
      <w:pPr>
        <w:pStyle w:val="Heading2"/>
      </w:pPr>
      <w:r>
        <w:t>隐形使用：沉默本身是信息</w:t>
      </w:r>
    </w:p>
    <w:p>
      <w:pPr>
        <w:ind w:firstLine="480"/>
      </w:pPr>
      <w:r>
        <w:t>对大学校园的任何近距离观察都会得到一个不一致的图景：一方面，教师普遍相信"学生都在用AI"，并把作业质量与文风的波动归因于此；另一方面，学生很少在课堂或作业中主动披露使用情况，讨论课上的发言也小心翼翼地绕开这个事实。使用率极高，承认率极低。这个组合常被简单地归因于学生的隐瞒，但隐瞒只是现象的表层。更值得问的是：什么样的制度环境，会让一件几乎人人都在做的事变得不可谈论？</w:t>
      </w:r>
    </w:p>
    <w:p>
      <w:pPr>
        <w:ind w:firstLine="480"/>
      </w:pPr>
      <w:r>
        <w:t>答案不复杂。第一，规则处于未决状态。多数高校的AI政策或者阙如，或者停留在原则性表述，学生无法事先知道某个具体用法是被允许、被容忍还是被惩戒的；在一个规则未决的环境里，沉默是成本最低的自保策略。第二，评价机制没有同步调整。当作业与论文仍以"独立完成的成品"为默认评价对象，披露使用就等于自请降级；诚实者在评价上吃亏，这个激励结构本身就在惩罚坦诚。第三，同侪比较不透明。没有人知道别人用到什么程度，于是每个人按"别人大概也在用"的想象行事，使用强度在互相猜测中攀升，而公开规范却停留在几乎没有人相信的水平。</w:t>
      </w:r>
    </w:p>
    <w:p>
      <w:pPr>
        <w:ind w:firstLine="480"/>
      </w:pPr>
      <w:r>
        <w:t>由此形成的状态可以称为"隐形使用"：技术渗透是彻底的，制度回应是滞后的，两者之间的落差靠个体的静默来填补。这不是一种道德失灵，而是一种典型的制度滞后现象——技术先行改变了行为的成本结构，规则与评价尚未重新校准，系统便进入一个所有参与者都不满意、又都不说破的均衡。教师同样身处这个均衡：追问学生是否使用AI，会立即撞上"作业如何重新定义"的难题，而多数教师没有被赋予重新定义作业的时间与授权。沉默因此是双向的，也是理性的。</w:t>
      </w:r>
    </w:p>
    <w:p>
      <w:pPr>
        <w:ind w:firstLine="480"/>
      </w:pPr>
      <w:r>
        <w:t>隐形使用的代价值得分开清点。对教学一方，它抽走了改进教学所需的真实信息：教师看不到学生实际在哪些环节依赖工具、在哪些环节受阻，教学调整因此失去依据，只剩猜测；猜测的结果往往是防御性的——更多课堂测验、更多查重、更多现场展示，这些回应针对的是沉默的症状，而不是使用的结构。对学生一方，它制造了双重不可见：自己相对于同侪的真实位置不可见，能力与习惯的分化在沉默中悄悄拉开，无人预警。对制度一方，它让规范更新失去压力来源：既然没有案例浮出水面，规则就没有细化的动力，政策长期停留在抽象原则，而抽象原则无法指导任何一个临场的具体决定。三个方向指向同一个结论：隐形使用本身就是问题的生产机制，并不只是它的表现方式。本书把AI使用从"能否使用"的对错框架中取出，先分析这道沉默，理由正在于此——只有使用可以被谈论，它的代价与边界才可能被合理定价。</w:t>
      </w:r>
    </w:p>
    <w:p>
      <w:pPr>
        <w:pStyle w:val="Heading2"/>
      </w:pPr>
      <w:r>
        <w:t>中心判断：任务的价格，而非教育的存废</w:t>
      </w:r>
    </w:p>
    <w:p>
      <w:pPr>
        <w:ind w:firstLine="480"/>
      </w:pPr>
      <w:r>
        <w:t>关于AI与教育的关系，公共讨论长期被"取代"框架占据：AI会不会取代教师、取代学历、取代某个专业。这个提问方式有什么问题，第一章将正面处理，此处先立论：它问错了层次。技术从不整体地作用于一个职业或一个机构；它作用于构成这个职业的具体任务的完成成本。检索资料、组织讲稿、生成初稿、表层润色、答疑释疑，这些任务的价格正在骤降；与此相对，提出有价值的问题、判断产出的可靠性、在多个可行方案之间做取舍、为结论签名负责，这些任务的稀缺性正在上升。教育中"是否需要人"的问题答案未变——仍然需要；但"需要人做什么"的答案已经改写。</w:t>
      </w:r>
    </w:p>
    <w:p>
      <w:pPr>
        <w:ind w:firstLine="480"/>
      </w:pPr>
      <w:r>
        <w:t>这个判断的后果是全局性的。如果AI改变的是任务价格而非教育存废，那么大学正在经历的就不是一次存亡考验，而是一次重新分工；个体的处境问题也就从"我会不会被取代"转换为"我承接的是正在降价的任务，还是正在升价的任务"。前一个问题令人焦虑却无从着手，后一个问题令人不安却可以行动。本书更倾向于把讨论放在后一个框架里，因为它把至少一个变量放回了个体可以影响的位置：任务的承接是可以选择的，而时代的定价不是。</w:t>
      </w:r>
    </w:p>
    <w:p>
      <w:pPr>
        <w:ind w:firstLine="480"/>
      </w:pPr>
      <w:r>
        <w:t>把一次技术浪潮理解为价格重排，在历史上并非新事。活字印刷把复制文本的成本压到极低之后，随之而来的同样不是"抄写员是否还需要存在"的存废之争，而是读写能力的重定价：抄写贬值，识读与著述升值，而围绕新的价格结构重新组织教育，在东西方都花费了远比技术普及本身更长得多的时间。这个类比不需要夸大——生成式AI收走的是认知加工本身，重排的深度超过以往——但方法论是共享的：先辨认什么在降价、什么在升值，再决定自己站在哪里。被"取代"叙事抓住的注意力，恰好是这个辨认过程最需要的注意力。</w:t>
      </w:r>
    </w:p>
    <w:p>
      <w:pPr>
        <w:ind w:firstLine="480"/>
      </w:pPr>
      <w:r>
        <w:t>前言不展开这个判断的论证——那是第一章的工作。这里只需指出它与日常直觉的差别：直觉把AI理解为一件新工具，判断把AI理解为一次价格重排。工具的隐喻让人关心"怎么用"，价格重排的隐喻让人关心"用什么换什么"。两种理解导向完全不同的行为：前者追求操作技巧，后者追问每一次外包的真实对价——省下的时间与力气，换走的是哪些加工过程、哪些能力练习、哪些说不出口却真实存在的判断积累。这个问题将在第二章以"认知卸载"的形态被正面处理，它是整本书里与每个学生关系最直接的一处。</w:t>
      </w:r>
    </w:p>
    <w:p>
      <w:pPr>
        <w:pStyle w:val="Heading2"/>
      </w:pPr>
      <w:r>
        <w:t>当答案免费：重定价的一次预演</w:t>
      </w:r>
    </w:p>
    <w:p>
      <w:pPr>
        <w:ind w:firstLine="480"/>
      </w:pPr>
      <w:r>
        <w:t>价格由稀缺性决定。过去二十年持续变便宜的是答案：一段组织良好的回答，其生产成本从一位专业人员的一个下午，降到数秒的算力。答案的通货膨胀是这一代大学生入学之前就已经完成的事实；真正的问题不在答案会不会继续免费——会——而在答案之外的东西如何重新定价。这个定价问题的完整展开属于第一、二章，前言先做一次预演。</w:t>
      </w:r>
    </w:p>
    <w:p>
      <w:pPr>
        <w:ind w:firstLine="480"/>
      </w:pPr>
      <w:r>
        <w:t>三样东西正在升值，此处只点名。其一是问题的质量。同一个模型，一句"帮我写"得到的是分布均值水平的内容；一个对既有框架提出有效质疑的追问，可能推动出真正有信息增量的思考。提问在检索时代只影响效率，如今直接决定产出的上限。其二是对答案的判断力。当答案无限供给而验收时间有限，从多个像样的答案中识别可信的那个，成为整条生产线的瓶颈；而验收能力依赖验收者头脑中既有的知识框架——答案便宜从来不等于知识便宜。其三是品味。当生成一段文字、一份代码、一张图像的成本趋近于零，"能够生成"不再构成区分，"知道哪个更好"成为区分；品味不是玄学，它来自大量的输入与比较，来自对"好的标准"的内化，而恰恰是这一部分无法通过提问获得。</w:t>
      </w:r>
    </w:p>
    <w:p>
      <w:pPr>
        <w:ind w:firstLine="480"/>
      </w:pPr>
      <w:r>
        <w:t>值得在这里先按下的是教育与这场重定价的错位。应试体系在上述三样东西上是反向训练的：问题由出题人提供，学生只负责生产答案，十二年一贯地压低了提问的价值，也绕过了对开放域答案的验收训练。这一代大学生是历史上受过最完整训练的答案生产者，随即进入的却是一个答案不值钱的环境。这个错位是理解此后许多现象的钥匙：为什么同样拿到工具的学生分化如此剧烈，为什么"会用工具"与"受益于工具"的相关性远低于预期，为什么公平的接入没有带来公平的收益。工具没有制造这些差距；它让一种既有的、被应试训练长期遮蔽的差距显形。</w:t>
      </w:r>
    </w:p>
    <w:p>
      <w:pPr>
        <w:ind w:firstLine="480"/>
      </w:pPr>
      <w:r>
        <w:t>这三样升值中的资产还有一个共同性质，决定了它们无法被临时突击：都是慢变量。提问的水平取决于积累的困惑是否真实，判断的准确取决于知识框架是否在场，品味的高低取决于输入与比较的历史是否足够长。三者的形成都以年计，都不存在"考前补课"的捷径，也都无法由他人代持。答案的生产可以被外包，这三样东西的生产却严格地绑定在生产者本人身上——这既是坏消息，也是本书所有建议的立足点：正因为它们是慢变量，大学四年这个窗口期的每一个学期选择，才具有超出单门课程的权重。</w:t>
      </w:r>
    </w:p>
    <w:p>
      <w:pPr>
        <w:pStyle w:val="Heading2"/>
      </w:pPr>
      <w:r>
        <w:t>本书不教什么</w:t>
      </w:r>
    </w:p>
    <w:p>
      <w:pPr>
        <w:ind w:firstLine="480"/>
      </w:pPr>
      <w:r>
        <w:t>市面上关于AI使用的书，多数可归入工具指南一类：比较各模型的功能，提供场景化的技巧，附上提示词模板。这类书有真实需求，但有一个难以克服的缺陷：内容折旧太快。具体模型的界面、参数与能力边界以月为单位变动，照着工具书写下的经验，其有效期常常短于一本图书从付印到上架的周期。工具的半衰期以月计；本书要处理的对象——工具背后的认知结构、方法论与制度处境——以十年计。</w:t>
      </w:r>
    </w:p>
    <w:p>
      <w:pPr>
        <w:ind w:firstLine="480"/>
      </w:pPr>
      <w:r>
        <w:t>因此定位需要从"不做什么"说起。本书不比较具体产品的优劣，不追逐功能更新，不提供可以照抄的操作序列。它处理三层相对稳定的东西。认知层：思考的哪些环节可以交给机器、以什么标准验收——这决定使用的结果，而不只是使用的熟练程度。能力层：提问、学习、专业深耕、创作与产出，四种基本学习活动如何在AI条件下被重新设计。处境层：学术规范、求职市场、心理边界——这些由制度而非个人偏好决定的外部条件，框定了所有个人策略的合法空间。三层合起来，才是一个大学生与AI相处所需要的完整配置。工具会换，配置不换；这正是把一本书的容量留给配置而非工具的理由。</w:t>
      </w:r>
    </w:p>
    <w:p>
      <w:pPr>
        <w:pStyle w:val="Heading2"/>
      </w:pPr>
      <w:r>
        <w:t>结构与读法</w:t>
      </w:r>
    </w:p>
    <w:p>
      <w:pPr>
        <w:ind w:firstLine="480"/>
      </w:pPr>
      <w:r>
        <w:t>全书十一个部分按一条论证线索组织，可以概括为四个模块。第一个模块处理认知（第一、二章）：先重估信息获取与知识的价格结构，把"任务的价格"这个中心判断论证完整（第一章）；再处理思考本身的外包与验收，给出全书使用频率最高的"人机分工四象限"框架（第二章）。第二个模块处理能力（第三至六章）：提问、学习、专业深耕、创作与产出，四章分别讨论把AI嵌入四种基本学习活动的方法论，它们全部建立在第二章的分工框架之上——能力问题本质上是框架在具体场景中的应用问题。第三个模块处理合规（第七章）：学术规范是对能力讨论的一次制度性收口；能力的上限由认知决定，能力的合法性由规范决定，第七章处理"三色边界"与披露义务，使前四章的方法论不至于在论文与考核面前失效。第四个模块处理处境与出路（第八至十章）：求职与职业竞争力、生活与心理的边界、伦理与公共责任，三章依次处理个体面对市场、面对自己、面对公共生活的三种处境；后记收束。四个模块是递进而非并列：认知框架是能力使用的前提，能力是合规讨论的对象，能力与合规一起，才构成面对处境时可以调动的全部资源。</w:t>
      </w:r>
    </w:p>
    <w:p>
      <w:pPr>
        <w:ind w:firstLine="480"/>
      </w:pPr>
      <w:r>
        <w:t>阅读方式上，按需查阅与顺序通读各有适用条件。顺序通读的收益集中在第一、二章：四象限框架、认知卸载与元认知的讨论是后文的公共语言，跳过它们，第三至六章的方法论会失去评判的基准，读者无从判断某个建议属于放心外包还是危险代工。按需查阅的合理性集中在第三至八章：各章自成模块，求职季先读第八章、论文开题前先读第七章，并不损害理解，读完再回到第二章补框架也可。唯一需要指出的低效读法是只用第六章与第八章——把AI当作产出与求职的加速器而不经过认知模块——因为那恰好是本书认为代价最高的一种使用方式：它在最需要判断力的环节投入了最少的判断。</w:t>
      </w:r>
    </w:p>
    <w:p>
      <w:pPr>
        <w:ind w:firstLine="480"/>
      </w:pPr>
      <w:r>
        <w:t>把上述结构压缩成一张导览表：</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line="288" w:lineRule="auto"/>
            </w:pPr>
            <w:r>
              <w:rPr>
                <w:b/>
                <w:sz w:val="21"/>
              </w:rPr>
            </w:r>
            <w:r>
              <w:rPr>
                <w:b/>
                <w:sz w:val="21"/>
              </w:rPr>
              <w:t>模块</w:t>
            </w:r>
          </w:p>
        </w:tc>
        <w:tc>
          <w:tcPr>
            <w:tcW w:type="dxa" w:w="2160"/>
          </w:tcPr>
          <w:p>
            <w:pPr>
              <w:spacing w:line="288" w:lineRule="auto"/>
            </w:pPr>
            <w:r>
              <w:rPr>
                <w:b/>
                <w:sz w:val="21"/>
              </w:rPr>
            </w:r>
            <w:r>
              <w:rPr>
                <w:b/>
                <w:sz w:val="21"/>
              </w:rPr>
              <w:t>章</w:t>
            </w:r>
          </w:p>
        </w:tc>
        <w:tc>
          <w:tcPr>
            <w:tcW w:type="dxa" w:w="2160"/>
          </w:tcPr>
          <w:p>
            <w:pPr>
              <w:spacing w:line="288" w:lineRule="auto"/>
            </w:pPr>
            <w:r>
              <w:rPr>
                <w:b/>
                <w:sz w:val="21"/>
              </w:rPr>
            </w:r>
            <w:r>
              <w:rPr>
                <w:b/>
                <w:sz w:val="21"/>
              </w:rPr>
              <w:t>回答的问题</w:t>
            </w:r>
          </w:p>
        </w:tc>
        <w:tc>
          <w:tcPr>
            <w:tcW w:type="dxa" w:w="2160"/>
          </w:tcPr>
          <w:p>
            <w:pPr>
              <w:spacing w:line="288" w:lineRule="auto"/>
            </w:pPr>
            <w:r>
              <w:rPr>
                <w:b/>
                <w:sz w:val="21"/>
              </w:rPr>
            </w:r>
            <w:r>
              <w:rPr>
                <w:b/>
                <w:sz w:val="21"/>
              </w:rPr>
              <w:t>在论证中的位置</w:t>
            </w:r>
          </w:p>
        </w:tc>
      </w:tr>
      <w:tr>
        <w:tc>
          <w:tcPr>
            <w:tcW w:type="dxa" w:w="2160"/>
          </w:tcPr>
          <w:p>
            <w:pPr>
              <w:spacing w:line="288" w:lineRule="auto"/>
            </w:pPr>
            <w:r>
              <w:rPr>
                <w:sz w:val="21"/>
              </w:rPr>
            </w:r>
            <w:r>
              <w:rPr>
                <w:sz w:val="21"/>
              </w:rPr>
              <w:t>认知</w:t>
            </w:r>
          </w:p>
        </w:tc>
        <w:tc>
          <w:tcPr>
            <w:tcW w:type="dxa" w:w="2160"/>
          </w:tcPr>
          <w:p>
            <w:pPr>
              <w:spacing w:line="288" w:lineRule="auto"/>
            </w:pPr>
            <w:r>
              <w:rPr>
                <w:sz w:val="21"/>
              </w:rPr>
            </w:r>
            <w:r>
              <w:rPr>
                <w:sz w:val="21"/>
              </w:rPr>
              <w:t>第一章 范式转移</w:t>
            </w:r>
          </w:p>
        </w:tc>
        <w:tc>
          <w:tcPr>
            <w:tcW w:type="dxa" w:w="2160"/>
          </w:tcPr>
          <w:p>
            <w:pPr>
              <w:spacing w:line="288" w:lineRule="auto"/>
            </w:pPr>
            <w:r>
              <w:rPr>
                <w:sz w:val="21"/>
              </w:rPr>
            </w:r>
            <w:r>
              <w:rPr>
                <w:sz w:val="21"/>
              </w:rPr>
              <w:t>这场变化重新定价了什么</w:t>
            </w:r>
          </w:p>
        </w:tc>
        <w:tc>
          <w:tcPr>
            <w:tcW w:type="dxa" w:w="2160"/>
          </w:tcPr>
          <w:p>
            <w:pPr>
              <w:spacing w:line="288" w:lineRule="auto"/>
            </w:pPr>
            <w:r>
              <w:rPr>
                <w:sz w:val="21"/>
              </w:rPr>
            </w:r>
            <w:r>
              <w:rPr>
                <w:sz w:val="21"/>
              </w:rPr>
              <w:t>立论：任务的价格，全书坐标</w:t>
            </w:r>
          </w:p>
        </w:tc>
      </w:tr>
      <w:tr>
        <w:tc>
          <w:tcPr>
            <w:tcW w:type="dxa" w:w="2160"/>
          </w:tcPr>
          <w:p>
            <w:pPr>
              <w:spacing w:line="288" w:lineRule="auto"/>
            </w:pPr>
            <w:r>
              <w:rPr>
                <w:sz w:val="21"/>
              </w:rPr>
            </w:r>
            <w:r>
              <w:rPr>
                <w:sz w:val="21"/>
              </w:rPr>
              <w:t>认知</w:t>
            </w:r>
          </w:p>
        </w:tc>
        <w:tc>
          <w:tcPr>
            <w:tcW w:type="dxa" w:w="2160"/>
          </w:tcPr>
          <w:p>
            <w:pPr>
              <w:spacing w:line="288" w:lineRule="auto"/>
            </w:pPr>
            <w:r>
              <w:rPr>
                <w:sz w:val="21"/>
              </w:rPr>
            </w:r>
            <w:r>
              <w:rPr>
                <w:sz w:val="21"/>
              </w:rPr>
              <w:t>第二章 认知重构</w:t>
            </w:r>
          </w:p>
        </w:tc>
        <w:tc>
          <w:tcPr>
            <w:tcW w:type="dxa" w:w="2160"/>
          </w:tcPr>
          <w:p>
            <w:pPr>
              <w:spacing w:line="288" w:lineRule="auto"/>
            </w:pPr>
            <w:r>
              <w:rPr>
                <w:sz w:val="21"/>
              </w:rPr>
            </w:r>
            <w:r>
              <w:rPr>
                <w:sz w:val="21"/>
              </w:rPr>
              <w:t>思考如何分工、如何验收</w:t>
            </w:r>
          </w:p>
        </w:tc>
        <w:tc>
          <w:tcPr>
            <w:tcW w:type="dxa" w:w="2160"/>
          </w:tcPr>
          <w:p>
            <w:pPr>
              <w:spacing w:line="288" w:lineRule="auto"/>
            </w:pPr>
            <w:r>
              <w:rPr>
                <w:sz w:val="21"/>
              </w:rPr>
            </w:r>
            <w:r>
              <w:rPr>
                <w:sz w:val="21"/>
              </w:rPr>
              <w:t>方法论的地基：四象限框架</w:t>
            </w:r>
          </w:p>
        </w:tc>
      </w:tr>
      <w:tr>
        <w:tc>
          <w:tcPr>
            <w:tcW w:type="dxa" w:w="2160"/>
          </w:tcPr>
          <w:p>
            <w:pPr>
              <w:spacing w:line="288" w:lineRule="auto"/>
            </w:pPr>
            <w:r>
              <w:rPr>
                <w:sz w:val="21"/>
              </w:rPr>
            </w:r>
            <w:r>
              <w:rPr>
                <w:sz w:val="21"/>
              </w:rPr>
              <w:t>能力</w:t>
            </w:r>
          </w:p>
        </w:tc>
        <w:tc>
          <w:tcPr>
            <w:tcW w:type="dxa" w:w="2160"/>
          </w:tcPr>
          <w:p>
            <w:pPr>
              <w:spacing w:line="288" w:lineRule="auto"/>
            </w:pPr>
            <w:r>
              <w:rPr>
                <w:sz w:val="21"/>
              </w:rPr>
            </w:r>
            <w:r>
              <w:rPr>
                <w:sz w:val="21"/>
              </w:rPr>
              <w:t>第三章 提问的艺术</w:t>
            </w:r>
          </w:p>
        </w:tc>
        <w:tc>
          <w:tcPr>
            <w:tcW w:type="dxa" w:w="2160"/>
          </w:tcPr>
          <w:p>
            <w:pPr>
              <w:spacing w:line="288" w:lineRule="auto"/>
            </w:pPr>
            <w:r>
              <w:rPr>
                <w:sz w:val="21"/>
              </w:rPr>
            </w:r>
            <w:r>
              <w:rPr>
                <w:sz w:val="21"/>
              </w:rPr>
              <w:t>如何把需求翻译为指令</w:t>
            </w:r>
          </w:p>
        </w:tc>
        <w:tc>
          <w:tcPr>
            <w:tcW w:type="dxa" w:w="2160"/>
          </w:tcPr>
          <w:p>
            <w:pPr>
              <w:spacing w:line="288" w:lineRule="auto"/>
            </w:pPr>
            <w:r>
              <w:rPr>
                <w:sz w:val="21"/>
              </w:rPr>
            </w:r>
            <w:r>
              <w:rPr>
                <w:sz w:val="21"/>
              </w:rPr>
              <w:t>框架在"提问端口"的展开</w:t>
            </w:r>
          </w:p>
        </w:tc>
      </w:tr>
      <w:tr>
        <w:tc>
          <w:tcPr>
            <w:tcW w:type="dxa" w:w="2160"/>
          </w:tcPr>
          <w:p>
            <w:pPr>
              <w:spacing w:line="288" w:lineRule="auto"/>
            </w:pPr>
            <w:r>
              <w:rPr>
                <w:sz w:val="21"/>
              </w:rPr>
            </w:r>
            <w:r>
              <w:rPr>
                <w:sz w:val="21"/>
              </w:rPr>
              <w:t>能力</w:t>
            </w:r>
          </w:p>
        </w:tc>
        <w:tc>
          <w:tcPr>
            <w:tcW w:type="dxa" w:w="2160"/>
          </w:tcPr>
          <w:p>
            <w:pPr>
              <w:spacing w:line="288" w:lineRule="auto"/>
            </w:pPr>
            <w:r>
              <w:rPr>
                <w:sz w:val="21"/>
              </w:rPr>
            </w:r>
            <w:r>
              <w:rPr>
                <w:sz w:val="21"/>
              </w:rPr>
              <w:t>第四章 学习革命</w:t>
            </w:r>
          </w:p>
        </w:tc>
        <w:tc>
          <w:tcPr>
            <w:tcW w:type="dxa" w:w="2160"/>
          </w:tcPr>
          <w:p>
            <w:pPr>
              <w:spacing w:line="288" w:lineRule="auto"/>
            </w:pPr>
            <w:r>
              <w:rPr>
                <w:sz w:val="21"/>
              </w:rPr>
            </w:r>
            <w:r>
              <w:rPr>
                <w:sz w:val="21"/>
              </w:rPr>
              <w:t>如何把模型变成教研组</w:t>
            </w:r>
          </w:p>
        </w:tc>
        <w:tc>
          <w:tcPr>
            <w:tcW w:type="dxa" w:w="2160"/>
          </w:tcPr>
          <w:p>
            <w:pPr>
              <w:spacing w:line="288" w:lineRule="auto"/>
            </w:pPr>
            <w:r>
              <w:rPr>
                <w:sz w:val="21"/>
              </w:rPr>
            </w:r>
            <w:r>
              <w:rPr>
                <w:sz w:val="21"/>
              </w:rPr>
              <w:t>框架在"习得过程"的展开</w:t>
            </w:r>
          </w:p>
        </w:tc>
      </w:tr>
      <w:tr>
        <w:tc>
          <w:tcPr>
            <w:tcW w:type="dxa" w:w="2160"/>
          </w:tcPr>
          <w:p>
            <w:pPr>
              <w:spacing w:line="288" w:lineRule="auto"/>
            </w:pPr>
            <w:r>
              <w:rPr>
                <w:sz w:val="21"/>
              </w:rPr>
            </w:r>
            <w:r>
              <w:rPr>
                <w:sz w:val="21"/>
              </w:rPr>
              <w:t>能力</w:t>
            </w:r>
          </w:p>
        </w:tc>
        <w:tc>
          <w:tcPr>
            <w:tcW w:type="dxa" w:w="2160"/>
          </w:tcPr>
          <w:p>
            <w:pPr>
              <w:spacing w:line="288" w:lineRule="auto"/>
            </w:pPr>
            <w:r>
              <w:rPr>
                <w:sz w:val="21"/>
              </w:rPr>
            </w:r>
            <w:r>
              <w:rPr>
                <w:sz w:val="21"/>
              </w:rPr>
              <w:t>第五章 专业深耕</w:t>
            </w:r>
          </w:p>
        </w:tc>
        <w:tc>
          <w:tcPr>
            <w:tcW w:type="dxa" w:w="2160"/>
          </w:tcPr>
          <w:p>
            <w:pPr>
              <w:spacing w:line="288" w:lineRule="auto"/>
            </w:pPr>
            <w:r>
              <w:rPr>
                <w:sz w:val="21"/>
              </w:rPr>
            </w:r>
            <w:r>
              <w:rPr>
                <w:sz w:val="21"/>
              </w:rPr>
              <w:t>不同学科如何各自使用</w:t>
            </w:r>
          </w:p>
        </w:tc>
        <w:tc>
          <w:tcPr>
            <w:tcW w:type="dxa" w:w="2160"/>
          </w:tcPr>
          <w:p>
            <w:pPr>
              <w:spacing w:line="288" w:lineRule="auto"/>
            </w:pPr>
            <w:r>
              <w:rPr>
                <w:sz w:val="21"/>
              </w:rPr>
            </w:r>
            <w:r>
              <w:rPr>
                <w:sz w:val="21"/>
              </w:rPr>
              <w:t>框架按知识结构的分形</w:t>
            </w:r>
          </w:p>
        </w:tc>
      </w:tr>
      <w:tr>
        <w:tc>
          <w:tcPr>
            <w:tcW w:type="dxa" w:w="2160"/>
          </w:tcPr>
          <w:p>
            <w:pPr>
              <w:spacing w:line="288" w:lineRule="auto"/>
            </w:pPr>
            <w:r>
              <w:rPr>
                <w:sz w:val="21"/>
              </w:rPr>
            </w:r>
            <w:r>
              <w:rPr>
                <w:sz w:val="21"/>
              </w:rPr>
              <w:t>能力</w:t>
            </w:r>
          </w:p>
        </w:tc>
        <w:tc>
          <w:tcPr>
            <w:tcW w:type="dxa" w:w="2160"/>
          </w:tcPr>
          <w:p>
            <w:pPr>
              <w:spacing w:line="288" w:lineRule="auto"/>
            </w:pPr>
            <w:r>
              <w:rPr>
                <w:sz w:val="21"/>
              </w:rPr>
            </w:r>
            <w:r>
              <w:rPr>
                <w:sz w:val="21"/>
              </w:rPr>
              <w:t>第六章 创作与产出</w:t>
            </w:r>
          </w:p>
        </w:tc>
        <w:tc>
          <w:tcPr>
            <w:tcW w:type="dxa" w:w="2160"/>
          </w:tcPr>
          <w:p>
            <w:pPr>
              <w:spacing w:line="288" w:lineRule="auto"/>
            </w:pPr>
            <w:r>
              <w:rPr>
                <w:sz w:val="21"/>
              </w:rPr>
            </w:r>
            <w:r>
              <w:rPr>
                <w:sz w:val="21"/>
              </w:rPr>
              <w:t>人机共创如何分配支配权</w:t>
            </w:r>
          </w:p>
        </w:tc>
        <w:tc>
          <w:tcPr>
            <w:tcW w:type="dxa" w:w="2160"/>
          </w:tcPr>
          <w:p>
            <w:pPr>
              <w:spacing w:line="288" w:lineRule="auto"/>
            </w:pPr>
            <w:r>
              <w:rPr>
                <w:sz w:val="21"/>
              </w:rPr>
            </w:r>
            <w:r>
              <w:rPr>
                <w:sz w:val="21"/>
              </w:rPr>
              <w:t>框架在"产出端口"的展开</w:t>
            </w:r>
          </w:p>
        </w:tc>
      </w:tr>
      <w:tr>
        <w:tc>
          <w:tcPr>
            <w:tcW w:type="dxa" w:w="2160"/>
          </w:tcPr>
          <w:p>
            <w:pPr>
              <w:spacing w:line="288" w:lineRule="auto"/>
            </w:pPr>
            <w:r>
              <w:rPr>
                <w:sz w:val="21"/>
              </w:rPr>
            </w:r>
            <w:r>
              <w:rPr>
                <w:sz w:val="21"/>
              </w:rPr>
              <w:t>合规</w:t>
            </w:r>
          </w:p>
        </w:tc>
        <w:tc>
          <w:tcPr>
            <w:tcW w:type="dxa" w:w="2160"/>
          </w:tcPr>
          <w:p>
            <w:pPr>
              <w:spacing w:line="288" w:lineRule="auto"/>
            </w:pPr>
            <w:r>
              <w:rPr>
                <w:sz w:val="21"/>
              </w:rPr>
            </w:r>
            <w:r>
              <w:rPr>
                <w:sz w:val="21"/>
              </w:rPr>
              <w:t>第七章 学术规范</w:t>
            </w:r>
          </w:p>
        </w:tc>
        <w:tc>
          <w:tcPr>
            <w:tcW w:type="dxa" w:w="2160"/>
          </w:tcPr>
          <w:p>
            <w:pPr>
              <w:spacing w:line="288" w:lineRule="auto"/>
            </w:pPr>
            <w:r>
              <w:rPr>
                <w:sz w:val="21"/>
              </w:rPr>
            </w:r>
            <w:r>
              <w:rPr>
                <w:sz w:val="21"/>
              </w:rPr>
              <w:t>哪些用法被制度允许</w:t>
            </w:r>
          </w:p>
        </w:tc>
        <w:tc>
          <w:tcPr>
            <w:tcW w:type="dxa" w:w="2160"/>
          </w:tcPr>
          <w:p>
            <w:pPr>
              <w:spacing w:line="288" w:lineRule="auto"/>
            </w:pPr>
            <w:r>
              <w:rPr>
                <w:sz w:val="21"/>
              </w:rPr>
            </w:r>
            <w:r>
              <w:rPr>
                <w:sz w:val="21"/>
              </w:rPr>
              <w:t>对能力模块的制度收口</w:t>
            </w:r>
          </w:p>
        </w:tc>
      </w:tr>
      <w:tr>
        <w:tc>
          <w:tcPr>
            <w:tcW w:type="dxa" w:w="2160"/>
          </w:tcPr>
          <w:p>
            <w:pPr>
              <w:spacing w:line="288" w:lineRule="auto"/>
            </w:pPr>
            <w:r>
              <w:rPr>
                <w:sz w:val="21"/>
              </w:rPr>
            </w:r>
            <w:r>
              <w:rPr>
                <w:sz w:val="21"/>
              </w:rPr>
              <w:t>处境</w:t>
            </w:r>
          </w:p>
        </w:tc>
        <w:tc>
          <w:tcPr>
            <w:tcW w:type="dxa" w:w="2160"/>
          </w:tcPr>
          <w:p>
            <w:pPr>
              <w:spacing w:line="288" w:lineRule="auto"/>
            </w:pPr>
            <w:r>
              <w:rPr>
                <w:sz w:val="21"/>
              </w:rPr>
            </w:r>
            <w:r>
              <w:rPr>
                <w:sz w:val="21"/>
              </w:rPr>
              <w:t>第八章 职业竞争力</w:t>
            </w:r>
          </w:p>
        </w:tc>
        <w:tc>
          <w:tcPr>
            <w:tcW w:type="dxa" w:w="2160"/>
          </w:tcPr>
          <w:p>
            <w:pPr>
              <w:spacing w:line="288" w:lineRule="auto"/>
            </w:pPr>
            <w:r>
              <w:rPr>
                <w:sz w:val="21"/>
              </w:rPr>
            </w:r>
            <w:r>
              <w:rPr>
                <w:sz w:val="21"/>
              </w:rPr>
              <w:t>市场如何为新能力定价</w:t>
            </w:r>
          </w:p>
        </w:tc>
        <w:tc>
          <w:tcPr>
            <w:tcW w:type="dxa" w:w="2160"/>
          </w:tcPr>
          <w:p>
            <w:pPr>
              <w:spacing w:line="288" w:lineRule="auto"/>
            </w:pPr>
            <w:r>
              <w:rPr>
                <w:sz w:val="21"/>
              </w:rPr>
            </w:r>
            <w:r>
              <w:rPr>
                <w:sz w:val="21"/>
              </w:rPr>
              <w:t>认知与能力的市场检验</w:t>
            </w:r>
          </w:p>
        </w:tc>
      </w:tr>
      <w:tr>
        <w:tc>
          <w:tcPr>
            <w:tcW w:type="dxa" w:w="2160"/>
          </w:tcPr>
          <w:p>
            <w:pPr>
              <w:spacing w:line="288" w:lineRule="auto"/>
            </w:pPr>
            <w:r>
              <w:rPr>
                <w:sz w:val="21"/>
              </w:rPr>
            </w:r>
            <w:r>
              <w:rPr>
                <w:sz w:val="21"/>
              </w:rPr>
              <w:t>处境</w:t>
            </w:r>
          </w:p>
        </w:tc>
        <w:tc>
          <w:tcPr>
            <w:tcW w:type="dxa" w:w="2160"/>
          </w:tcPr>
          <w:p>
            <w:pPr>
              <w:spacing w:line="288" w:lineRule="auto"/>
            </w:pPr>
            <w:r>
              <w:rPr>
                <w:sz w:val="21"/>
              </w:rPr>
            </w:r>
            <w:r>
              <w:rPr>
                <w:sz w:val="21"/>
              </w:rPr>
              <w:t>第九章 生活心理边界</w:t>
            </w:r>
          </w:p>
        </w:tc>
        <w:tc>
          <w:tcPr>
            <w:tcW w:type="dxa" w:w="2160"/>
          </w:tcPr>
          <w:p>
            <w:pPr>
              <w:spacing w:line="288" w:lineRule="auto"/>
            </w:pPr>
            <w:r>
              <w:rPr>
                <w:sz w:val="21"/>
              </w:rPr>
            </w:r>
            <w:r>
              <w:rPr>
                <w:sz w:val="21"/>
              </w:rPr>
              <w:t>与工具的日常如何设界</w:t>
            </w:r>
          </w:p>
        </w:tc>
        <w:tc>
          <w:tcPr>
            <w:tcW w:type="dxa" w:w="2160"/>
          </w:tcPr>
          <w:p>
            <w:pPr>
              <w:spacing w:line="288" w:lineRule="auto"/>
            </w:pPr>
            <w:r>
              <w:rPr>
                <w:sz w:val="21"/>
              </w:rPr>
            </w:r>
            <w:r>
              <w:rPr>
                <w:sz w:val="21"/>
              </w:rPr>
              <w:t>处境的个体侧</w:t>
            </w:r>
          </w:p>
        </w:tc>
      </w:tr>
      <w:tr>
        <w:tc>
          <w:tcPr>
            <w:tcW w:type="dxa" w:w="2160"/>
          </w:tcPr>
          <w:p>
            <w:pPr>
              <w:spacing w:line="288" w:lineRule="auto"/>
            </w:pPr>
            <w:r>
              <w:rPr>
                <w:sz w:val="21"/>
              </w:rPr>
            </w:r>
            <w:r>
              <w:rPr>
                <w:sz w:val="21"/>
              </w:rPr>
              <w:t>处境</w:t>
            </w:r>
          </w:p>
        </w:tc>
        <w:tc>
          <w:tcPr>
            <w:tcW w:type="dxa" w:w="2160"/>
          </w:tcPr>
          <w:p>
            <w:pPr>
              <w:spacing w:line="288" w:lineRule="auto"/>
            </w:pPr>
            <w:r>
              <w:rPr>
                <w:sz w:val="21"/>
              </w:rPr>
            </w:r>
            <w:r>
              <w:rPr>
                <w:sz w:val="21"/>
              </w:rPr>
              <w:t>第十章 伦理与未来</w:t>
            </w:r>
          </w:p>
        </w:tc>
        <w:tc>
          <w:tcPr>
            <w:tcW w:type="dxa" w:w="2160"/>
          </w:tcPr>
          <w:p>
            <w:pPr>
              <w:spacing w:line="288" w:lineRule="auto"/>
            </w:pPr>
            <w:r>
              <w:rPr>
                <w:sz w:val="21"/>
              </w:rPr>
            </w:r>
            <w:r>
              <w:rPr>
                <w:sz w:val="21"/>
              </w:rPr>
              <w:t>公共责任落在谁身上</w:t>
            </w:r>
          </w:p>
        </w:tc>
        <w:tc>
          <w:tcPr>
            <w:tcW w:type="dxa" w:w="2160"/>
          </w:tcPr>
          <w:p>
            <w:pPr>
              <w:spacing w:line="288" w:lineRule="auto"/>
            </w:pPr>
            <w:r>
              <w:rPr>
                <w:sz w:val="21"/>
              </w:rPr>
            </w:r>
            <w:r>
              <w:rPr>
                <w:sz w:val="21"/>
              </w:rPr>
              <w:t>处境的公共侧，中心判断收束</w:t>
            </w:r>
          </w:p>
        </w:tc>
      </w:tr>
      <w:tr>
        <w:tc>
          <w:tcPr>
            <w:tcW w:type="dxa" w:w="2160"/>
          </w:tcPr>
          <w:p>
            <w:pPr>
              <w:spacing w:line="288" w:lineRule="auto"/>
            </w:pPr>
            <w:r>
              <w:rPr>
                <w:sz w:val="21"/>
              </w:rPr>
            </w:r>
            <w:r>
              <w:rPr>
                <w:sz w:val="21"/>
              </w:rPr>
              <w:t>结语</w:t>
            </w:r>
          </w:p>
        </w:tc>
        <w:tc>
          <w:tcPr>
            <w:tcW w:type="dxa" w:w="2160"/>
          </w:tcPr>
          <w:p>
            <w:pPr>
              <w:spacing w:line="288" w:lineRule="auto"/>
            </w:pPr>
            <w:r>
              <w:rPr>
                <w:sz w:val="21"/>
              </w:rPr>
            </w:r>
            <w:r>
              <w:rPr>
                <w:sz w:val="21"/>
              </w:rPr>
              <w:t>后记</w:t>
            </w:r>
          </w:p>
        </w:tc>
        <w:tc>
          <w:tcPr>
            <w:tcW w:type="dxa" w:w="2160"/>
          </w:tcPr>
          <w:p>
            <w:pPr>
              <w:spacing w:line="288" w:lineRule="auto"/>
            </w:pPr>
            <w:r>
              <w:rPr>
                <w:sz w:val="21"/>
              </w:rPr>
            </w:r>
            <w:r>
              <w:rPr>
                <w:sz w:val="21"/>
              </w:rPr>
              <w:t>未尽的问题</w:t>
            </w:r>
          </w:p>
        </w:tc>
        <w:tc>
          <w:tcPr>
            <w:tcW w:type="dxa" w:w="2160"/>
          </w:tcPr>
          <w:p>
            <w:pPr>
              <w:spacing w:line="288" w:lineRule="auto"/>
            </w:pPr>
            <w:r>
              <w:rPr>
                <w:sz w:val="21"/>
              </w:rPr>
            </w:r>
            <w:r>
              <w:rPr>
                <w:sz w:val="21"/>
              </w:rPr>
              <w:t>回望与开口</w:t>
            </w:r>
          </w:p>
        </w:tc>
      </w:tr>
    </w:tbl>
    <w:p/>
    <w:p>
      <w:pPr>
        <w:ind w:firstLine="480"/>
      </w:pPr>
      <w:r>
        <w:t>在进入正文之前，把中心判断再说一遍，作为阅读全书的坐标。AI改变的是任务的价格：降价的是答案的获取与初稿的生产，升价的是提问、验证与判断。对大学生而言，这意味着四年的回报不再由入学与毕业两个动作自动兑现，而取决于在这场重排之中实际承接了什么任务。本书此后的一切章节，讨论的都是同一件事：如何有意识地选择自己承接的任务。隐形使用的均衡会慢慢过去——规则会跟上，评价会调整，沉默会被打破；在那之前先想清楚与这个工具如何分工的人，等得到一个更从容的位置。</w:t>
      </w:r>
    </w:p>
    <w:p>
      <w:pPr>
        <w:ind w:firstLine="0"/>
      </w:pPr>
      <w:r>
        <w:rPr>
          <w:i/>
          <w:color w:val="808080"/>
          <w:sz w:val="21"/>
        </w:rPr>
        <w:t>（初稿，当前约5,300字，目标10,000字。扩写方向：隐形使用一节补充政策文本与课堂规则演变的实证材料；中心判断一节增加与既有"技术-教育"讨论史的对照；答案免费一节补充知识平价化的行业侧证据；结构与读法一节增加对每章核心交付物的更详细介绍。所有政策表述与统计口径统一标注[待核实]。）</w:t>
      </w:r>
    </w:p>
    <w:p>
      <w:r>
        <w:br w:type="page"/>
      </w:r>
    </w:p>
    <w:p>
      <w:pPr>
        <w:pStyle w:val="Heading1"/>
      </w:pPr>
      <w:r>
        <w:t>第一章　范式转移：教育史上的一个价格断点</w:t>
      </w:r>
    </w:p>
    <w:p>
      <w:pPr>
        <w:ind w:firstLine="480"/>
      </w:pPr>
      <w:r>
        <w:t>关于生成式人工智能将如何改变大学，流行的讨论大多围绕"取代"展开：AI会不会取代教师，会不会取代学历，会不会取代某种专业。这类提问方式本身就值得怀疑。技术从不均匀地作用于一个职业或一种制度；它作用于任务的价格——让某些任务的完成成本骤降，让另一些任务的稀缺性上升，然后由身处其中的制度与个体去消化这种重新定价。本章的任务，是把这场重新定价的轮廓描述清楚：信息获取的逻辑经历了怎样的变化，知识的价格结构因此如何移动，大学捆绑出售的几种功能正在被如何拆解，以及所谓"AI原住民"这一区分的实质是什么。后四章关于能力与方法的全部讨论，都建立在本章的判断之上。</w:t>
      </w:r>
    </w:p>
    <w:p>
      <w:pPr>
        <w:pStyle w:val="Heading2"/>
      </w:pPr>
      <w:r>
        <w:t>1.1 从检索到生成：信息获取逻辑的三次变化</w:t>
      </w:r>
    </w:p>
    <w:p>
      <w:pPr>
        <w:ind w:firstLine="480"/>
      </w:pPr>
      <w:r>
        <w:t>将图书馆、搜索引擎与生成式模型并置，容易得出"工具越来越好用"的平滑结论。这个结论掩盖了真正重要的东西：三者的差异不在效率，而在每一次跃迁都改变了"使用者在获取信息之前必须具备什么"。</w:t>
      </w:r>
    </w:p>
    <w:p>
      <w:pPr>
        <w:ind w:firstLine="480"/>
      </w:pPr>
      <w:r>
        <w:t>图书馆时代的检索以分类体系为前提。查找一个问题的答案，首先要判断它属于哪个知识门类、与哪些相邻领域相关，然后沿着目录系统逐层下行。这个过程效率低下，但它强制使用者完成一次对问题结构的预加工——在找到答案之前，你必须先大致理解问题的位置。文献检索在当年是一门需要专门训练的技能，这种训练的副产品是学科地图意识。</w:t>
      </w:r>
    </w:p>
    <w:p>
      <w:pPr>
        <w:ind w:firstLine="480"/>
      </w:pPr>
      <w:r>
        <w:t>搜索引擎拆掉了分类的前置要求。使用者不再需要理解问题的结构，只需要把问题原样输入。理解问题结构的工作被转移给了机器——关键词匹配与排序算法承担了原本由人的学科素养完成的定位功能。代价是隐性的：当定位不再必要，学科地图意识在一代使用者中普遍萎缩。这不是能力被"淘汰"，而是能力失去了使用的必要性。</w:t>
      </w:r>
    </w:p>
    <w:p>
      <w:pPr>
        <w:ind w:firstLine="480"/>
      </w:pPr>
      <w:r>
        <w:t>推荐机制走得更远，它拆掉的是"提问"这个前提。内容在问题形成之前抵达使用者，信息的组织方式从"人找信息"变为"信息找人"。这一变化在教学领域几乎没有引起正式回应，因为它长期被视为娱乐场景的产物；但其后果是结构性的——在推荐环境中完成认知发育的一代人，部分地丧失了在没有外部供给的情况下形成问题的训练。教育的传统假设是学生带着问题进入课堂；这个假设如今需要重新检验。</w:t>
      </w:r>
    </w:p>
    <w:p>
      <w:pPr>
        <w:ind w:firstLine="480"/>
      </w:pPr>
      <w:r>
        <w:t>生成式模型是第三次、也是性质上不同的一次变化。搜索引擎交付的是他人写就的文档的清单，使用者仍需阅读、筛选、拼接——信息加工的后半程由人完成。生成式模型交付的是针对提问者当下问题、当场组织的答案：信息加工的全链条被纳入系统，人只剩下提问与验收两个端口。知识的存在形态因此从稳定的成品（文献）转变为一次性的过程（对话）。这不是检索速度的提升，而是知识与人发生关系的界面被重新定义了。</w:t>
      </w:r>
    </w:p>
    <w:p>
      <w:pPr>
        <w:ind w:firstLine="480"/>
      </w:pPr>
      <w:r>
        <w:t>三次跃迁可以概括如下：第一次转移了"理解问题结构"的负担，第二次取消了"形成问题"的必要，第三次收走了"加工信息"的过程。每一次，获取信息的门槛都更低，使用者从信息流通中退出的环节都更多。判断这些变化的性质时需要避免怀旧的对称错误——它们不是堕落，也不是进步，而是负担的迁移：机器接管的部分对应着某种人类能力的用进废退，而新的稀缺品正在别处形成。</w:t>
      </w:r>
    </w:p>
    <w:p>
      <w:pPr>
        <w:pStyle w:val="Heading2"/>
      </w:pPr>
      <w:r>
        <w:t>1.2 知识的平价化与注意力的再定价</w:t>
      </w:r>
    </w:p>
    <w:p>
      <w:pPr>
        <w:ind w:firstLine="480"/>
      </w:pPr>
      <w:r>
        <w:t>价格由稀缺性决定，这个朴素原理在这里比在任何口号中都有用。</w:t>
      </w:r>
    </w:p>
    <w:p>
      <w:pPr>
        <w:ind w:firstLine="480"/>
      </w:pPr>
      <w:r>
        <w:t>过去二十年，持续变便宜的是答案。一个标准答案的生产成本，从一位专业人员的一个下午，降到数秒的推理算力。任何能以单句提问表述的问题，都能在数秒内获得一段组织良好、多数情况下可用的回答。答案的通货膨胀已经发生，且不可逆。</w:t>
      </w:r>
    </w:p>
    <w:p>
      <w:pPr>
        <w:ind w:firstLine="480"/>
      </w:pPr>
      <w:r>
        <w:t>同步升值的是三样东西。其一是问题的质量。同样的模型，使用者得到的产出差距完全取决于提问：一句"帮我写"，得到的是分布均值水平的内容；一个对既有框架提出有效质疑的追问，可能推动出真正有信息增量的思考。问题质量的差距在检索时代同样存在，但那时提问只影响效率，如今它直接决定产出的上限。其二是对答案的判断力。生成的答案是无限供给的，使用者的验收时间是有限的；从多个像样的答案中识别正确的那个，依赖使用者头脑中既有的知识框架——这一点决定了"答案便宜"并不等于"知识便宜"。其三是品味。当生成一段文字、一张图像、一段代码的成本趋近于零，"能够生成"不再构成区分，"知道哪个更好"成为区分。品味并非玄学，它来自大量的输入与比较，来自对"好的标准"的内化——而这恰恰无法通过提问获得。</w:t>
      </w:r>
    </w:p>
    <w:p>
      <w:pPr>
        <w:ind w:firstLine="480"/>
      </w:pPr>
      <w:r>
        <w:t>值得注意的是，应试体系恰恰在这三样东西上是反向训练的。标准化考试的全部设计——问题由出题人提供，学生只负责生产答案——十二年一贯地压低了提问的价值。这一代大学生在进入大学时，是历史上受过最完整训练的答案生产者，而他们随即进入了一个答案不值钱的环境。这个错位是理解此后许多现象的钥匙：为什么同样接触AI的学生分化如此剧烈，为什么"会用工具"与"受益于工具"的相关性远低于预期。工具没有制造差距，它只是让一种既有的、被应试体系长期遮蔽的差距显形。</w:t>
      </w:r>
    </w:p>
    <w:p>
      <w:pPr>
        <w:pStyle w:val="Heading2"/>
      </w:pPr>
      <w:r>
        <w:t>1.3 大学功能的拆包：什么在被拍卖，什么未被触及</w:t>
      </w:r>
    </w:p>
    <w:p>
      <w:pPr>
        <w:ind w:firstLine="480"/>
      </w:pPr>
      <w:r>
        <w:t>"大学是否会被AI取代"是一个构成错误的问题。大学不是一种东西，它至少捆绑销售四种功能，而AI对它们的冲击完全不同步。</w:t>
      </w:r>
    </w:p>
    <w:p>
      <w:pPr>
        <w:ind w:firstLine="480"/>
      </w:pPr>
      <w:r>
        <w:t>第一种功能是知识传递。这是大学最古老的功能，也是被冲击最直接的一种。就"讲授"这个形态而言，多数课堂早已被公开课、知识区创作者和生成式工具在信息密度与可及性上超越。但由此得出"大学失去价值"的结论是混淆了知识传递的存量形态与组织形态：前者正在市场化，后者——把离散的知识组织为有先后、有反馈、有考核的学习路径——仍然依赖制度性的约束与对学习者的了解。AI目前两者都不具备：它对使用者的了解停留在对话上下文，也缺乏让学习走完必要枯燥阶段的现实强制力。知识传递的重组是真切的，整体的失效是推断过度的。</w:t>
      </w:r>
    </w:p>
    <w:p>
      <w:pPr>
        <w:ind w:firstLine="480"/>
      </w:pPr>
      <w:r>
        <w:t>第二种功能是学历信号。学历的价值从来不在知识而在筛选：向不认识你的第三方证明你通过了某种筛选。这个功能短期内无法被AI替代，因为信号依赖的是制度而非信息。但信号的价值正在被另一种机制稀释——当生成使"产出"变得前所未有的廉价，评价的重心从凭证向作品迁移，这是就业市场已经在发生的调整，第八章将具体处理。</w:t>
      </w:r>
    </w:p>
    <w:p>
      <w:pPr>
        <w:ind w:firstLine="480"/>
      </w:pPr>
      <w:r>
        <w:t>第三种功能是社会网络。宿舍、社团、共同完成任务的同伴关系，是大学从未写入招生简章的隐性产品，也是最难被数字化的部分。第四种功能是人格与身份的塑成：在一个没有标准答案的环境里第一次独立面对失败、竞争与合作。这两种功能在AI面前的位置是相同的——AI可以辅助，不能替代，因为其发生机制依赖真实的社会密度和真实的后果。</w:t>
      </w:r>
    </w:p>
    <w:p>
      <w:pPr>
        <w:ind w:firstLine="480"/>
      </w:pPr>
      <w:r>
        <w:t>把四种功能摆开，结论应当是克制的：大学没有失效，是其中一种功能——知识传递——被单独拿出去拍卖了，而出价更低的一方是AI。这个判断对个体的含义是策略性的：大学四年的回报不再由"入学"这个动作自动兑现，四种功能需要分别地、有意识地经营。不完成这个切换的学生，最常见的处境是为最便宜的那一种功能支付了全额学费。</w:t>
      </w:r>
    </w:p>
    <w:p>
      <w:pPr>
        <w:pStyle w:val="Heading2"/>
      </w:pPr>
      <w:r>
        <w:t>1.4 AI原住民：一个被年龄误置的区分</w:t>
      </w:r>
    </w:p>
    <w:p>
      <w:pPr>
        <w:ind w:firstLine="480"/>
      </w:pPr>
      <w:r>
        <w:t>流行话语用年龄划分"懂不懂AI"，这个划分把结构问题误认成了代际问题。</w:t>
      </w:r>
    </w:p>
    <w:p>
      <w:pPr>
        <w:ind w:firstLine="480"/>
      </w:pPr>
      <w:r>
        <w:t>更准确的分界，是初次深度接触生成式AI时个体的认知习惯处于何种状态。把AI当作环境的一部分、将其编织进提问与验证的日常循环的人，是原住民；认知习惯已经定型、后来把AI作为追加工具引入既有流程的人，是移民。二者在三个层面上差异显著。</w:t>
      </w:r>
    </w:p>
    <w:p>
      <w:pPr>
        <w:ind w:firstLine="480"/>
      </w:pPr>
      <w:r>
        <w:t>第一是默认设置。原住民遇到问题的第一反应里包含与模型对话这一选项——它位于工作流的地基，而非外挂。移民的使用是间歇性的、被任务触发的，模型在其流程中是一个可调用但非在场的组件。第二是对半成品的容忍度。原住民习惯于模型输出"部分正确、部分粗糙"的常态，其核心技能是快速识别可用部分、修复不可用部分；移民则倾向两极——或全盘接受（这是最危险的用法），或因发现一处错误而整体弃用。第三是对系统的心理定位。原住民对模型的态度接近于对一位知识广博但会一本正经出错的同事：既不恐惧也不崇拜；移民的恐惧与轻蔑都同样妨碍其形成准确的能力边界认知。</w:t>
      </w:r>
    </w:p>
    <w:p>
      <w:pPr>
        <w:ind w:firstLine="480"/>
      </w:pPr>
      <w:r>
        <w:t>这个区分的实际意义在于，它不是身份而是行为，因而可以后天完成。判据也相应具体：过去一周是否至少有一次，在无外部要求的情况下，主动就自己真实的困惑与模型进行过讨论——而非仅在任务压力下让它代工。前者是认知循环的扩展，后者只是转移了抄写成本。两者使用着同样的工具，发生的却是两件事。</w:t>
      </w:r>
    </w:p>
    <w:p>
      <w:pPr>
        <w:pStyle w:val="Heading2"/>
      </w:pPr>
      <w:r>
        <w:t>1.5 差距的放大机制：对两种流行叙事的修正</w:t>
      </w:r>
    </w:p>
    <w:p>
      <w:pPr>
        <w:ind w:firstLine="480"/>
      </w:pPr>
      <w:r>
        <w:t>关于AI与教育公平，存在两种对称且同样偷懒的叙事。乐观版本称AI是史上最大的教育平权工具——优质辅导的成本趋近于零，资源劣势将被抹平。悲观版本称AI将造成智力与财富向少数人集中的永久分化。</w:t>
      </w:r>
    </w:p>
    <w:p>
      <w:pPr>
        <w:ind w:firstLine="480"/>
      </w:pPr>
      <w:r>
        <w:t>两种叙事共享同一个错误：都把技术当作分配的主体。更接近实情的表述是，AI既不制造公平也不制造不平等，它放大使用者带入交互的既有配置。一个本就保有好奇心、习惯于自我提问的学生，获得的是一个不知疲倦的陪练与一个随时在场的对话者，其成长曲线的斜率被拉大。一个以完成任务为全部目标的学生，获得的是代工效率的十倍提升，以及随之而来的验证能力的进一步萎缩。同样的工具，相反的曲线；决定方向的不是工具，是工具到来之前已经形成的动机结构、习惯与自我期许——而这些恰恰是十二年应试训练与家庭环境塑造的结果，其分配本就不均。</w:t>
      </w:r>
    </w:p>
    <w:p>
      <w:pPr>
        <w:ind w:firstLine="480"/>
      </w:pPr>
      <w:r>
        <w:t>因此，真正的分水岭不在"是否拥有AI"，甚至不在"是否付费"——相对于教育总开支，订阅费用的门槛意义有限——而在赋能成本趋近于零之后，个体打算被赋能成什么样。这也解释了本书为何将前三章全部用于认知而非工具操作：操作的习得是下午尺度的事件，而与工具相处的心法是以年为尺度的复利，也是未来十年人与人差距的主要来源。</w:t>
      </w:r>
    </w:p>
    <w:p>
      <w:pPr>
        <w:ind w:firstLine="480"/>
      </w:pPr>
      <w:r>
        <w:t>这个判断对个体是好消息也是坏消息。好消息是，放大机制意味着在正确配置下的努力回报更高。坏消息是，它同样意味着错误的配置不再有借口：当所有人都拿到同样的工具，结果的责任结构史无前例地清晰。本章描述的重新定价，正是此后所有章节所处理的问题的起点——在答案平价、加工外包、问题与判断成为稀缺品的结构里，一个尚在形成认知习惯的年轻人，应当如何配置自己。</w:t>
      </w:r>
    </w:p>
    <w:p>
      <w:pPr>
        <w:ind w:firstLine="0"/>
      </w:pPr>
      <w:r>
        <w:rPr>
          <w:i/>
          <w:color w:val="808080"/>
          <w:sz w:val="21"/>
        </w:rPr>
        <w:t>（试写稿，当前约6,000字，目标20,000字。扩写方向：1.1节补充检索文化史与推荐机制的实证讨论；1.2节增加教育经济学对"信号-技能"框架的梳理；1.3节增加大学功能拆包的跨国案例；1.5节增加追踪式对比的材料。所有政策与统计数据的引入统一标注[待核实]。）</w:t>
      </w:r>
    </w:p>
    <w:p>
      <w:r>
        <w:br w:type="page"/>
      </w:r>
    </w:p>
    <w:p>
      <w:pPr>
        <w:pStyle w:val="Heading1"/>
      </w:pPr>
      <w:r>
        <w:t>第二章　认知重构：别让模型替你完成思考</w:t>
      </w:r>
    </w:p>
    <w:p>
      <w:pPr>
        <w:ind w:firstLine="480"/>
      </w:pPr>
      <w:r>
        <w:t>把一部分思考交给工具，这个事实本身并不新鲜。纸与笔卸载了记忆的一部分负担，计算器卸载了演算，搜索引擎卸载了查找——每一次技术卸载都曾引发"能力退化"的担忧，而每一次担忧都只说对了一半。真正新鲜的、也是本章要正面处理的是：生成式模型这一次收走的是加工过程本身。此前所有工具都终止于信息的抵达，人仍然要读、要组织、要把材料变成自己的想法；生成式模型则交付现成的加工结果，人只剩下提问与验收两个端口。本章的中心判断是：使用AI的代价不在用了多少，而在加工过程是否被完整移走——外包的标准从来不是道德，而是两个可以指认的变量：错误的代价，与输出的可验证性。本章的任务是把这两个变量论证清楚，并在第五节交付全书的公共工具：人机分工的四象限框架。</w:t>
      </w:r>
    </w:p>
    <w:p>
      <w:pPr>
        <w:pStyle w:val="Heading2"/>
      </w:pPr>
      <w:r>
        <w:t>2.1 认知卸载：这一次交出去的是加工过程</w:t>
      </w:r>
    </w:p>
    <w:p>
      <w:pPr>
        <w:ind w:firstLine="480"/>
      </w:pPr>
      <w:r>
        <w:t>导航软件与空间记忆的关系，是理解认知卸载的一个合适起点。长期依赖导航的人常有一个共同的体验：在同一条路线上被导航引导了许多次，仍然无法独立走完这条路线。有研究提示，依赖GPS导航与空间记忆能力、乃至海马体相关功能之间的负相关，且这种关联在不同年龄组中均有表现 [待核实]。这个现象的机制值得拆开：路线知识本应在每次行走中通过主动提取被巩固，而导航把行走变成了一次次的被动跟随——信息反复经过眼前，却从未经过提取。退化不是记忆被机器"夺走"，而是巩固所需的练习被取消了。</w:t>
      </w:r>
    </w:p>
    <w:p>
      <w:pPr>
        <w:ind w:firstLine="480"/>
      </w:pPr>
      <w:r>
        <w:t>这个拆解方式可以直接移用到思考上。第一章描述过负担的迁移：检索把"理解问题结构"的负担转给了机器，推荐把"形成问题"的必要取消了，生成把"加工信息"的过程收走了。认知科学把这类现象统称为认知卸载——利用外部工具降低内部认知负荷 [待核实]。卸载本身是文明的基本策略，文字就是最早的卸载装置。真正需要追问的是：被卸载掉的那段过程，是否恰好是能力形成所必需的练习。</w:t>
      </w:r>
    </w:p>
    <w:p>
      <w:pPr>
        <w:ind w:firstLine="480"/>
      </w:pPr>
      <w:r>
        <w:t>按这个标准衡量，生成式卸载的隐蔽性超过此前一切技术。写作是一个合适的分析对象。把写作理解为"把已有想法誊写下来"，是外行对写作最深的误解；更接近实情的理解是，写作就是思考的进行方式本身——句子的并列与让步，就是论点之间关系的试验；一段话写不下去，往往是想法本身还没想清。有从业者观察到，长期让模型代笔初稿的写作者，其独立组织长篇论证的能力会出现可感的退化 [待核实]。原因不难指认：需要模型代劳的原本只是誊写，而它实际接管的是那次组织本身。同理，学生让模型"讲一遍"概念而不自己复述，卸掉的是提取练习；让模型"给个思路"而不自己列提纲，卸掉的是结构化练习。这些练习的消失不留下任何即时的痛感——产物看起来完整，甚至更好——能力的萎缩发生在产物之外、成绩单之外的地方。</w:t>
      </w:r>
    </w:p>
    <w:p>
      <w:pPr>
        <w:ind w:firstLine="480"/>
      </w:pPr>
      <w:r>
        <w:t>时间维度使这个问题对大学生格外尖锐。能力的形成有关键期结构：大学阶段恰好是论证、批判、自我表达这些高级认知能力从课堂训练转向自主练习的过渡期，习惯正在固化，练习的机会一旦被外包取代，被固化的就是"外包本身"这个习惯。由此产生一个不对称的结论：对认知习惯已经定型的从业者，适度外包是效率；对正处于形成期的学生，同样的外包是练习的永久取消。同一个动作，处在能力曲线的不同位置上，含义完全不同。</w:t>
      </w:r>
    </w:p>
    <w:p>
      <w:pPr>
        <w:ind w:firstLine="480"/>
      </w:pPr>
      <w:r>
        <w:t>需要在这里给出限定，以免讨论滑向另一个极端。认知卸载的批评不能推出"一切外包皆有害"的结论——那等于要求所有人都徒手心算以保住算术能力。关键在分寸，而分寸需要标准：哪些环节的外包损失的是低价值练习，哪些环节的外包切断的是核心能力的形成。这个标准无法从道德直觉中获得，它来自对两个变量的评估——错误若发生，代价多大；输出若可疑，能否验证。这正是本章第五节的任务。在那之前，需要先处理外包链条上保留给人的那个端口：验收。</w:t>
      </w:r>
    </w:p>
    <w:p>
      <w:pPr>
        <w:pStyle w:val="Heading2"/>
      </w:pPr>
      <w:r>
        <w:t>2.2 元认知：验收端的第一能力</w:t>
      </w:r>
    </w:p>
    <w:p>
      <w:pPr>
        <w:ind w:firstLine="480"/>
      </w:pPr>
      <w:r>
        <w:t>验收之所以成为问题，是因为验收依赖一种被应试训练普遍忽视的能力：元认知——对自己认知的认知，即知道自己知道什么、不知道什么、什么地方容易出错。它与知识本身的区别是层次性的：知识回答"这个命题对不对"，元认知回答"我对这个命题的把握有多大"。一个学生可能背熟了教科书却从不评估自己何时该自信、何时该存疑；应试制度对此是纵容的，因为标准答案的存在使知识状态的自我评估变得多余——对错由阅卷人裁定，不需要自己定价。</w:t>
      </w:r>
    </w:p>
    <w:p>
      <w:pPr>
        <w:ind w:firstLine="480"/>
      </w:pPr>
      <w:r>
        <w:t>在AI的使用中，元认知从一种加分项变成了一种前置条件。原因在于生成式模型的一个结构性特征：它在一切话题上表现出同样的流畅。人在向专家请教时会收到大量困难信号——迟疑、纠正、拒绝回答；这些信号帮助提问者校准答案的可信度。模型不发送任何这类信号，它对熟悉的问题与冷僻的问题以同样的口吻作答。这意味着可信度的信号必须由使用者自己生产，而生产信号的全部原料，就是使用者对自己知识边界的了解。知道自己懂什么的验收者，能在模型越界时感到"这里不对劲"；不知道的验收者，得到的只是又一段通顺的文字。有研究提示，人们对AI建议的采纳率与其对自身相关知识的评估水平之间呈现复杂的关联，知识水平中等的群体有时表现出最高的过度信任 [待核实]。</w:t>
      </w:r>
    </w:p>
    <w:p>
      <w:pPr>
        <w:ind w:firstLine="480"/>
      </w:pPr>
      <w:r>
        <w:t>元认知与验证能力的关系因此是构成性的而非相关的：验证并非一项可以单独训练的技能，它以元认知为地基。验证一个输出，本质上是把它与自己头脑中的知识结构比对——哪里吻合、哪里冲突、哪里超出了比对范围。元认知精确的人，验证是自动的：读到与自己理解冲突的段落会自动警觉。元认知模糊的人，比对无法进行，只能退回两种策略——全盘接受或按风格偏好取舍，两种策略都与正确性无关。这解释了一个常见的观察：同样让模型批改作文，有的学生能抓住模型改错的段落并说出理由，有的学生则被模型流畅的点评说服，接受了自己并不认同的修改。两种表现的差别与努力程度无关，区别只在谁的头脑里有可供比对的坐标系。</w:t>
      </w:r>
    </w:p>
    <w:p>
      <w:pPr>
        <w:ind w:firstLine="480"/>
      </w:pPr>
      <w:r>
        <w:t>元认知薄弱在使用AI时还会遭遇双重放大。第一重来自模型：模型不区分"记得"与"编造"，其流畅不携带任何不确定性的标记。第二重来自使用者自身：元认知最薄弱的地方，恰恰是对薄弱本身的无知——不知道自己不知道的领域，既不会触发验证，也不会触发怀疑。两重放大叠加的结果是，错误最可能发生的地方，恰是最不会被检查的地方。这不是性格缺陷，是结构；结构的问题要用结构来对，不能靠"提醒自己多小心"来对。</w:t>
      </w:r>
    </w:p>
    <w:p>
      <w:pPr>
        <w:ind w:firstLine="480"/>
      </w:pPr>
      <w:r>
        <w:t>结构性的出路是把元认知变成可操作的校准行为。校准的核心机制是预测与反馈的闭环：在使用者需要评估一个答案之前，先让模型（或自己）对"我预计自己能答对什么"做出预测，再对照实际结果复盘。这类预测-验证-复盘的循环有认知心理学的提取练习传统作为依据 [待核实]。对AI使用者而言，它的意义是把元认知从一种模糊的自我感觉，变成一个可以刻意练习、可以用错误记录校准的过程：每一次被模型纠错或被模型带偏的经历，都是一次免费的知识边界测绘，前提是它被记录下来，而不是被下一段对话冲掉。</w:t>
      </w:r>
    </w:p>
    <w:p>
      <w:pPr>
        <w:pStyle w:val="Heading2"/>
      </w:pPr>
      <w:r>
        <w:t>2.3 批判性思维的升级：从查证来源到查证生成</w:t>
      </w:r>
    </w:p>
    <w:p>
      <w:pPr>
        <w:ind w:firstLine="480"/>
      </w:pPr>
      <w:r>
        <w:t>批判性思维在AI时代的处境，常被描述为"更重要了"。这个判断对，但过于笼统，无助于理解真正发生的变化。批判性思维的训练历来针对一个确定的对象：有来源的信息。评估一篇文献的可信度，标准是外部性的——作者资质、出版机构、引用链、利益相关、同行评议。这套标准在几百年里行之有效，构成了从识字教育到学术训练的公共方法。</w:t>
      </w:r>
    </w:p>
    <w:p>
      <w:pPr>
        <w:ind w:firstLine="480"/>
      </w:pPr>
      <w:r>
        <w:t>生成内容使这套外部标准失效，而且失效得相当彻底：模型输出没有作者，没有出版方，没有利益声明；它对一切来源启发式的回应都是同一副面孔。更麻烦的是，那些本应触发警觉的信号全部指向"可信"：文本流畅、结构工整、语气克制、格式规范。人类的信任判断长期依赖"表达流畅约等于理解到位"的启发式，这套启发式在人际场景中误差有限，因为人的流畅表达通常确实需要理解作支撑；生成文本恰好在这个前提上作假——流畅被模型以极低成本批量生产，理解不再随附。第二章反复要处理的一个核心错位在此首次出现，它值得被命名：流畅性与可靠性的错位。</w:t>
      </w:r>
    </w:p>
    <w:p>
      <w:pPr>
        <w:ind w:firstLine="480"/>
      </w:pPr>
      <w:r>
        <w:t>因此批判性思维的升级，不是把旧的怀疑态度加到新的对象上，而是把检验的位置从外部移到内部。对生成内容的批判，主要手段是内部一致性检查与可证伪声明的抽验。内部检查是零成本的：输出前后是否自洽、论证是否循环、例证与结论是否匹配——这些都不需要外部知识，只需要读得慢。抽验是低成本但定向的：凡是输出中承担重量的具体事实——数字、引文、条款、人名——凡是错了会传导到结论的，抽出来单独验证；验证的方式恰恰可以借助传统标准（查原文、找出处），外部标准并没有作废，它只是从"判断整篇"降级为"核对单点"。此外还有一类主动测试：向模型提出相反的立场、要求它反驳自己、追问依据——这些手法利用的是模型的顺从性，用它探测一个观点的反面是否有同样"流畅"的论证，从而暴露流畅本身不构成证据。</w:t>
      </w:r>
    </w:p>
    <w:p>
      <w:pPr>
        <w:ind w:firstLine="480"/>
      </w:pPr>
      <w:r>
        <w:t>幻觉检测因此应当被理解为一种日常认知习惯，而不是一种专家技能。日常习惯的含义是按风险加权的抽查，而非全句核验——全句核验的成本高到不可行，等于放弃使用；完全不验，等于放弃验收。合理的配置是把有限的验证注意力投向高风险点：被引用的具体事实、被断言的因果关系、使用者知识边界之外的领域。风险在句子之间不均匀分布，注意力也不应当均匀分布。这个配置本身依赖前一节的元认知：识别"高风险点"的能力，就是识别"我自己的知识在哪里最薄"的能力。批判性思维与元认知由此接合——怀疑若无指向，只是姿态。</w:t>
      </w:r>
    </w:p>
    <w:p>
      <w:pPr>
        <w:ind w:firstLine="480"/>
      </w:pPr>
      <w:r>
        <w:t>同样需要限定的是怀疑的上限。怀疑的产出应当是可信度的定价。对生成内容持有普遍怀疑——"AI说的都不可信"——在行为上与全盘信任是同一种懒惰：都免去了逐项评估的劳动。可信度是逐命题、随领域、随任务变动的局部属性。批判性思维升级后的成熟形态，表现为更细的怀疑颗粒度：知道哪里该慢，哪里可以快。这个颗粒度的最终给出，仍要落到代价与验证两个变量上。</w:t>
      </w:r>
    </w:p>
    <w:p>
      <w:pPr>
        <w:pStyle w:val="Heading2"/>
      </w:pPr>
      <w:r>
        <w:t>2.4 幻觉、偏见与黑箱：流畅性与可靠性的错位</w:t>
      </w:r>
    </w:p>
    <w:p>
      <w:pPr>
        <w:ind w:firstLine="480"/>
      </w:pPr>
      <w:r>
        <w:t>对模型错误的流行理解停留在"它会胡说"这个层面，并据此把幻觉当作一种可以修掉的缺陷。机制层面的理解与此不同。大语言模型的生成机制可以不涉及公式地描述为：给定前文，预测下一个最可能的词。这个机制的全部目标函数落在语言上——让接续合理、连贯、像人写的那样。有研究提示，幻觉并非工程缺陷，而是这一机制的固有副产品：模型对"记得的训练数据"与"合理的语言接续"不做区分，当二者冲突时，接续的流畅性往往胜出 [待核实]。一个贴切的类比是一位读遍了所有书却记不清哪句出自何处的讲述者：多数时候他复述得像模像样，遇到记不清的段落，他宁可编一个像样的句子，也不说"我不记得了"——因为在他的训练里，"编一个像样的句子"从来都是得分更高的行为。幻觉由此获得了一个准确而不安的定义：不是机器在撒谎，而是机器在用它唯一掌握的方式完成接续。</w:t>
      </w:r>
    </w:p>
    <w:p>
      <w:pPr>
        <w:ind w:firstLine="480"/>
      </w:pPr>
      <w:r>
        <w:t>偏见在同一个机制中获得了另一种存在方式。训练语料承载着社会的既有分布——谁更常被写成领导者，哪种口音更常被标注为不规范，哪种履历更常与成功共现——模型把这些分布作为接续的原料继承下来。问题的特殊性在于呈现方式：偏见以"客观的统计表达"的面目出现。一篇由模型生成的评述不会宣称自己有立场；它以中立的文体说话，而文体本身就是从有立场的语料中学来的。识别这种偏见超出了词面甄别的范围：输出的一切默认值——例子的选择、框架的倾向、被省略的视角——都是语料分布的函数。与幻觉不同，偏见不表现为可抓取的错误句子，它表现为一切句子共同的背景。</w:t>
      </w:r>
    </w:p>
    <w:p>
      <w:pPr>
        <w:ind w:firstLine="480"/>
      </w:pPr>
      <w:r>
        <w:t>黑箱属性使前两者都难以问责。生成过程发生在数十亿参数的分布式状态之中，连开发者也无法就某一次具体输出给出人可理解的因果说明。这个属性的制度后果值得单独指出：它使问责结构错位。传统工具出错，可以沿着"设计-制造-使用"的链条找到责任节点；模型出错，错误既不属于某个程序员，也不属于使用者的误操作——它是机制的正常输出碰上了对它不适用的问题。责任因此被悬置：制造方可以声明已尽合理注意，使用方无法举证具体过失，而错误造成的损失落在第三方。讨论AI问责的文献长期围绕这个空位展开 [待核实]。对使用者而言，黑箱的直接含义更朴素：不要指望工具自己报警。没有指示灯，只有验收的人。</w:t>
      </w:r>
    </w:p>
    <w:p>
      <w:pPr>
        <w:ind w:firstLine="480"/>
      </w:pPr>
      <w:r>
        <w:t>三者合起来，构成了本章命名的那个关键错位的完整内容：流畅性与可靠性的错位。人类的信息环境此前从未出现过一种文本，在流畅性上如此之高，而可靠性上如此不均——不均到无法用一个整体的"可信度评分"来刻画。有研究提示，模型在常见、被充分覆盖的任务上表现可靠，在冷僻、低频、需要精确记忆或精确计数的任务上，错误率陡升 [待核实]。这个分布对使用者意味着一件决定性的事："平均可靠性"是无用概念，可靠性是任务与领域的局部属性。模型在解释热力学第二定律时的可信度，与在给出某县某年财政数字时的可信度之间，没有任何必然联系；一个对前者满意的验收者，对后者不拥有任何已被证明的权利。承认流畅不证明可靠、平均不可证明局部，是使用这个工具在认识论上的最低门槛；而把这两个承认转化为可执行的决策规则，正是下一节的任务。</w:t>
      </w:r>
    </w:p>
    <w:p>
      <w:pPr>
        <w:pStyle w:val="Heading2"/>
      </w:pPr>
      <w:r>
        <w:t>2.5 人机分工：错误代价与可验证性的四象限</w:t>
      </w:r>
    </w:p>
    <w:p>
      <w:pPr>
        <w:ind w:firstLine="480"/>
      </w:pPr>
      <w:r>
        <w:t>日常使用中真正的决策从来不是"用不用AI"，而是"这个任务交给它做到什么程度"。多数人靠直觉回答这个问题，而直觉的常用标准——"重要的自己做"——经不起推敲。"重要"是一个主观价值概念，它度量的是任务成功带来的收益，而非任务失败造成的损失；一件对使用者极重要的校对工作，若错误极易发现，外包它并无风险，一件不重要的随手求解，若验证它需要的知识远超使用者所备，外包它反而危险。直觉标准的失效提示，分工需要一个真正的坐标系：两个变量，各自独立，合起来覆盖决策的全部后果。</w:t>
      </w:r>
    </w:p>
    <w:p>
      <w:pPr>
        <w:ind w:firstLine="480"/>
      </w:pPr>
      <w:r>
        <w:t>选择这两个变量而非别的，理由是后果结构的完备性。外包一个任务，可能出的事情只有两件：输出有错，或错误未被验收发现。第一件事的严重程度由错误代价刻画——若此输出有误，最坏损失有多大，是否可逆，由谁承担。第二件事的概率由可验证性刻画——验收者能否在合理成本内确认输出的正确。关键在于，可验证性并非任务的固有属性：它是任务与验收者知识的联合属性。同一段机器翻译的合同初稿，对一位精通双方语言的人是高可验证的，对不懂其中一门语言的人是零可验证的。这一点是整个框架最不讨喜、也最关键的地方：它把可验证性定义为使用者自身状态的函数，从而使"别人都在这么用"永远无法构成辩解——象限的位置是随人移动的，责任也就随人移动。</w:t>
      </w:r>
    </w:p>
    <w:p>
      <w:pPr>
        <w:ind w:firstLine="480"/>
      </w:pPr>
      <w:r>
        <w:t>两个变量各取高低，得到四个象限。第一象限：高错误代价、高可验证。正确原则是外包生产、人保验收——让模型起草，人逐项核对。典型场景是有明确对错标准的重活：代码的核心逻辑（可由测试验证）、重要申请文书的初稿（可由本人逐句核）、有标准答案参照的习题讲解（可自行复算）。这个象限是AI收益最高的区域：生产环节的降价值得收取，因为验收环节没有失守。第二象限：高错误代价、低可验证。正确原则是人主导、机器辅助——外包资料，不外包判断。典型场景：毕业论文的核心论证、涉及自身前途的决策分析、任何"我无法判断它对不对，但错了代价很大"的任务。这一象限的诱惑最大、错误最常见，因为低可验证性恰恰使错误不易暴露。模型在这里的正确角色是陪练与质询者，而非生产者。第三象限：低错误代价、高可验证。正确原则是放心外包——格式转换、常规邮件、翻译初稿、代码样板。在这一象限拒绝使用工具，只是把自己的注意力定错了价格：省下的时间本可以投给第一、二象限的验收与判断。第四象限：低错误代价、低可验证。正确原则是限量使用、按比例抽查——头脑风暴、起名、对模糊问题的随手求解。这类任务单次损失小，但若成为完全不设防的默认习惯，累积误差与依赖会同步增长。</w:t>
      </w:r>
    </w:p>
    <w:p>
      <w:pPr>
        <w:ind w:firstLine="480"/>
      </w:pPr>
      <w:r>
        <w:t>四个象限的原则可以压成四句口诀，便于在具体决策中快速调用：</w:t>
      </w:r>
    </w:p>
    <w:p>
      <w:pPr>
        <w:ind w:firstLine="480"/>
      </w:pPr>
      <w:r>
        <w:rPr>
          <w:b/>
        </w:rPr>
        <w:t>高险可验，交而后查；高险难验，己而后问；低险可验，尽可外包；低险难验，用而有度。</w:t>
      </w:r>
    </w:p>
    <w:p>
      <w:pPr>
        <w:ind w:firstLine="480"/>
      </w:pPr>
      <w:r>
        <w:t>口诀只是压缩，判定过程需要按固定次序执行，共三步。第一步，估错误代价：设想此输出有错且未被发现，最坏后果由谁承担、可否补救；不可逆、由使用者本人承担后果的，一律归入高代价。第二步，估可验证性：问自己两个问题——我是否具备验收此输出所需的知识，以及验证的成本相对任务的收益是否合理；两个问题中任何一个答不出，按低可验证处理。第三步，处理边界情形：当代价或可验证性难以判断时，一律向更严格的象限归位。第三步的理由是不对称性：把高代价误判为低代价、把难验证误判为可验证，损失是实质的；反方向的误判，损失的只是一点效率。在不确定时承受效率损失以避免实质损失，是这个流程的全部道理。</w:t>
      </w:r>
    </w:p>
    <w:p>
      <w:pPr>
        <w:ind w:firstLine="480"/>
      </w:pPr>
      <w:r>
        <w:t>这个框架还需要交代两处动态性，否则它会被误读为一张静态地图。其一，象限边界随个体知识移动。同一个任务，内行处于高可验证区，新手处于低可验证区；这意味着同一个用法对不同的人承担不同性质的风险，也意味着框架内含一条成长路径——随着知识增加，任务会从第二象限（己而后问）移入第一象限（交而后查），可外包的范围随之扩大。有意识地扩大自己的高可验证区，是AI时代能力建设的另一种表述。其二，象限随任务阶段移动。同一篇论文，选题判断处于第二象限，文献整理处于第三象限，核心论证的表述可能回到第二象限，格式与引文核对又落入第三象限。每个环节各有自己的象限归属；把问题问到"该不该用AI"的层面，本身就是放弃了分工。</w:t>
      </w:r>
    </w:p>
    <w:p>
      <w:pPr>
        <w:ind w:firstLine="480"/>
      </w:pPr>
      <w:r>
        <w:t>还需要交代框架的适用边界。四象限处理的是任务分配，不处理动机：一个用第四象限的原则掩盖"根本不想思考"的人，框架无法识破他，但时间可以——四象限的全部收益，恰恰以验收端的元认知为前提，而从不验收的人，两个端口都在空转。框架也不处理制度约束：在学术规范划定的红线之内谈分工，在红线之外谈收益，次序不能颠倒——这是第七章的工作。框架能够兑现的承诺相当有限，只是一个克制的命题：在这两个维度上想清楚的人，才有资格谈受益。</w:t>
      </w:r>
    </w:p>
    <w:p>
      <w:pPr>
        <w:ind w:firstLine="480"/>
      </w:pPr>
      <w:r>
        <w:t>外包的标准是代价与验收，而不是道德与直觉。把思考的一部分交给机器，是这一代学生无法拒绝的处境；可以拒绝的只是交出的方式。加工可以外包，验收不能；资料可以外包，判断不能；而验收与判断的质量，又都取决于另一个更靠前的能力——把模糊的需求组织成清晰的问题的能力。一个说不清自己要什么的人，既验不了收，也判不了断。这正好把讨论推向下一章：模型时代的提问，已经不再只是求知的第一步，它是整条生产线上决定产出上限、也决定外包安全的那道工序。</w:t>
      </w:r>
    </w:p>
    <w:p>
      <w:pPr>
        <w:ind w:firstLine="0"/>
      </w:pPr>
      <w:r>
        <w:rPr>
          <w:i/>
          <w:color w:val="808080"/>
          <w:sz w:val="21"/>
        </w:rPr>
        <w:t>（初稿，当前约7,500字，目标20,000字。扩写方向：2.1节补充认知卸载的实证研究与提取练习的实验材料；2.2节增加元认知校准的对照案例；2.3节扩充各类验证手法的正反示例；2.4节增加对齐训练与安全过滤如何改变错误分布的讨论；2.5节为每个象限补充完整案例与边界争议的辩驳。所有研究结论维持[待核实]标注。）</w:t>
      </w:r>
    </w:p>
    <w:p>
      <w:r>
        <w:br w:type="page"/>
      </w:r>
    </w:p>
    <w:p>
      <w:pPr>
        <w:pStyle w:val="Heading1"/>
      </w:pPr>
      <w:r>
        <w:t>第三章　提问的艺术：指令写作作为一种认知训练</w:t>
      </w:r>
    </w:p>
    <w:p>
      <w:pPr>
        <w:ind w:firstLine="480"/>
      </w:pPr>
      <w:r>
        <w:t>关于"提示词工程"，流行的想象是一种可以速成的旁门技术：背下一批咒语式的模板，就能撬动模型的全部潜能。这个想象恰好把事情说反了。提示词不是咒语，是规格——把一个尚未成形的需求翻译成一份机器可以执行的清晰说明。本章的中心判断是：指令写作的困难不在措辞，而在自我认知；写不出好指令的人，多数不是不擅长表达，而是尚未想清楚自己要什么。因此，向模型提问构成一种反向的写作训练，也是一种被应试教育系统性跳过的训练：问题由出题人提供了十二年，如今轮到提问者自己上岗。本章依次处理提示词的本质、提问的层次光谱、指令的结构要素、多轮对话的收敛机制、场景模板的共性，以及这种训练最终沉淀为什么能力。</w:t>
      </w:r>
    </w:p>
    <w:p>
      <w:pPr>
        <w:pStyle w:val="Heading2"/>
      </w:pPr>
      <w:r>
        <w:t>3.1 提示词的本质：把模糊需求翻译为清晰规格</w:t>
      </w:r>
    </w:p>
    <w:p>
      <w:pPr>
        <w:ind w:firstLine="480"/>
      </w:pPr>
      <w:r>
        <w:t>写作课上教的写作，读者是人；人是有史以来容错性最高的读者。人类读者会顺着语境猜测意图，用善意补全缺漏，对含糊之处自动取最合理的解释。一篇文章可以只写完一半，剩下的一半由读者完成。这种容错使写作中的模糊长期不被惩罚：一份含糊的报告，遇到认真的读者仍能传达大意，遇到敷衍的读者则由读者自行决定它说了什么——两种情况下，作者都不必为模糊付全价。</w:t>
      </w:r>
    </w:p>
    <w:p>
      <w:pPr>
        <w:ind w:firstLine="480"/>
      </w:pPr>
      <w:r>
        <w:t>生成式模型是另一种容错系统，方向相反。它不猜测提问者，它补全提问者：面对一个模糊的指令，模型做的是为这个指令生成统计意义上的"一般版本"。"帮我写一篇关于大学生内卷的文章"——这句指令没有任何错误，但也没有任何属于提问者的信息。模型交付的将是一篇谁提都一样的文章：正确的形容词、最常见的例子、四平八稳的结论。模糊指令得到的不是坏答案，是与提问者无关的均值答案。这不是模型的能力缺陷，恰恰是它对模糊指令最忠实的响应方式。模型的输出质量由此第一次把"想清楚自己要什么"从一种美德变成了使用的前提设施。</w:t>
      </w:r>
    </w:p>
    <w:p>
      <w:pPr>
        <w:ind w:firstLine="480"/>
      </w:pPr>
      <w:r>
        <w:t>在这个意义上，指令写作是传统写作的反向训练。传统写作训练的痼疾是反馈回路又慢又不诚实：文章交上去，反馈迟到数日，且被师生关系、社交礼貌层层折扣——老师要顾及你的感受，同学要维持你们的友谊。指令写作的反馈是即时的、可重复的、不带情面的：同一句模糊指令，改动一个要素，输出立刻可见地变化；不满意，可以无限次重问而不欠任何人情。这构成了写作训练史上罕见的诚实反馈回路。一个下午之内，学习者可以完成过去需要一个学期才能走完的"修改—再看—再改"循环，而每一轮循环都在追问同一个问题：你到底想要什么。</w:t>
      </w:r>
    </w:p>
    <w:p>
      <w:pPr>
        <w:ind w:firstLine="480"/>
      </w:pPr>
      <w:r>
        <w:t>指令写作之所以"反向"，还因为它对"想清楚"的要求比给人写作更严苛。人类读者接受意会，接受"你懂的"；机器不接受意会，它把一切未言明之处用平均值填满。于是指令写作逼出的不是文采，是自我认知的三个构件：知道自己的目标是什么，知道手里已有的素材是什么，知道好坏的判据是什么。这三样缺任何一样，指令都回落为均值。一个人反复写不出好指令，问题很少在键盘上。</w:t>
      </w:r>
    </w:p>
    <w:p>
      <w:pPr>
        <w:pStyle w:val="Heading2"/>
      </w:pPr>
      <w:r>
        <w:t>3.2 提问的五个层次：从任务外包到认知扩展</w:t>
      </w:r>
    </w:p>
    <w:p>
      <w:pPr>
        <w:ind w:firstLine="480"/>
      </w:pPr>
      <w:r>
        <w:t>按"认知环节保留在提问者手中的比例"来排序，向模型提问存在一个从外包到扩展的光谱：代写、代改、代想、共想、质疑我。五个层次不是修行境界，是分工方式——每一层都有正当用途，也都有失效场景；需要警惕的不是使用哪一层，而是默认层次的滑落。</w:t>
      </w:r>
    </w:p>
    <w:p>
      <w:pPr>
        <w:ind w:firstLine="480"/>
      </w:pPr>
      <w:r>
        <w:t>第一层是代写：整个生产环节移交，提问者只出题目。它适合低价值、有标准形态的任务——格式转换、例行通知、把散乱要点整理成提纲。这类文本的价值本来就来自"存在"而非"怎么写"，代写是纯粹的正效率。它的失效场景同样明确：一切以"我必须想清楚"为内在要求的任务。代写一篇本应自己完成的论证，得到的是文本、失去的是思考，这笔交易的性质是典当认知。</w:t>
      </w:r>
    </w:p>
    <w:p>
      <w:pPr>
        <w:ind w:firstLine="480"/>
      </w:pPr>
      <w:r>
        <w:t>第二层是代改：初稿自产，修改外包。结构与判断保留在提问者手中，交出去的只是语言抛光。这一层在机制上是安全的：认知的所有权从未移交，模型做的一切都在已有思路的延长线上。</w:t>
      </w:r>
    </w:p>
    <w:p>
      <w:pPr>
        <w:ind w:firstLine="480"/>
      </w:pPr>
      <w:r>
        <w:t>第三层是代想：请模型提供方案、列出选项、给出思路，选择与判断留在提问者手中。"社团招新有哪些有新意的形式"是代想的初级形态；"以下是我拟的三个方案，各自最可能在哪里失败"是代想的高阶形态——把判断的原料给足，让模型去做穷举与压力测试。</w:t>
      </w:r>
    </w:p>
    <w:p>
      <w:pPr>
        <w:ind w:firstLine="480"/>
      </w:pPr>
      <w:r>
        <w:t>第四层是共想：提问者与模型互为对话者，一方的判断成为另一方下一步的前提，往复推进一个双方单独都无法完成的问题。共想的前提是提问者持续输入有质量的判断——一旦只剩模型在推进，共想就退化成了代想。</w:t>
      </w:r>
    </w:p>
    <w:p>
      <w:pPr>
        <w:ind w:firstLine="480"/>
      </w:pPr>
      <w:r>
        <w:t>第五层是质疑我：指令的方向反转，不是要模型生产内容，而是要它攻击提问者已有的内容。这一层位于光谱顶端的原因是结构性的：它以提问者的既成思考为对象，没有思考，就没有可被质疑的东西；质疑因此天然排除了认知外包——你不可能外包一个还不存在的自己。</w:t>
      </w:r>
    </w:p>
    <w:p>
      <w:pPr>
        <w:ind w:firstLine="480"/>
      </w:pPr>
      <w:r>
        <w:t>以论文写作的真实场景演示层次之间的差距。</w:t>
      </w:r>
    </w:p>
    <w:p>
      <w:pPr>
        <w:ind w:left="480" w:firstLine="0"/>
      </w:pPr>
      <w:r>
        <w:rPr>
          <w:b/>
        </w:rPr>
        <w:t>示例一（代改层）</w:t>
      </w:r>
    </w:p>
    <w:p>
      <w:pPr>
        <w:ind w:left="480" w:firstLine="0"/>
      </w:pPr>
      <w:r>
        <w:t>第一轮提问：这是我为社会学课写的一段关于外卖平台与时间感的论证，请指出论证链上的断点，不要动语言。</w:t>
      </w:r>
    </w:p>
    <w:p>
      <w:pPr>
        <w:ind w:left="480" w:firstLine="0"/>
      </w:pPr>
      <w:r>
        <w:t>模型输出要点：指出"骑手的时间被平台规训"到"用户的等待耐心变短"之间缺一环——没有说明骑手侧的时间纪律如何外溢为用户侧的文化变化，中间需要一个传递机制。</w:t>
      </w:r>
    </w:p>
    <w:p>
      <w:pPr>
        <w:ind w:left="480" w:firstLine="0"/>
      </w:pPr>
      <w:r>
        <w:t>第二轮提问：只针对这个断点，给出三种可能的补法，每种一句话，不要替我选。</w:t>
      </w:r>
    </w:p>
    <w:p>
      <w:pPr>
        <w:ind w:firstLine="480"/>
      </w:pPr>
      <w:r>
        <w:t>此轮改变了什么：第一轮把模型放在编辑位置，且用"不要动语言"排除了它最顺手的润色冲动，迫使输出集中在结构层面；第二轮限定了介入的深度——只要选项，不要裁决。两轮的共同点是模型的每一步都被限制在"指出"与"供选"，写作的判断权没有离开提问者。第二轮那句"不要替我选"切断了的正是模型最热情的下一步：附赠一个推荐方案，从而悄悄替提问者完成判断。</w:t>
      </w:r>
    </w:p>
    <w:p>
      <w:pPr>
        <w:ind w:left="480" w:firstLine="0"/>
      </w:pPr>
      <w:r>
        <w:rPr>
          <w:b/>
        </w:rPr>
        <w:t>示例二（质疑我层）</w:t>
      </w:r>
    </w:p>
    <w:p>
      <w:pPr>
        <w:ind w:left="480" w:firstLine="0"/>
      </w:pPr>
      <w:r>
        <w:t>提问：我的论文计划论证"高校绩点制度导致同伴间的知识共享减少"。请你扮演一位不同意这个论点的评审，指出这个论证最可能失败的三处。不要给任何改进建议。</w:t>
      </w:r>
    </w:p>
    <w:p>
      <w:pPr>
        <w:ind w:firstLine="480"/>
      </w:pPr>
      <w:r>
        <w:t>模型输出要点（概括）：其一，因果方向可疑——不愿共享的学生可能本来就更容易接受绩点竞争的解释框架，而非被制度改造；其二，"减少"缺少可操作的测量，回忆中的"过去更互助"可能是怀旧偏差；其三，样本问题——由此推及"高校"整体，需要说明为何排除了院系文化差异。</w:t>
      </w:r>
    </w:p>
    <w:p>
      <w:pPr>
        <w:ind w:firstLine="480"/>
      </w:pPr>
      <w:r>
        <w:t>此轮改变了什么：模型的位置从生产者转为攻击者，输出的价值不再取决于生成质量而取决于攻击的落点。指令里"不要给改进建议"是关键约束：不给建议，攻击才完整——一旦模型开始给建议，对话的引力就从"这个论证是否成立"滑回"这篇文章怎么写"，提问者就从检验者退回了求助者。质疑我层次的全部价值，维系在这一类看似不近人情的约束上。</w:t>
      </w:r>
    </w:p>
    <w:p>
      <w:pPr>
        <w:ind w:firstLine="480"/>
      </w:pPr>
      <w:r>
        <w:t>五个层次里没有一层是错的，但存在默认层次的滑落：习惯于代写的人，代想的能力在萎缩，因为提问的肌肉与思考的肌肉是同一块。层次选择的判据是任务的认知归属：这段思考必须属于我的，层次就不能超过代改；这段思考本就不必属于我，用代写是效率而非堕落。分层使用而不是被层次使用，是本章对"何时用哪一层"的全部回答。</w:t>
      </w:r>
    </w:p>
    <w:p>
      <w:pPr>
        <w:pStyle w:val="Heading2"/>
      </w:pPr>
      <w:r>
        <w:t>3.3 结构化五要素：一份指令的解剖学</w:t>
      </w:r>
    </w:p>
    <w:p>
      <w:pPr>
        <w:ind w:firstLine="480"/>
      </w:pPr>
      <w:r>
        <w:t>现在处理具体的技术问题。一份能超越均值的指令，通常可以解剖出五个要素：角色、任务、背景、格式、约束。市面上的模板多数是这五要素的排列组合；理解每个要素起作用的机制，比背诵模板重要，因为机制决定了一个要素何时可以省略、何时不可省略。</w:t>
      </w:r>
    </w:p>
    <w:p>
      <w:pPr>
        <w:ind w:firstLine="480"/>
      </w:pPr>
      <w:r>
        <w:t>角色不是给模型灌注人格，而是限定输出的分布。模型在训练中读过海量文本，"一位以苛刻著称的学术编辑"这样的描述，相当于在全部可能的说法中圈定了一个子集——苛刻的编辑会怎么说、看什么、忽略什么，是有统计边界的。对照以下两问：</w:t>
      </w:r>
    </w:p>
    <w:p>
      <w:pPr>
        <w:ind w:left="480" w:firstLine="0"/>
      </w:pPr>
      <w:r>
        <w:t>提问A：帮我改一下这段论文引言。</w:t>
      </w:r>
    </w:p>
    <w:p>
      <w:pPr>
        <w:ind w:left="480" w:firstLine="0"/>
      </w:pPr>
      <w:r>
        <w:t>提问B：你是一位期刊编辑，退稿意见以直指结构问题著称。这是我的引言段落（附后）。请只就一件事给出判断：读者为什么应该关心这个问题，是否在第二句话之前被建立。</w:t>
      </w:r>
    </w:p>
    <w:p>
      <w:pPr>
        <w:ind w:firstLine="480"/>
      </w:pPr>
      <w:r>
        <w:t>A得到通用润色；B得到一个有立场的裁决。差别不在礼貌或句式，在于角色描述替模型选定了评价的坐标系——A里的模型不知道该站在谁的角度说话，只好所有角度都说一点。</w:t>
      </w:r>
    </w:p>
    <w:p>
      <w:pPr>
        <w:ind w:firstLine="480"/>
      </w:pPr>
      <w:r>
        <w:t>任务是动词。"分析""对比""评估""列举""概述"对应完全不同的输出形状："介绍一下法国大革命"得到的是面面俱到的罗列，"对比三种对大革命起源的解释，并评估哪一种最能解释1788年的财政危机"得到的是有锋刃的论证。指令平庸最常见的原因，是任务动词停留在"帮我"——这是把定义形状的工作又推回给了模型。</w:t>
      </w:r>
    </w:p>
    <w:p>
      <w:pPr>
        <w:ind w:firstLine="480"/>
      </w:pPr>
      <w:r>
        <w:t>背景是给信息不对称定价。模型不知道提问者是谁、在上什么课、写到第几稿、导师上一次批评了什么。这些提问者独占的信息必须显性支付——写进指令——否则模型一律用"一般情况"填补。改论文时附上一句"老师上稿批的是'变量定义不清'"，与不附，得到的修改方向完全不同。背景的机制是条件化：模型的一切输出都以上下文为条件，上下文里的每一个事实都在移动输出的重心。背景的效力来自相关性而非数量——堆砌简历式的背景是另一种噪音。</w:t>
      </w:r>
    </w:p>
    <w:p>
      <w:pPr>
        <w:ind w:firstLine="480"/>
      </w:pPr>
      <w:r>
        <w:t>格式是验收接口。"给我讲讲这个概念"的输出无法对照任何清单检查；"用三段话，每段一个独立论点，最后附一个反例"的输出可以逐项核对。格式把模糊的"好"转换为可检查的结构。格式还有一个次级功能：字数与结构的约束本身参与思考——"三百字以内"逼出取舍，取舍是判断的第一形态。</w:t>
      </w:r>
    </w:p>
    <w:p>
      <w:pPr>
        <w:ind w:firstLine="480"/>
      </w:pPr>
      <w:r>
        <w:t>约束是排除法。前四个要素告诉模型做什么，约束划定不做什么，用于切断模型最可能走的默认路径。默认路径就是概率最高的走法：排比式开头、总分总结构、面面俱到的罗列、"值得注意的是"式的润滑剂。因此"不要列要点，用连贯段落""不要用'总而言之'收尾""不要客气，直接给判断"这类约束，单独看琐碎，合起来决定输出是均值还是特制。机制上说，生成是从概率分布中采样，排除项直接修改的是分布本身。</w:t>
      </w:r>
    </w:p>
    <w:p>
      <w:pPr>
        <w:ind w:firstLine="480"/>
      </w:pPr>
      <w:r>
        <w:t>五个要素如何在一句话里同时到场，用一个真实迭代来看。</w:t>
      </w:r>
    </w:p>
    <w:p>
      <w:pPr>
        <w:ind w:left="480" w:firstLine="0"/>
      </w:pPr>
      <w:r>
        <w:rPr>
          <w:b/>
        </w:rPr>
        <w:t>示例三（结构化的到达）</w:t>
      </w:r>
    </w:p>
    <w:p>
      <w:pPr>
        <w:ind w:left="480" w:firstLine="0"/>
      </w:pPr>
      <w:r>
        <w:t>第一轮提问：我在准备"城市中的陌生人"主题的课堂展示，帮我理一个大纲。</w:t>
      </w:r>
    </w:p>
    <w:p>
      <w:pPr>
        <w:ind w:left="480" w:firstLine="0"/>
      </w:pPr>
      <w:r>
        <w:t>模型输出要点：标准课件结构——概念定义、西美尔与雅各布斯的理论介绍、当代现象举例。任何检索时代的讲义都长这样。</w:t>
      </w:r>
    </w:p>
    <w:p>
      <w:pPr>
        <w:ind w:left="480" w:firstLine="0"/>
      </w:pPr>
      <w:r>
        <w:t>第二轮提问：听众是同学，展示二十分钟。此前他们读过西美尔原文节选，但普遍反映没读懂。我要的不是"讲西美尔"，而是用他们身边的经验（合租、地铁通勤、社交软件上的人）反过来激活文本。请给出三条可能的展示主线，每条用两句话说明"为什么这二十分钟值得听完"。删掉任何百科式的背景铺垫。</w:t>
      </w:r>
    </w:p>
    <w:p>
      <w:pPr>
        <w:ind w:left="480" w:firstLine="0"/>
      </w:pPr>
      <w:r>
        <w:t>模型输出要点：大纲转向问题驱动——以"你上周如何对待电梯里认识的邻居"开场，把文本的三个关键概念设置为解释同学自身经验所需的工具，结尾回到"为什么我们读过却没读懂"。</w:t>
      </w:r>
    </w:p>
    <w:p>
      <w:pPr>
        <w:ind w:firstLine="480"/>
      </w:pPr>
      <w:r>
        <w:t>此轮改变了什么：第一轮输出均值化的原因不是模型弱，是指令没有支付任何独占信息——那句话放在任何人身上都成立。第二轮注入了三个背景事实（听众是谁、已读过什么、卡在哪里），重新定义了任务（"激活文本"而非"介绍文本"），并施加了约束（删掉背景铺垫）。五个要素在一句话内同时到场，输出从"通用课件"收敛为"这个班的这二十分钟"。这个对比同时说明了模板的边界：第二轮的信息没有任何模板能够预设，它们只能来自提问者对自己处境的清楚。</w:t>
      </w:r>
    </w:p>
    <w:p>
      <w:pPr>
        <w:pStyle w:val="Heading2"/>
      </w:pPr>
      <w:r>
        <w:t>3.4 迭代与收敛：好答案是多轮对话的产物</w:t>
      </w:r>
    </w:p>
    <w:p>
      <w:pPr>
        <w:ind w:firstLine="480"/>
      </w:pPr>
      <w:r>
        <w:t>单轮指令再好，交付的只是这一次采样的结果。迭代的意义在于：每一轮追问都是一次判断注入——提问者在用"这个方向对了、那个意思偏了"的反馈告诉模型上一轮的误差在哪，输出随反馈逐轮向真实需求收敛。把第一轮输出当终点的人，得到的是第一稿水平；把它当起点的人，得到的是原本只有极少数人——拥有私人编辑、常任导师、随叫随到助教的人——才能享有的多轮打磨。模型把这种打磨的门槛从社会关系降到了一次追问。</w:t>
      </w:r>
    </w:p>
    <w:p>
      <w:pPr>
        <w:ind w:firstLine="480"/>
      </w:pPr>
      <w:r>
        <w:t>收敛的机制值得说清楚。模型对"你要什么"的了解完全来自上下文：它对提问者一无所知，每一轮输出都是基于当前对话历史的条件采样。第一轮它在最宽泛的空间里试探，第二轮开始根据反馈校准，三四轮之后误差显著缩小。这像与一位博学但健忘的顾问合作：每轮对话的开头他都不记得你是谁，但你们共同写下的讨论记录他一字不落。理解了这一点，第一轮输出不符预期时的正确诊断就不是"模型不行"，而是"我给的条件还缺什么"；同样，第四轮之后仍然显著跑偏，通常说明问题不在措辞而在任务定义——该改的是提问的层次，不是继续在措辞上打转。</w:t>
      </w:r>
    </w:p>
    <w:p>
      <w:pPr>
        <w:ind w:firstLine="480"/>
      </w:pPr>
      <w:r>
        <w:t>逐轮看一次完整的收敛过程。</w:t>
      </w:r>
    </w:p>
    <w:p>
      <w:pPr>
        <w:ind w:left="480" w:firstLine="0"/>
      </w:pPr>
      <w:r>
        <w:rPr>
          <w:b/>
        </w:rPr>
        <w:t>示例四（四轮迭代）</w:t>
      </w:r>
    </w:p>
    <w:p>
      <w:pPr>
        <w:ind w:left="480" w:firstLine="0"/>
      </w:pPr>
      <w:r>
        <w:t>场景：一份实习申请的动机陈述。</w:t>
      </w:r>
    </w:p>
    <w:p>
      <w:pPr>
        <w:ind w:left="480" w:firstLine="0"/>
      </w:pPr>
      <w:r>
        <w:t>第一轮提问：根据我的这段经历（附：三门课程、一次社团工作、一次实习）草拟一份申请动机陈述，三百字。</w:t>
      </w:r>
    </w:p>
    <w:p>
      <w:pPr>
        <w:ind w:left="480" w:firstLine="0"/>
      </w:pPr>
      <w:r>
        <w:t>模型输出要点：通顺而空洞——"希望在贵司的平台上学习成长、发挥所学、实现价值"式的万金油文本。</w:t>
      </w:r>
    </w:p>
    <w:p>
      <w:pPr>
        <w:ind w:left="480" w:firstLine="0"/>
      </w:pPr>
      <w:r>
        <w:t>第二轮提问：这版谁都能用。重写，必须嵌入三个只有我身上才成立的细节（细节已列出），禁止使用"学习成长""实现价值"及同类短语。</w:t>
      </w:r>
    </w:p>
    <w:p>
      <w:pPr>
        <w:ind w:left="480" w:firstLine="0"/>
      </w:pPr>
      <w:r>
        <w:t>模型输出要点：细节上来了，但结构仍是"经历—收获—期待"的履历体，结尾还是滑向套话。</w:t>
      </w:r>
    </w:p>
    <w:p>
      <w:pPr>
        <w:ind w:left="480" w:firstLine="0"/>
      </w:pPr>
      <w:r>
        <w:t>第三轮提问：结构换掉：不要按时间排列经历，围绕一个问题组织——我为什么想从课堂上研究的问题，走到这个问题发生的现场。语气按"给一位很忙但愿意读的人写信"处理。</w:t>
      </w:r>
    </w:p>
    <w:p>
      <w:pPr>
        <w:ind w:left="480" w:firstLine="0"/>
      </w:pPr>
      <w:r>
        <w:t>模型输出要点：文本第一次有了内在动机，细节被问题串起来；结尾仍显平。</w:t>
      </w:r>
    </w:p>
    <w:p>
      <w:pPr>
        <w:ind w:left="480" w:firstLine="0"/>
      </w:pPr>
      <w:r>
        <w:t>第四轮提问：结尾一段推倒重写。不要总结我多合适，用一句我真正想知道的问题结束。</w:t>
      </w:r>
    </w:p>
    <w:p>
      <w:pPr>
        <w:ind w:left="480" w:firstLine="0"/>
      </w:pPr>
      <w:r>
        <w:t>模型输出要点：以一个具体的、只有进入这个岗位才可能回答的问题收尾。</w:t>
      </w:r>
    </w:p>
    <w:p>
      <w:pPr>
        <w:ind w:firstLine="480"/>
      </w:pPr>
      <w:r>
        <w:t>此轮改变了什么：逐轮拆开看，四轮各司其职。第一轮是均值输出，作用是提供一块能起反应的石头——坏初稿的价值被普遍低估，它让"不要什么"第一次变得可见。第二轮是约束的介入：排除短语清单等于直接修改采样分布，细节是被逼出来的。第三轮是唯一一次真正的结构改变：任务的组织原则从"陈述经历"换成"陈述动机"，这一轮改变的不再是文本而是文本的骨架。第四轮控制收束形态，让结尾承担功能而非客套。整个过程里，提问者的判断每轮都在场——哪句空、哪段平、哪种结构无聊——模型做的是把这些判断兑现成文字。迭代的本质不是让模型想得更好，是把提问者的判断力按轮次注入文本。</w:t>
      </w:r>
    </w:p>
    <w:p>
      <w:pPr>
        <w:ind w:firstLine="480"/>
      </w:pPr>
      <w:r>
        <w:t>迭代不是越多越好，收敛曲线的后段是平坦的。三个停下来的信号：其一，边际改进低于自己动手改的成本——第四轮之后再让模型磨措辞，不如自己删一个形容词快；其二，输出已经好到"再改是风格偏好而非错误"；其三，一种更隐蔽的信号——追问开始损害整体，局部越来越亮，整体越来越平。最后一种情况值得单独警惕：过度迭代是"AI味"的来源之一，被反复打磨到毫无粗粝的文本，会失去它本来可以有的重量。</w:t>
      </w:r>
    </w:p>
    <w:p>
      <w:pPr>
        <w:pStyle w:val="Heading2"/>
      </w:pPr>
      <w:r>
        <w:t>3.5 场景模板的共同结构：模板为什么有效、为什么危险</w:t>
      </w:r>
    </w:p>
    <w:p>
      <w:pPr>
        <w:ind w:firstLine="480"/>
      </w:pPr>
      <w:r>
        <w:t>学习、写作、求职、生活——四类场景的提示词模板数以百计，本书附录B收录了一百个。把它们并置来看，全部模板共享同一个结构：目标（这次要得到什么）、素材（提问者投入什么）、标准（怎样算好）。任何有效模板都是这三个空位的填空题，五要素不过是填空的具体语法。解剖一个模板即可看清。</w:t>
      </w:r>
    </w:p>
    <w:p>
      <w:pPr>
        <w:ind w:left="480" w:firstLine="0"/>
      </w:pPr>
      <w:r>
        <w:rPr>
          <w:b/>
        </w:rPr>
        <w:t>示例五（一个模板的解剖）</w:t>
      </w:r>
    </w:p>
    <w:p>
      <w:pPr>
        <w:ind w:left="480" w:firstLine="0"/>
      </w:pPr>
      <w:r>
        <w:t>模板原文：我明天有一场××岗位的面试（附职位描述）。我的背景如下（附简历要点）。请扮演该岗位的一线业务负责人面试我：一次只问一个问题，追问我的回答直到出现具体的数字或具体的失败，然后换下一题。四十分钟后告诉我，以你的判断，我最可能在哪两个问题上失分，以及为什么是这两个。</w:t>
      </w:r>
    </w:p>
    <w:p>
      <w:pPr>
        <w:ind w:firstLine="480"/>
      </w:pPr>
      <w:r>
        <w:t>解剖：目标被双重锁定——"扮演业务负责人"确定了对话的性质，"追问到具体"确定了追问的深度；素材是职位描述与简历的显性投入，这是模型判断提问的原料；标准写在两处——"数字或失败"规定了每个回答的质量下限，"哪两个问题上失分"规定了复盘环节的产出形态。这个模板对任何岗位都适用，因为它填的是结构，不是内容。</w:t>
      </w:r>
    </w:p>
    <w:p>
      <w:pPr>
        <w:ind w:firstLine="480"/>
      </w:pPr>
      <w:r>
        <w:t>模板的真实价值由此显形：不是省去思考，是省去对结构的重复思考——把已经想清楚的部分固化，让思考力集中到没想清楚的部分。这也是模板危险的准确位置。填表式使用会把五要素变成不需要理解的黑箱；一年之后模型换代、场景变化，模板失效，使用者因为从未理解过结构而重新回到均值。好的使用者改模板，差的使用者填模板；附录B的一百个模板，正确用法是改写的起点，不是即插即用的耗材。</w:t>
      </w:r>
    </w:p>
    <w:p>
      <w:pPr>
        <w:pStyle w:val="Heading2"/>
      </w:pPr>
      <w:r>
        <w:t>3.6 提问力的迁移：模型作为提问的排练场</w:t>
      </w:r>
    </w:p>
    <w:p>
      <w:pPr>
        <w:ind w:firstLine="480"/>
      </w:pPr>
      <w:r>
        <w:t>本章至此讨论的都是如何向模型提问。最后的问题：这种训练最终沉淀为什么。判断是：提问力是可迁移的能力，向模型提问的训练，同时在训练向专家、向制度、向世界的提问。</w:t>
      </w:r>
    </w:p>
    <w:p>
      <w:pPr>
        <w:ind w:firstLine="480"/>
      </w:pPr>
      <w:r>
        <w:t>迁移的机制是提问的结构同源性。任何对象面前的有效提问都由同一组能力支撑：知道自己的认知缺口在哪，否则问不出要点；能把缺口表述为对方可回答的问题，否则浪费对方的注意力；对回答有验收的准备，否则答案再好也沉淀不下来。这三样能力不随提问对象改变，改变的只是代价结构。向模型提问的特殊之处是代价：不怕问蠢、不限次数、随叫随到、不消耗社会资本。这使它成为一个低风险的排练场——大学生不敢向专家提问的原因，一半是不知道问什么，一半是怕暴露无知；模型恰好消除了这两重顾虑，使提问能力可以先于提问场合生长。</w:t>
      </w:r>
    </w:p>
    <w:p>
      <w:pPr>
        <w:ind w:left="480" w:firstLine="0"/>
      </w:pPr>
      <w:r>
        <w:rPr>
          <w:b/>
        </w:rPr>
        <w:t>示例六（提问的排练）</w:t>
      </w:r>
    </w:p>
    <w:p>
      <w:pPr>
        <w:ind w:left="480" w:firstLine="0"/>
      </w:pPr>
      <w:r>
        <w:t>提问：我下周有一次向系里老师请教的机会，只有十五分钟。我的兴趣是城市社会学，但读得很散。请帮我排练：你扮演一位时间极紧的老师，我把我想问的三个问题依次提给你，你告诉我哪个让你愿意延长谈话、哪个让你看表，并说明原因。之后由你提出一个"如果只能问一个问题，这个年纪的你会问什么"。</w:t>
      </w:r>
    </w:p>
    <w:p>
      <w:pPr>
        <w:ind w:firstLine="480"/>
      </w:pPr>
      <w:r>
        <w:t>此轮改变了什么：把一次稀缺的真实提问改造成多次廉价的模拟提问，模型提供的不是答案，而是提问的反馈——这是模型很少被开发的一种用法：它不生产内容，它校准提问者与下一个人类对话的方式。排练的产出不是三个更好的问题，是提问者对"什么问题值得占用一个忙碌的人"的判断力本身。</w:t>
      </w:r>
    </w:p>
    <w:p>
      <w:pPr>
        <w:ind w:firstLine="480"/>
      </w:pPr>
      <w:r>
        <w:t>向制度提问是同一块肌肉的另一端。向教务处申诉、向公司争取实习机会、在组织里推动一项改变，本质都是把一个不满或期望转化为对方可处理的具体问题——条件是什么、依据是什么、期望的解决是什么。习惯于把模糊感受逼成清晰规格的人，在这类场景里的操作方式是现成的；反之，从未被迫想清楚的人，面对制度时只剩下情绪的原话。</w:t>
      </w:r>
    </w:p>
    <w:p>
      <w:pPr>
        <w:ind w:firstLine="480"/>
      </w:pPr>
      <w:r>
        <w:t>本章的中心判断至此需要重申并限定：指令写作是一种认知训练，但它训练的不是一种新能力，而是一种旧能力——把欲望翻译成规格、把自己翻译给世界的能力；变化在于这个能力第一次有了即时、诚实、无限次的反馈。也要限定：训练只对带着判断进场的人发生，把指令写作当成咒语背诵的人，得到的是另外一种训练——依赖性的训练。提问是学习的入口，学习是提问最先被检验的场合。下一章处理这个入口通向的领域：当模型可以充当学生、教练、出题人与陪练，学习的哪些环节值得交出，哪些必须寸步不让地留在自己手里。</w:t>
      </w:r>
    </w:p>
    <w:p>
      <w:pPr>
        <w:ind w:firstLine="0"/>
      </w:pPr>
      <w:r>
        <w:rPr>
          <w:i/>
          <w:color w:val="808080"/>
          <w:sz w:val="21"/>
        </w:rPr>
        <w:t>（初稿，当前约7,400字，目标20,000字。扩写方向：3.2节为五个层次各补一个真实对话示例并配逐层失效案例分析；3.3节为每要素扩充第二组正反对照；3.4节增加"发散式迭代"（探索而非收敛）的机制讨论；3.5节增加四类场景各一个模板解剖；3.6节补充"向制度提问"的完整对话示例。示例中涉及的课程与场景均需在成书前以真实使用者测试复核。）</w:t>
      </w:r>
    </w:p>
    <w:p>
      <w:r>
        <w:br w:type="page"/>
      </w:r>
    </w:p>
    <w:p>
      <w:pPr>
        <w:pStyle w:val="Heading1"/>
      </w:pPr>
      <w:r>
        <w:t>第四章　学习革命：把模型变成私人教研组</w:t>
      </w:r>
    </w:p>
    <w:p>
      <w:pPr>
        <w:ind w:firstLine="480"/>
      </w:pPr>
      <w:r>
        <w:t>关于AI与学习，最流行的叙事是"每个人多了一位随叫随到的万能家教"。这个说法把变化的层次说浅了。AI改变的首先不是学习的材料或渠道，而是学习的反馈结构。教育中最稀缺的资源从来不是信息——信息早已过剩——而是有质量的反馈：有人指出你哪里错了、为什么错、下一步该做什么。这类反馈过去按教师工时定价，供给被课时、师生比与社交成本严格限定；如今其价格骤降，这是真实发生的结构性变化。但反馈的供给并不等于习得的达成，从反馈到习得之间，隔着使用者如何组织反馈的问题。本章逐节讨论几种用法及其边界——费曼模式、苏格拉底模式、生成式笔记、考前闭环、语言与编程这两个高分化领域——并以本章最重要的风险论述收尾：讲解的流畅性与习得的困难性之间的错位。</w:t>
      </w:r>
    </w:p>
    <w:p>
      <w:pPr>
        <w:pStyle w:val="Heading2"/>
      </w:pPr>
      <w:r>
        <w:t>4.1 费曼学习法的AI实现：输出即检验</w:t>
      </w:r>
    </w:p>
    <w:p>
      <w:pPr>
        <w:ind w:firstLine="480"/>
      </w:pPr>
      <w:r>
        <w:t>费曼学习法的核心主张可以概括为"以教代学"：向一个假想的外行讲解你自以为掌握的东西，讲解的卡壳处就是理解的断点。这个方法的有效性不难解释——讲解强制提取与重组，而有研究提示，提取与重组恰是记忆巩固的核心机制，其效率远高于重读与重听 [待核实]。它的现实障碍同样清楚：一个愿意听你讲解、听得懂破绽、追问到底的外行，在日常环境里近乎不存在。于是检验环节被普遍跳过，"讲解"退化为对着空气的复述——复述是流畅的，检验并没有发生，这正是本章末节要处理的问题的早期形态。</w:t>
      </w:r>
    </w:p>
    <w:p>
      <w:pPr>
        <w:ind w:firstLine="480"/>
      </w:pPr>
      <w:r>
        <w:t>模型填补的是这个结构性空位：一个不知疲倦、随叫随到、且诚实暴露讲解断裂处的"学生"。但有一个非加不可的约束，看这个提示词的最后一句。</w:t>
      </w:r>
    </w:p>
    <w:p>
      <w:pPr>
        <w:ind w:left="480" w:firstLine="0"/>
      </w:pPr>
      <w:r>
        <w:t>我要向你讲解"标准差与方差"这个概念，你扮演一个聪明但完全没学过统计的高中生。规则：我只讲解，不提问。你唯一的任务是在我讲得含糊、跳步、使用未解释术语的地方提问，追问到我重讲清楚为止。不要替我补全任何内容，不要默认表示理解——除非我的话本身已经清楚，否则你的每一次回应都应该是问题。</w:t>
      </w:r>
    </w:p>
    <w:p>
      <w:pPr>
        <w:ind w:firstLine="480"/>
      </w:pPr>
      <w:r>
        <w:t>约束的成败系于"不要替我补全"。不加约束的模型学生是全世界最配合的学生：你讲得含糊，它替你把逻辑接上；你跳了步，它默默用自己知道的知识填平；讲完它还会称赞讲得清楚。这样的费曼练习检验的不是提问者的理解，而是模型的善意——它制造的是被确认过的理解幻觉。约束的作用是把模型从补全者改造成探测器：它不能填平你的断点，只能照亮断点。判断一个费曼式提示词好坏的依据只有一条——它是否禁止了模型的补全。</w:t>
      </w:r>
    </w:p>
    <w:p>
      <w:pPr>
        <w:ind w:firstLine="480"/>
      </w:pPr>
      <w:r>
        <w:t>输出即检验的含义也在此处。检验的对象不是文本而是认知：讲解者必须实时生产因果链、举出例子、回答追问，这三件事没有一件可以从外部搬运。模型介入后，这个结构没有变化，变化的是检验的次数——从每年若干次答辩与口试，变成随时可以发起。次数的增加是有意义的：提取的间隔越短，断点暴露得越早。</w:t>
      </w:r>
    </w:p>
    <w:p>
      <w:pPr>
        <w:ind w:firstLine="480"/>
      </w:pPr>
      <w:r>
        <w:t>费曼模式的AI实现还有一个常被忽略的副产物：讲解的听众感。对着空气复述时，讲解者会不自觉滑回背诵的语调——那是一种记忆的回放，不是理解的生产。有一个会回应的对象在场，哪怕它是模型，也会迫使讲解进入对话的语法：预测对方会在哪里困惑，并先于对方把那个地方讲清楚。这种预测对方困惑的能力，就是后来向真实人类讲解、写作与协作时反复用到的底层能力。模型作为听众的价值，不在于它听懂了多少，而在于它让"讲给人听"这件事变得随时可以练习。</w:t>
      </w:r>
    </w:p>
    <w:p>
      <w:pPr>
        <w:pStyle w:val="Heading2"/>
      </w:pPr>
      <w:r>
        <w:t>4.2 苏格拉底模式：约束模型只提问</w:t>
      </w:r>
    </w:p>
    <w:p>
      <w:pPr>
        <w:ind w:firstLine="480"/>
      </w:pPr>
      <w:r>
        <w:t>模型最强的能力是给答案，最值得开发的用法之一却是禁止它给答案。指令的形态：整个对话中只提问、不讲解、不直接纠正，直到提问者明确宣布结束。</w:t>
      </w:r>
    </w:p>
    <w:p>
      <w:pPr>
        <w:ind w:left="480" w:firstLine="0"/>
      </w:pPr>
      <w:r>
        <w:t>我们就"效用最大化能否解释捐赠行为"进行对话。你扮演苏格拉底式的对话者：只提问，不给观点，不告诉我答案的对错。每次只问一个问题。如果我的回答里出现你认为是矛盾的表述，不要指出矛盾本身，而是提出一个会让矛盾自己暴露的问题。当我说"结束"后，你再总结这段对话里我的立场发生了什么变化。</w:t>
      </w:r>
    </w:p>
    <w:p>
      <w:pPr>
        <w:ind w:firstLine="480"/>
      </w:pPr>
      <w:r>
        <w:t>反直觉之处在于：使用者购买的是模型的回答能力，却把对话设计成只被提问。机制上，这是一次位置反转——学习者从接收方变成应答方，每一次应答都是一次提取练习；模型的问题则像探针，逐一定位认知结构里的空洞。这与费曼模式构成一对镜像：费曼模式中学习者生产、模型检验；苏格拉底模式中模型提问、学习者生产。两者的共同点是极低的模型输出量——所有生成环节都留给学习者。这不是技术限制，是刻意的教学法配置。</w:t>
      </w:r>
    </w:p>
    <w:p>
      <w:pPr>
        <w:ind w:firstLine="480"/>
      </w:pPr>
      <w:r>
        <w:t>适用边界必须写清楚。苏格拉底模式只在"已有一定基础、需要巩固与深化"的领域有效：学习者要有足够的储备来应答，要有在往复中辨认自己被带到哪里的判断力。在全新领域使用它是灾难性的——零基础的学习者无法分辨自己的应答是在逼近答案还是在歧路上越走越远，苏格拉底式的追问此时不构成引导，只构成折磨，甚至构成错误方向的固化。模式选择的依据是知识的掌握状态而非个人偏好：新学的一章用费曼模式检验，学过两遍准备考试的章节才交给苏格拉底。</w:t>
      </w:r>
    </w:p>
    <w:p>
      <w:pPr>
        <w:ind w:left="480" w:firstLine="0"/>
      </w:pPr>
      <w:r>
        <w:t>我已经系统学过"供给与需求"这一章。现在请你只提问，我来回答，你评估我的回答是否有误但先不公布。共十题，由浅入深。结束后告诉我：我在哪两道题上的自信与对错最不匹配——即我认为自己会的其实错了，或我以为自己不会的其实答对了。</w:t>
      </w:r>
    </w:p>
    <w:p>
      <w:pPr>
        <w:ind w:firstLine="480"/>
      </w:pPr>
      <w:r>
        <w:t>这个变体多要了一样东西：自信与对错的匹配度。它测的是元认知而非知识本身——有研究提示，学习者对自身掌握程度的判断常常系统性偏离实际水平，而校准这种判断本身即有训练价值 [待核实]。</w:t>
      </w:r>
    </w:p>
    <w:p>
      <w:pPr>
        <w:pStyle w:val="Heading2"/>
      </w:pPr>
      <w:r>
        <w:t>4.3 生成式笔记：三种形态的知识保留差异</w:t>
      </w:r>
    </w:p>
    <w:p>
      <w:pPr>
        <w:ind w:firstLine="480"/>
      </w:pPr>
      <w:r>
        <w:t>笔记至少有三种形态。抄写笔记：复制呈现的内容，追求完整；摘录笔记：选择与压缩，标记重点；对话笔记：就内容与模型转述、被追问、修正之后，写下的东西。三者的差异不在详略，在加工深度。有研究提示，记忆的保持程度与编码时的加工深度正相关，而抄写这种转录式加工处于加工层次的底端——"手在动、脑离线"是几乎所有认真抄过笔记的人都体验过的状态 [待核实]。抄写的欺骗性正在其努力感：付出的时间与留下的东西几乎不成比例。</w:t>
      </w:r>
    </w:p>
    <w:p>
      <w:pPr>
        <w:ind w:firstLine="480"/>
      </w:pPr>
      <w:r>
        <w:t>对话笔记向笔记过程强行插入了两种最有效的加工。其一是转述：向模型讲清楚一个概念，必须先用自己的语言重新组装它——术语的堆砌在追问下当场穿帮。其二是暴露：模型的追问让"以为懂了"的地方现形，笔记因此记在真实的缺口上，而不是记在"老师讲到的地方"——前者是自己的地图，后者是别人的地图。</w:t>
      </w:r>
    </w:p>
    <w:p>
      <w:pPr>
        <w:ind w:left="480" w:firstLine="0"/>
      </w:pPr>
      <w:r>
        <w:t>我们刚上完一节关于"市场失灵"的课。请听我用三段话复述这节课的核心内容。复述后请指出：哪几处你判断我理解了、依据是什么；哪几处你判断我只是在复述术语、依据是什么。然后针对第二类地方，各设计一个让我必须用自己的话才能回答的问题。</w:t>
      </w:r>
    </w:p>
    <w:p>
      <w:pPr>
        <w:ind w:firstLine="480"/>
      </w:pPr>
      <w:r>
        <w:t>慢是对话笔记的代价，也是它的筛选器。对话笔记慢到不可能覆盖全部课程内容，因此天然逼迫选择：哪些概念值得对话，哪些抄写即可，哪些根本不必记。按知识的用途分配形态——核心概念对话、次要信息抄录、一次性信息不记——这是笔记从保管知识到加工知识的转向，也是笔记在平价化时代保住自己价格的方式。</w:t>
      </w:r>
    </w:p>
    <w:p>
      <w:pPr>
        <w:ind w:firstLine="480"/>
      </w:pPr>
      <w:r>
        <w:t>三种形态的差异还可以从交付物来看。抄写笔记交付一份与课本同构的副本，学期结束随课本一起失效；摘录笔记交付一份压缩过的索引，它保留了定位能力，但挑选不等于理解，压缩过程本身没有发生加工；对话笔记交付一份被纠错过的私人表述——它与原教材不同构，甚至常常不如原教材严谨，但它是按提问者自己的缺口定制的。有研究提示，生成自己的表述对记忆保留的贡献大于阅读等价的现成表述，这一现象通常被称为生成效应 [待核实]。三者时间成本依次升高，适用范围依次收窄：用对话笔记处理一切内容的人会破产于时间，用抄写笔记处理核心概念的人会破产于理解。形态与内容的匹配，是这个古老技艺在生成时代的新定价。</w:t>
      </w:r>
    </w:p>
    <w:p>
      <w:pPr>
        <w:pStyle w:val="Heading2"/>
      </w:pPr>
      <w:r>
        <w:t>4.4 考前闭环：出题、作答、批改、复盘</w:t>
      </w:r>
    </w:p>
    <w:p>
      <w:pPr>
        <w:ind w:firstLine="480"/>
      </w:pPr>
      <w:r>
        <w:t>复习的默认动作是"再看一遍"：重读、重听、重看笔记。有研究提示，重读带来的熟悉感与实际的提取能力相关性很低，真正驱动巩固的是提取事件本身 [待核实]。考前闭环的设计思想因此是把复习从"重看"改造为"多次提取加反馈"：出题、作答、批改、复盘四环首尾相接，每一环有一个明确的质量控制点——模型把各环节的成本降下来，质量控制点决定降价的红利落在习得上还是流水线上。</w:t>
      </w:r>
    </w:p>
    <w:p>
      <w:pPr>
        <w:ind w:firstLine="480"/>
      </w:pPr>
      <w:r>
        <w:t>出题环节的控制点是考点分布。模型出题有一种系统性偏差：题目集中在"容易出题的地方"——定义、列举、简单事实——而非"这门课考理解的地方"。对策是把考试的真实形态喂给它：</w:t>
      </w:r>
    </w:p>
    <w:p>
      <w:pPr>
        <w:ind w:left="480" w:firstLine="0"/>
      </w:pPr>
      <w:r>
        <w:t>我附上这门课的考纲、两份往年题和我的课堂笔记。请据此出二十道题：权重按考纲与往年题的分布设定，题型对齐往年题而非课本章节。出完后先给我看你的权重分配和理由，我确认后再开始考我。</w:t>
      </w:r>
    </w:p>
    <w:p>
      <w:pPr>
        <w:ind w:firstLine="480"/>
      </w:pPr>
      <w:r>
        <w:t>作答环节的控制点是闭合。每道题必须先完整作答，才允许看任何反馈。"看一眼觉得会"不算作答——这恰是流畅性错觉在复习场景的化身，见4.7。批改环节的控制点是错误分类，只判对错是浪费了一次批改：</w:t>
      </w:r>
    </w:p>
    <w:p>
      <w:pPr>
        <w:ind w:left="480" w:firstLine="0"/>
      </w:pPr>
      <w:r>
        <w:t>批改我的答案。每道错题标注错误类型：概念不清、推理错误、表述不严、单纯遗忘，不同类型用不同记号。不要给正确答案——只标注我的答案第几句错、错在哪一步。</w:t>
      </w:r>
    </w:p>
    <w:p>
      <w:pPr>
        <w:ind w:firstLine="480"/>
      </w:pPr>
      <w:r>
        <w:t>复盘环节的控制点是根因。"错题抄三遍"是重读的变体；有效的复盘是让模型追问——这道题的错暴露的是这个知识点的缺口，还是一类理解方式的问题？该问"我为什么会在'表述不严'上反复失分"，而不是"这道题的答案是什么"。</w:t>
      </w:r>
    </w:p>
    <w:p>
      <w:pPr>
        <w:ind w:firstLine="480"/>
      </w:pPr>
      <w:r>
        <w:t>这些控制点合起来，构成一个可直接使用的考前复习对话设计框架，按间隔与提取两条记忆原则组织 [待核实]。三轮循环：第一轮广覆盖提取——出题覆盖全部考纲，目的是暴露错误区域而非检验水平；间隔一至两天后进行第二轮——只考第一轮的错误区域及其关联知识点，出题时把上一轮的错题分布明确告诉模型，让它换角度出题，防止记住的是"这道题"而不是"这个知识"；考前最后一晚的第三轮只过两轮中反复出错的内容。三轮之外，框架还包括两个元规则：每轮结束让模型输出"你的错误分布图"（按知识点与错误类型），作为下一轮的出题依据；三轮之间的间隔必须真实存在——提取之后没有间隔的巩固，效果要打折扣 [待核实]。</w:t>
      </w:r>
    </w:p>
    <w:p>
      <w:pPr>
        <w:pStyle w:val="Heading2"/>
      </w:pPr>
      <w:r>
        <w:t>4.5 语言学习的能力边界：哪里有效，哪里系统性失效</w:t>
      </w:r>
    </w:p>
    <w:p>
      <w:pPr>
        <w:ind w:firstLine="480"/>
      </w:pPr>
      <w:r>
        <w:t>语言学习是AI辅助成效分化最明显的领域，因为它恰好横跨模型能力的两端。有效的部分集中在输出侧的反馈。写作批改：模型对中介语——学习者带母语痕迹的外语——的宽容度高于真人教师，批改密度可以任意高，且能按学习者的水平调整解释的深浅，这是真人教师因工时限制无法提供的密度。情景对话练习：不限次、不评判，且可以把场景定制到任何真实课堂无法覆盖的角落——向导师催一封迟迟不来的推荐信，在电话里与房东争论押金。</w:t>
      </w:r>
    </w:p>
    <w:p>
      <w:pPr>
        <w:ind w:firstLine="480"/>
      </w:pPr>
      <w:r>
        <w:t>写作批改一侧还存在一个未被普遍注意的分层。多数学习者止步于改错——语法、搭配、拼写——这一层模型做得又快又好，但边际价值也最低，因为这类错误自己迟早会发现。真正稀缺的是第二层：对篇章与论证的反馈。让模型扮演"你的目标读者"——一个对你的题目毫无兴趣、随时准备弃读的人——请它标注在哪里想弃读、为什么。这种反馈在真实的写作环境里几乎无法获得，没有人会诚实地告诉作者第三段开始无聊；模型因不占用任何人的时间而成为唯一可行的供给。</w:t>
      </w:r>
    </w:p>
    <w:p>
      <w:pPr>
        <w:ind w:left="480" w:firstLine="0"/>
      </w:pPr>
      <w:r>
        <w:t>我们用法语进行一次电话对话。我是租客，你是房东，我要讨回押金。你会像真实房东一样找三个借口拖延。请记下我的语法错误，对话结束后统一告诉我，中途不要纠正、不要放慢语速。结束后请按"母语者会不会这样理解"而非"语法是否正确"来评估我的表达。</w:t>
      </w:r>
    </w:p>
    <w:p>
      <w:pPr>
        <w:ind w:firstLine="480"/>
      </w:pPr>
      <w:r>
        <w:t>系统性失效的部分在三处。发音与韵律：文字交互天然没有语音反馈，语音功能的进步缩小了差距，但不改变其反馈精度低于合格真人的现状。语用学：模型对话过于干净——没有迟疑、打断、误解与挽回，而真实语言使用的核心技能恰恰是在这些破损中完成的；与模型的对话练的是台词，不是即兴。身份维度：对真人说外语有真实的社交风险，而语言学习中最巩固的部分恰恰沉淀在冒险与出丑里——模型消除了风险，也就消除了那部分回报。判断因此是清楚的：模型是练习密度的解决方案，不是使用场景的替代。它把"开口的次数"从每周两节外教课提升到每天可练，但开口的对象最终必须是人类——这是练习与习得的边界，不是技术的暂时缺陷。</w:t>
      </w:r>
    </w:p>
    <w:p>
      <w:pPr>
        <w:pStyle w:val="Heading2"/>
      </w:pPr>
      <w:r>
        <w:t>4.6 编程学习的"半途而废许可"</w:t>
      </w:r>
    </w:p>
    <w:p>
      <w:pPr>
        <w:ind w:firstLine="480"/>
      </w:pPr>
      <w:r>
        <w:t>编程教育长期容忍一个漏损：大多数自学者死在语法练习与第一个作品之间的无人区。那段路的特征是问题密度极高而解答供给为零——报错读不懂、环境配不起来、教程与版本对不上——每一件小事都足以终止学习。这个漏损是结构性的，从来不是意志问题。</w:t>
      </w:r>
    </w:p>
    <w:p>
      <w:pPr>
        <w:ind w:firstLine="480"/>
      </w:pPr>
      <w:r>
        <w:t>AI改变的是那段荒漠的补给条件：一个随叫随到、不嫌问题蠢的助教，把"卡三天然后放弃"变成"卡二十分钟然后继续"。这一改变顺带修正了编程学习的目标设定：当语法查询的成本趋近于零，语法记忆作为目标的意义大幅贬值，重心被迫迁往它本来就该在的位置——计算思维：把问题拆解为可执行步骤、识别可复用的模式、构造并评估解法。语言只是这些思维的宿主之一。</w:t>
      </w:r>
    </w:p>
    <w:p>
      <w:pPr>
        <w:ind w:firstLine="480"/>
      </w:pPr>
      <w:r>
        <w:t>"半途而废的许可"指的是：在作品导向的学习里，学到"够完成这个作品"为止、然后转向下一个作品，是理性的资源分配而非失败。传统路径以"学完一门语言"为目标，语言学不完，半途而废者永远占大多数；作品路径以"做成一个东西"为目标，Python学到能写完那个爬虫就可以换方向——爬虫上线的那一刻，这一段学习已经完整交付。许可的边界同样要说清：它发给"以作品为单位的学习者"，不发给以看教程为娱乐的人——两者的判据是是否有交付物。风险也是清晰的：随叫随到的助教可能演变为随叫随到的代工，学习者永远不必独立写出第一行代码，计算思维整体外包给补全系统。控制机制简单但必须执行：关键段落先写自己的版本，再看模型的。</w:t>
      </w:r>
    </w:p>
    <w:p>
      <w:pPr>
        <w:ind w:left="480" w:firstLine="0"/>
      </w:pPr>
      <w:r>
        <w:t>我在写一个脚本（附需求与我的半成品）。不要给我完整代码。请就我卡住的地方提三个问题，每个问题指向我代码里可能相关的具体一行，让我自己找到修法。我改完贴回来，你再判断方向是否对了。</w:t>
      </w:r>
    </w:p>
    <w:p>
      <w:pPr>
        <w:ind w:firstLine="480"/>
      </w:pPr>
      <w:r>
        <w:t>值得说明"亲手重写"这条机制的原理。看懂模型的修法与独立写出修法之间，隔着一次完整的生成：定位错误、形成假设、验证假设。补全系统的问题在于它取消了这三步的必要性，而这三步正是编程能力的全部内容。重写因此不是道德要求，是保留生成的唯一手段：可以查语法、可以问思路、可以对照模型的版本找差异，但从错误到修正之间那段因果，必须自己走一遍。这段路在阅读代码时是隐性的，在自己写代码时是显性的——作品导向路径的价值也在这里：作品强迫显性的完成。</w:t>
      </w:r>
    </w:p>
    <w:p>
      <w:pPr>
        <w:pStyle w:val="Heading2"/>
      </w:pPr>
      <w:r>
        <w:t>4.7 流畅性错觉：教学流畅性与学习习得的错位</w:t>
      </w:r>
    </w:p>
    <w:p>
      <w:pPr>
        <w:ind w:firstLine="480"/>
      </w:pPr>
      <w:r>
        <w:t>本章最后处理的风险，是前面六节所有用法共同站立的地基上的裂缝。</w:t>
      </w:r>
    </w:p>
    <w:p>
      <w:pPr>
        <w:ind w:firstLine="480"/>
      </w:pPr>
      <w:r>
        <w:t>教育学里有一个被长期讨论的错位：让学生感觉"讲得最清楚"的课，不一定是学习效果最好的课。有研究提示，习得发生在有适度困难的加工处——提取时的费力、生成时的卡壳、间隔后的遗忘再捡回——这些体验的不适感与它们对巩固的贡献成正比；而接收的顺畅感对巩固的贡献接近于零，尽管它几乎完全决定了学习者对教学质量的即时评价 [待核实]。教学流畅性与学习困难性，是方向相反的两件事。</w:t>
      </w:r>
    </w:p>
    <w:p>
      <w:pPr>
        <w:ind w:firstLine="480"/>
      </w:pPr>
      <w:r>
        <w:t>生成式模型把教学流畅性推到了历史极值。无限耐心：同一个概念讲五遍，第五遍的语气与第一遍完全相同。按需措辞：它能探测你卡在哪一层，然后从你已有的词汇里搭桥。永不流露不耐烦：真人教师即使克制，其注意力仍是稀缺品，学习者对"占用它"有成本感；模型没有这种稀缺性，于是不必预读、不必准备好问题、不必竞争。问题在于，模型把"感觉懂了"的制造成本也降到了极值。理解的感觉很大程度上来自处理流畅性——一句话读起来通顺，就被标记为已知；而这个标记与能否独立提取、能否在新情境中应用，是两回事。模型的每一项流畅性优势——讲得顺、答得快、从不烦——都在无差别地加强那个错误的标记。更隐蔽的一环是确认：追问"我这样理解对吗"时，模型倾向于给出肯定与鼓励式的修正，它太配合了——4.1里那个"不要默认表示理解"的约束，正是为此而生。于是一个没有学会的学习者，可以获得一整套被反复确认过的理解感。</w:t>
      </w:r>
    </w:p>
    <w:p>
      <w:pPr>
        <w:ind w:firstLine="480"/>
      </w:pPr>
      <w:r>
        <w:t>对策不是弃用模型——那等于放弃反馈结构的整体改善——而是把模型用在产生困难的位置上，而不是消除困难的位置上。方向在本章已经全部出现过：让它考你而不是讲给你（4.4的作答闭环）；让它听你讲而不是讲给你（4.1）；让它提问而不是回答（4.2）；让它听你复述而不是给你总结（4.3）。所有有效用法共享同一个结构：模型的输出压到最低，学习者的生成提到最高。一个可以直接使用的自检提示词，把错觉的测量交给对话本身：</w:t>
      </w:r>
    </w:p>
    <w:p>
      <w:pPr>
        <w:ind w:left="480" w:firstLine="0"/>
      </w:pPr>
      <w:r>
        <w:t>接下来一小时，你就"假设检验"这个概念考我。规则：每次我回答后，先让我自己报一个置信度（零到一百），再判对错。结束后告诉我，我的置信度与对错的匹配情况，并指出我在哪一类问题上"确定地错了"。</w:t>
      </w:r>
    </w:p>
    <w:p>
      <w:pPr>
        <w:ind w:firstLine="480"/>
      </w:pPr>
      <w:r>
        <w:t>"确定地错了"的位置就是流畅性错觉的落点——那不是知识缺口，是校准缺口。私人教研组的完整含义在此收拢：教研组的"教"与"研"都无法外包，模型提供的从来不是学习本身，而是无限次的机会——提取的机会、暴露的机会、被追问的机会、校准的机会。用这些机会来生成还是来接收，是本章全部用法与全部风险共同分岔的那一点。</w:t>
      </w:r>
    </w:p>
    <w:p>
      <w:pPr>
        <w:ind w:firstLine="480"/>
      </w:pPr>
      <w:r>
        <w:t>本章的判断至此可以收拢：AI改变了反馈的供给结构，而习得的完成结构没有任何改变——提取、生成、适度困难，这些环节一寸也没有变便宜。这个不对称在下一章会以更大的尺度重现：学习尚有通用方法可循，专业深耕则要面对各学科知识结构的差异——知识确定性不同的领域里，同一个提示词的可靠性与风险截然不同，那里才是"打法"真正的分界。</w:t>
      </w:r>
    </w:p>
    <w:p>
      <w:pPr>
        <w:ind w:firstLine="0"/>
      </w:pPr>
      <w:r>
        <w:rPr>
          <w:i/>
          <w:color w:val="808080"/>
          <w:sz w:val="21"/>
        </w:rPr>
        <w:t>（初稿，当前约7,000字，目标22,000字。扩写方向：4.1节补充费曼模式在文科概念上的第二个示例；4.2节增加苏格拉底模式完整对话实录；4.4节为三轮复习框架各配完整提示词；4.5节增加口语陪练的语音场景分析；4.6节补一个"从需求到作品"的完整编程学习案例；4.7节扩充认知心理学关于加工流畅性与元认知监测的文献梳理[待核实]，并增加"模型确认偏差"的对话实验设计。所有记忆科学结论保留[待核实]标记，成书前逐条核对原始文献。）</w:t>
      </w:r>
    </w:p>
    <w:p>
      <w:r>
        <w:br w:type="page"/>
      </w:r>
    </w:p>
    <w:p>
      <w:pPr>
        <w:pStyle w:val="Heading1"/>
      </w:pPr>
      <w:r>
        <w:t>第五章　专业深耕：学科的知识结构决定用法</w:t>
      </w:r>
    </w:p>
    <w:p>
      <w:pPr>
        <w:ind w:firstLine="480"/>
      </w:pPr>
      <w:r>
        <w:t>通用型工具不产生通用型用法。同一个模型，在传播学课堂、有机化学实验室、设计工作室与临床见习病房里的可靠位置完全不同，差异的原因不在工具，而在学科：知识以何种方式被确认为真，验证一个断言需要付出什么代价，一个成熟的专业者身上有多少能力从未被写成文字。这三项变量——知识确定性、验证成本、隐性知识占比——可以大致刻画任何一个学科的知识结构，也共同决定了AI在该学科的哪些环节可靠、哪些环节系统性失效、误用的代价最终落在谁身上。本章的中心判断是：学科差异不是AI应用的背景噪音，而是决定用法的第一变量；每个专业的正确用法只能从本学科的知识结构中推导出来，不能从跨学科通用的技巧清单中移植进来。以下六节依次分析六类知识门类，每节以知识结构切入、以一个典型失效场景收束，最后一节把全部分析压缩为一个二维矩阵。</w:t>
      </w:r>
    </w:p>
    <w:p>
      <w:pPr>
        <w:pStyle w:val="Heading2"/>
      </w:pPr>
      <w:r>
        <w:t>5.1 人文社科：低确定性知识中的验证成本</w:t>
      </w:r>
    </w:p>
    <w:p>
      <w:pPr>
        <w:ind w:firstLine="480"/>
      </w:pPr>
      <w:r>
        <w:t>人文社科的知识结构以低确定性、高验证成本、高隐性知识占比为特征，这决定了模型在其领域中呈现"过程可靠、产出不可靠"的基本格局。低确定性的意思是，同一文本允许并存的多种合理解读，学派之间的争议是常态而非学科不成熟的症状。模型在训练中不可避免地向语料中的主流解释收敛，它的"观点"是解释分布的加权平均，而人文学科的知识贡献恰恰发生在分布的尾部——提出一个此前不存在的读法。这个结构性错位决定了模型在观点层面没有生产力；但它并不因此无用，它的正确位置在过程之中。</w:t>
      </w:r>
    </w:p>
    <w:p>
      <w:pPr>
        <w:ind w:firstLine="480"/>
      </w:pPr>
      <w:r>
        <w:t>文献综述是最典型的过程性用途。模型擅长快速铺开一个议题的立场版图——谁持什么观点、分歧在哪个概念上交锋、哪些问题已有基本共识——这是归纳与梳理，属于模型的高可靠区。但参考文献本身是人文学科的高危区：模型会以完全规范的格式引用一篇不存在的论文，而验证它的唯一方式是回到数据库逐条核对。这里出现了本章将反复出现的一个结构：验证成本的不对称。核对二十条引文的出处需要数小时，引用它们只需数秒；模型输出的可信度不取决于它是否正确，而取决于使用者是否支付了验证成本。</w:t>
      </w:r>
    </w:p>
    <w:p>
      <w:pPr>
        <w:ind w:firstLine="480"/>
      </w:pPr>
      <w:r>
        <w:t>"陪练辩友"是比"代笔者"更符合学科结构的用法。让模型扮演一个立场坚定的反对者，攻击论文最薄弱的论证环节，其价值不在于攻击得有多准——模型的攻击通常是教科书式的——而在于它把"预想反驳"这件本应在写作前完成、却常被拖延到答辩现场的事，提前到了可以反复排练的阶段。这里存在一个能力对称性问题：对模型生成的论证，作者恰恰缺乏判断其优劣的能力，因为若能判断就不需要生成；而对模型生成的反驳，作者有能力逐条评估。人文学科使用AI的可靠方向，是把模型用在"我能验收它的输出"的环节上。</w:t>
      </w:r>
    </w:p>
    <w:p>
      <w:pPr>
        <w:ind w:firstLine="480"/>
      </w:pPr>
      <w:r>
        <w:t>隐性知识占比高这一特征，在人文学科常被低估。学科真正的门槛不在文献量而在细读的品味：判断一段解读是否过度、一个概念的使用是否被历史语境正当化、一个论证的力量来自证据还是修辞——这些判断力在导师的批注、答辩的追问与研讨课的争论中缓慢形成，没有教材形态。模型可以无限供给文本，但不能供给细读：它读过的文本多于任何个体，而它对文本的处理方式决定了它交付的是概括而非读解。这划定了人文学科与模型协作的正确界面：模型处理可复述的部分，人处理不可复述的部分，两者的交界处正是学科训练要安装的能力。</w:t>
      </w:r>
    </w:p>
    <w:p>
      <w:pPr>
        <w:ind w:firstLine="480"/>
      </w:pPr>
      <w:r>
        <w:t>该专业学生最典型的失效场景由此可以推导：课程论文的文献综述部分直接采用模型的输出。其机制不是简单的懒惰，而是三重结构的叠加——验证成本的不对称使核对环节被系统性省略；人文课堂的评价环境对引文来源的核查强度普遍低于期刊[待核实]；模型的综述行文流畅，恰好满足了以流畅性为默认验收标准的写作训练。失效的后果在提交时不可见，在答辩或后续研究引用同一批文献时才兑现，而那时，学生对"自己读过什么"的记忆已经被综述的流畅性覆盖。</w:t>
      </w:r>
    </w:p>
    <w:p>
      <w:pPr>
        <w:pStyle w:val="Heading2"/>
      </w:pPr>
      <w:r>
        <w:t>5.2 理工科：验证成本低处的纪律悖论</w:t>
      </w:r>
    </w:p>
    <w:p>
      <w:pPr>
        <w:ind w:firstLine="480"/>
      </w:pPr>
      <w:r>
        <w:t>理工科的知识结构处在三段分析的另一端：高确定性、低验证成本、高显性知识占比。数学命题可以被复算，代码可以被运行，物理结论可以对照教材与手册——一个断言的对错多数情况下能在数分钟内以极低成本判定。这使理工科成为AI介入收益最高的领域：模型的错误暴露在低成本的验证手段之下，工具的不可靠性被学科自身的验证文化对冲。模型作为"助教"的定位由此成立——二十四小时在场、不厌其烦、允许任何低级问题，一个知识广博但会出错的助教，恰好是理工科学习中最稀缺也最便宜的资源。</w:t>
      </w:r>
    </w:p>
    <w:p>
      <w:pPr>
        <w:ind w:firstLine="480"/>
      </w:pPr>
      <w:r>
        <w:t>但"助教"的可靠性呈梯度分布，梯度的方向与知识确定性一致。越是确定性强的环节越可靠：公式推导可以被逐步复算，错误无处藏身；代码的解释与改写可以被测试立即裁决；概念辨析可以对照标准教材。越靠近学科的手感地带越不可靠：实验系统的隐性约束——这台仪器的漂移特性、这个反应体系的污染敏感度、这类数据里什么样的异常值意味着操作失误而不是发现——这些从未进入文献正文的知识，模型既不拥有，也无法从提问中获取。实验设计因此是一个分界案例：模型可以可靠地提供方法学检查，如变量控制、样本量估计与统计功效；但对"这个实验在我的系统里能不能做出来"没有发言权。</w:t>
      </w:r>
    </w:p>
    <w:p>
      <w:pPr>
        <w:ind w:firstLine="480"/>
      </w:pPr>
      <w:r>
        <w:t>该专业学生最典型的失效场景出现在调试环节，其机制值得完整展开。代码报错，学生把报错信息交给模型，得到一段解释和一处修改建议；解释听起来完全合理，修改似乎直击要害。失效发生在学生接受了解释、但没有运行验证的那一刻。理工科本应是验证成本最低的领域——运行一次测试只需数秒——但模型的解释提供了一种认知闭合，"合理的解释"在心理上替代了"通过的测试"。这个场景的悖论在于：验证的省略本应发生在验证昂贵的地方，实际却发生在验证最便宜的地方，因为验证的动作本身枯燥，而认知闭合的诱惑即时。后果是双重的：bug可能并没有真正修复；更严重的是，一段错误的因果解释被安装进了学生的头脑，成为下一次调试的先验。</w:t>
      </w:r>
    </w:p>
    <w:p>
      <w:pPr>
        <w:pStyle w:val="Heading2"/>
      </w:pPr>
      <w:r>
        <w:t>5.3 商科：框架可靠与事实不可靠的裂缝</w:t>
      </w:r>
    </w:p>
    <w:p>
      <w:pPr>
        <w:ind w:firstLine="480"/>
      </w:pPr>
      <w:r>
        <w:t>商科知识的结构可以概括为"框架确定、事实流动"。分析框架——竞争分析、战略匹配、财务比率体系——是显性的、稳定的、训练语料充分的，模型对这些框架的运用达到熟练乃至娴熟；而框架所依附的事实——市场规模、公司动向、政策细节——高度流动、时效性强，且大量分布在模型训练截止时间之后的区间里。一种危险的分工由此形成：模型在商科任务中，框架搬运高度可靠，事实陈述高度不可靠，而两者在输出表面的相似性掩盖了这条裂缝。一段关于行业竞争格局的分析，框架部分可能无可挑剔，引用的市场数据可能从未存在，而读起来毫无区别。</w:t>
      </w:r>
    </w:p>
    <w:p>
      <w:pPr>
        <w:ind w:firstLine="480"/>
      </w:pPr>
      <w:r>
        <w:t>"幻觉数据"在商科语境下有特殊的危害机制。模型会给出精确到小数点的市场规模、具体到年份的增速，这种精确性是生成机制对统计语言风格的模仿，不是数据存在的证据；而商科写作恰恰以精确数字作为专业性的修辞，学生缺乏识别这种伪精确的动机，因为精确的数字正是他们想要的东西。有从业者观察，商科课程报告的引用来源正在经历一次静默的稀释——教师核实的成本高于忽略的成本，这个均衡在短期内对师生双方都"有利"[待核实]。</w:t>
      </w:r>
    </w:p>
    <w:p>
      <w:pPr>
        <w:ind w:firstLine="480"/>
      </w:pPr>
      <w:r>
        <w:t>模型作为"初级分析师"的定位因此需要重新表述。初级分析师的传统工作——套用框架、整理行业材料、起草分析备忘——恰是模型最擅长的部分；这不意味着入门岗位消失，而是入门岗位考核的默认能力发生了迁移：从"能否正确套用框架"转向"能否判断框架的适用性、能否核实每一个数字"。对在校学生的含义是，商科训练中那些重复的框架练习的边际价值在下降，而每份作业里"这个数字从哪来"的追问，正在成为区分度的来源。</w:t>
      </w:r>
    </w:p>
    <w:p>
      <w:pPr>
        <w:ind w:firstLine="480"/>
      </w:pPr>
      <w:r>
        <w:t>该专业学生最典型的失效场景是课程案例报告的"数据坍塌"。报告结构完整、框架正确、行文专业，而评审的第一次追问——任何一个市场规模数字的来源——就能让整份分析的可信度归零。其机制在于：商科评价环境长期以呈现质量为主要考核面，学生被训练成以流畅性和完整性为验收标准的使用者；模型的输出恰好在这两个维度上无限供给，唯独不供给可核实性。坍塌不是发生在使用AI的时刻，而是发生在某个评委第一次行使核实权的时刻——教授、面试官或客户；而那一刻，学生已经无法回头补装数据的地基。</w:t>
      </w:r>
    </w:p>
    <w:p>
      <w:pPr>
        <w:pStyle w:val="Heading2"/>
      </w:pPr>
      <w:r>
        <w:t>5.4 艺术设计：隐性知识占比最高的领域</w:t>
      </w:r>
    </w:p>
    <w:p>
      <w:pPr>
        <w:ind w:firstLine="480"/>
      </w:pPr>
      <w:r>
        <w:t>艺术设计的知识结构把隐性知识占比推向极端：审美判断、风格意识、意图的连贯性，几乎全部无法言传。一个设计师说不清为什么这个配色方案成立而那个不成立，但能在一秒之内做出区分——这种判断力是长期看、长期做、长期比较的沉淀，不存在教科书形态。这个结构决定了AI在艺术设计领域的根本位置：它可以提供过程价值——选项、变体、起点——但无法提供产出价值，因为"什么是好的"的裁判在系统之外，在使用者的眼睛里，而眼睛正是模型所没有的器官。</w:t>
      </w:r>
    </w:p>
    <w:p>
      <w:pPr>
        <w:ind w:firstLine="480"/>
      </w:pPr>
      <w:r>
        <w:t>灵感生成的机制由此可以澄清。模型生成图像，是对训练语料中风格分布的插值：它能供给数量，不供给方向。"AI味"不是玄学描述，而有可分析的来源——分布收敛，语料中的高频特征被反复强化，输出向安全的均值靠拢；意图缺席，每张图在局部上都成立，但没有任何一张在陈述一件具体的事；风格判断的外置，生成系统优化的是"被多数人喜欢的概率"，而艺术价值常驻于多数人尚未喜欢的区域。为什么生成越廉价，不可复制的风格越值钱，答案在价格结构里：当"能生成一张合格的图"的价格归零，剩下的唯一稀缺品是选择的一致性与可识别性，也就是风格；而风格不是一种技能，是一段长期选择的历史，模型恰恰无法供给历史。关于"AI味"的祛魅与生成内容同质化的更系统论述，见第十章第一节的展开。</w:t>
      </w:r>
    </w:p>
    <w:p>
      <w:pPr>
        <w:ind w:firstLine="480"/>
      </w:pPr>
      <w:r>
        <w:t>该专业学生最典型的失效场景是作品集的同质化。学生用模型批量生成作品，单看每件都技术合格，但评审在一天之内看到数十份气质高度相似的作品，而其中任何一份都不构成对作者的证据——作品无法证明提示词之外的任何能力。机制在于：模型降低了执行成本，但没有降低判断成本；一个尚未建立内在风格标准的使用者，从模型供给的均值分布中筛选，其筛选依据只能是"大家都说好"，而"大家都说好"在生成时代的定义就是均值本身。执行被外包的学生，同时也就失去了通过执行积累判断力的路径——这是该学科最深的失效，因为判断力恰恰是这个学科的全部。</w:t>
      </w:r>
    </w:p>
    <w:p>
      <w:pPr>
        <w:pStyle w:val="Heading2"/>
      </w:pPr>
      <w:r>
        <w:t>5.5 医学与生命科学：由责任结构划定的边界</w:t>
      </w:r>
    </w:p>
    <w:p>
      <w:pPr>
        <w:ind w:firstLine="480"/>
      </w:pPr>
      <w:r>
        <w:t>医学与生命科学的知识结构是高确定性与极高错误代价的组合。知识本身有强共识——机制、诊疗规范、药理证据都以大规模研究为支撑——且持续更新；但这个学科验证的最终裁判不是文献而是后果，错误在实验室里是数据，在病床边是伤害。这使得AI在其领域的可用边界，与其说由模型能力划定，不如说由责任结构划定：模型可以无限接近正确的知识，但不能承担错误的后果，而医学的每一个判断行为都以承担后果为前提。</w:t>
      </w:r>
    </w:p>
    <w:p>
      <w:pPr>
        <w:ind w:firstLine="480"/>
      </w:pPr>
      <w:r>
        <w:t>机遇一侧是实在的。医学是知识最密集的专业之一，学习负担的相当部分是整合性的——把解剖、生理、病理、药理、临床指引在同一个病例上交叉对应。这种整合恰恰是模型的强项：作为机制的解释器，把教材的线性叙述重组为围绕问题的网络；作为注释器，对一份病历的每个异常指标给出机制层面的可能解释；作为出题者，生成针对个人薄弱环节的自我测试。医学生课业负担的特殊性——记忆体量巨大而整合训练不足——使这类用途的收益高于多数学科。</w:t>
      </w:r>
    </w:p>
    <w:p>
      <w:pPr>
        <w:ind w:firstLine="480"/>
      </w:pPr>
      <w:r>
        <w:t>红线一侧同样来自责任结构。诊断建议的红线：模型没有责任主体，它输出的诊断意见无法被问责，而临床判断的每一次行使都以判断者承担后果为成立前提；学生尤其无权让模型输出进入任何涉及患者的判断环节，因为学生本人尚未获得制度的判断授权，也就不存在向模型转授权的可能。患者隐私的红线：真实病例信息进入与模型的对话，即离开本地的控制范围，其数据去向不受医疗保密制度的约束。披露的红线：在医疗机构中使用AI生成的内容而不注明，等于以个人与机构的资质为机器输出背书——这不是礼仪问题，是把不可问责的系统接入可问责的链条。</w:t>
      </w:r>
    </w:p>
    <w:p>
      <w:pPr>
        <w:ind w:firstLine="480"/>
      </w:pPr>
      <w:r>
        <w:t>该专业学生最典型的失效场景发生在临床见习：学生用模型生成对患者问题的回答——为什么要做这项检查、这个药的作用是什么——答案在知识层面多数正确，表达流畅而自信。失效的机制在于医疗沟通的性质：患者把学生的话当作医疗机构的话来信任，回答中的确定性与不确定性表达都被这种信任放大；模型输出进入了责任链条，却不在责任链条之内，而学生以流畅转述的方式，把自己变成了链条中承压最大、授权最小的一环。</w:t>
      </w:r>
    </w:p>
    <w:p>
      <w:pPr>
        <w:pStyle w:val="Heading2"/>
      </w:pPr>
      <w:r>
        <w:t>5.6 跨学科：入口租金下降后的翻译能力</w:t>
      </w:r>
    </w:p>
    <w:p>
      <w:pPr>
        <w:ind w:firstLine="480"/>
      </w:pPr>
      <w:r>
        <w:t>跨学科的结构性优势在AI时代兑现，其机制不是通才突然变聪明，而是每个学科的"入口租金"被压低了。过去进入一个学科的成本以年计：数年的基础训练才能读懂其文献、使用其工具。模型把这项成本压缩到对话尺度——理解另一学科的基本概念、跟进其文献大意、调用其标准分析方法，都可以按需获得。通才的旧困境是广度与深度此消彼长，因为一个人的时间总量不变；新条件是广度的价格骤降，一个有深度锚点的人，可以用模型把锚点周围的知识面低成本地铺开。</w:t>
      </w:r>
    </w:p>
    <w:p>
      <w:pPr>
        <w:ind w:firstLine="480"/>
      </w:pPr>
      <w:r>
        <w:t>但"调度"不等于"拥有"，区分这两者的正是隐性知识。模型降低了词汇门槛——术语、框架、方法论名词都可以即取即用；没有降低问题门槛——判断一个学科的真实问题在哪里、哪种用法是惯例哪种是误用，这需要对至少一个学科有深入内部的了解。跨学科的真实能力因此可以精确定义为两种：识别同构，即发现两个学科在不同语言里处理着同一个结构问题；以及翻译，即把一个学科的直觉转写为另一个学科可检验的命题。这两种能力都以深度为前提——没有锚点的跨学科，只是术语的拼接。</w:t>
      </w:r>
    </w:p>
    <w:p>
      <w:pPr>
        <w:ind w:firstLine="480"/>
      </w:pPr>
      <w:r>
        <w:t>一个人如何调度多学科的模型能力，其可行结构大致是：以一个学科为主锚，在该学科内建立足以判断模型输出质量的基准；相邻学科按需调用模型获得"能用的水平"，同时清楚自己持有的只是词汇而非判断；在两个学科交汇的问题上，由人负责提出问题与检验翻译，模型负责供给两侧的材料。这个结构的要害在于锚点：模型的输出质量无法自我判断，跨学科的每一侧都需要至少一个"我能验收"的位置，否则使用者只是在两个自己都不懂的领域之间搬运文字。</w:t>
      </w:r>
    </w:p>
    <w:p>
      <w:pPr>
        <w:ind w:firstLine="480"/>
      </w:pPr>
      <w:r>
        <w:t>该专业学生最典型的失效场景是跨学科论文的"词汇过境"：经济学与社会学的术语在同一篇论文中交替出现，每个术语的用法都正确，评审逐段放行，但全文没有任何一个命题是两个学科真正协作的产物——两个学科在词汇层面相遇了，在问题层面从未相遇。其机制在于模型的逐句质量掩盖了结构性浅薄：每一句话都可以由模型正确生成，而"这句话是否推进了论证"的判断需要跨学科的问题意识，这恰是拼接式写作所没有的。失效在答辩的追问下兑现：被问到"你的贡献对哪个学科成立"时，论文给不出任何一侧的回答。</w:t>
      </w:r>
    </w:p>
    <w:p>
      <w:pPr>
        <w:pStyle w:val="Heading2"/>
      </w:pPr>
      <w:r>
        <w:t>5.7 二维矩阵：知识确定性与介入深度的组合</w:t>
      </w:r>
    </w:p>
    <w:p>
      <w:pPr>
        <w:ind w:firstLine="480"/>
      </w:pPr>
      <w:r>
        <w:t>前面六节的分析可以压缩为一对坐标。横轴是知识确定性，即一个学科或任务的知识能否以低成本客观验证——数学推导与代码在一端，审美判断与价值选择在另一端；纵轴是AI介入深度，从查询、参考、初稿到深度代工的连续谱。四个象限对应四种策略与四种风险，这是本章的核心交付物。</w:t>
      </w:r>
    </w:p>
    <w:p>
      <w:pPr>
        <w:ind w:firstLine="480"/>
      </w:pPr>
      <w:r>
        <w:t>第一象限，高确定性乘以深介入。代码、数学推导、统计计算、语言练习的机械环节落在这一区。策略是放心深用，同时把验证自动化——测试套件、复算、对照标准答案，验证不依赖自觉而依赖流程。风险是验证纪律的松弛，如5.2所析：正因为验证便宜，"这一次先不验了"的心理成本最低，便利侵蚀的恰是最不该省略的环节。</w:t>
      </w:r>
    </w:p>
    <w:p>
      <w:pPr>
        <w:ind w:firstLine="480"/>
      </w:pPr>
      <w:r>
        <w:t>第二象限，低确定性乘以深介入。人文观点的成品生成、艺术成稿、战略方案落在这一区。策略是把介入止于过程——陪练、草稿、选项供给——产出环节收回人工，因为模型在低确定性领域的输出是分布均值，而该领域的价值在尾部。风险是产出的均值化且难以察觉：输出的流畅性恰好掩盖了原创性的流失，使用者以"读起来很好"验收了本应以"是不是我的判断"来验收的东西。</w:t>
      </w:r>
    </w:p>
    <w:p>
      <w:pPr>
        <w:ind w:firstLine="480"/>
      </w:pPr>
      <w:r>
        <w:t>第三象限，低确定性乘以浅介入。价值判断、伦理选择、研究方向的选择落在这一区。策略是把模型当镜子而不当法官——它可以帮助暴露盲区、供给反例、陈述各方立场，但不能替人做判断，因为这些选择的价值恰在分布的尾部，而模型天然代表分布的多数。风险是把统计倾向误认为判断依据：模型能陈述多数人的看法，这不构成"应当如此"的任何理由。</w:t>
      </w:r>
    </w:p>
    <w:p>
      <w:pPr>
        <w:ind w:firstLine="480"/>
      </w:pPr>
      <w:r>
        <w:t>第四象限，高确定性乘以浅介入。临床决策、工程验收、法律适用落在这一区。知识本身确定，但错误代价与责任不可转移。策略是知识查询可以深——查药物相互作用、查规范条文——决策介入必须浅，最终判断留在人，且留下判断的痕迹。风险是助手变成默认系统：查询的便利逐渐滑向判断的让渡，而让渡以"我只是参考了一下"的自我描述完成，这正是第二章人机分工框架中"错误代价"维度所要防的情形。</w:t>
      </w:r>
    </w:p>
    <w:p>
      <w:pPr>
        <w:ind w:firstLine="480"/>
      </w:pPr>
      <w:r>
        <w:t>矩阵还提供了一个诊断程序：任何一个学科的任何一门课程，其考核任务都可以逐一落点。以一门理工科的课程设计为例——文献调研落在第一象限，结论可对照原文验证，可以深用；方案构思落在第二象限，存在多种合理解，介入应止于选项供给；实验操作与验收落在第四象限，结果由物理世界裁决，模型没有投票权。落点完成之后，策略不再需要记忆：每个任务的用法由它所在的象限唯一确定。矩阵的价值不在于给出新知识，而在于把前六节的分析压缩成一个可以随身携带的判断程序。</w:t>
      </w:r>
    </w:p>
    <w:p>
      <w:pPr>
        <w:ind w:firstLine="480"/>
      </w:pPr>
      <w:r>
        <w:t>矩阵的正确用法需要最后一层修正：坐标的单位是任务而非学科。医学的机制学习落在第一象限，临床沟通落在第四象限；人文学科的综述梳理在第一象限，观点写作在第二象限。学科决定任务分布的倾向，任务决定用法——"按学科给打法"的粗粒度结论，最终要落到每个学生对自己学科任务清单的象限识别上。</w:t>
      </w:r>
    </w:p>
    <w:p>
      <w:pPr>
        <w:ind w:firstLine="480"/>
      </w:pPr>
      <w:r>
        <w:t>本章的中心判断至此可以完整表述：专业深耕的含义在AI时代发生了迁移，深耕的对象从记住本学科的知识，转向内化本学科的验证方式——知道本学科如何确认一个断言为真，就等于知道模型在哪里可靠、在哪里必须设防。这个判断处理的是用AI学习的问题。下一章转向用AI产出：当学习的终点越来越以作品而非考试收束，创作过程中人与模型的支配权如何分配，产出与作者的关系又如何界定，就成为必须正面回答的问题。</w:t>
      </w:r>
    </w:p>
    <w:p>
      <w:pPr>
        <w:ind w:firstLine="0"/>
      </w:pPr>
      <w:r>
        <w:rPr>
          <w:i/>
          <w:color w:val="808080"/>
          <w:sz w:val="21"/>
        </w:rPr>
        <w:t>（初稿，当前约6,600字，目标22,000字。扩写方向：各学科小节补充二级学科的差异化分析（如人文内部哲学与社会学的验证方式差异）；5.7矩阵增加学科内多任务的落点示例表；每节失效场景补真实案例框架（人物与数据留待核实）；增加各学科教师访谈视角的引入。）</w:t>
      </w:r>
    </w:p>
    <w:p>
      <w:r>
        <w:br w:type="page"/>
      </w:r>
    </w:p>
    <w:p>
      <w:pPr>
        <w:pStyle w:val="Heading1"/>
      </w:pPr>
      <w:r>
        <w:t>第六章　创作与产出：从内容消费者到生产者</w:t>
      </w:r>
    </w:p>
    <w:p>
      <w:pPr>
        <w:ind w:firstLine="480"/>
      </w:pPr>
      <w:r>
        <w:t>生成成本趋近于零改变的不只是创作的准入门槛，更是产出的评价结构。当一段像样的文字、一张可用的图像可以在数秒之内被任何人生产，"能够产出"不再构成区分，"产出可以被归责"成为新的稀缺。本章的中心判断是：从内容消费者到生产者的迁移，本质上不是工具技能的升级，而是责任结构的迁移——消费者享用工具的产出而不为其负责，生产者对每一个交付物行使判断并承担判断的后果。这个判断贯穿本章六节：原创性的概念如何在新条件下重新划界，人机共创的每个环节由谁支配、为什么，长文与多模态生产管线的质量控制点设在哪里，个人知识库以何种结构支撑创作，以及作品集对绩点的替代关系背后，是怎样一个正在进行的制度调整。</w:t>
      </w:r>
    </w:p>
    <w:p>
      <w:pPr>
        <w:pStyle w:val="Heading2"/>
      </w:pPr>
      <w:r>
        <w:t>6.1 原创性的重新定义：从来源唯一到选择可归责</w:t>
      </w:r>
    </w:p>
    <w:p>
      <w:pPr>
        <w:ind w:firstLine="480"/>
      </w:pPr>
      <w:r>
        <w:t>著作权制度建立在"作者作为表达的唯一来源"这一前提之上。原创性的传统判定包含两个要件——独立创作与最低限度的创造性，两者都以表达出自人类头脑为默认状态。人机共创松动的不是某一个具体案例，而是这个默认本身：当最终文本的相当部分由模型生成，"谁写的"这个问题失去了原来的答案，而制度一时给不出新的答案。</w:t>
      </w:r>
    </w:p>
    <w:p>
      <w:pPr>
        <w:ind w:firstLine="480"/>
      </w:pPr>
      <w:r>
        <w:t>张力在制度实践中的表现是清楚的：多数法域对纯机器生成的内容拒绝保护，对人类有实质性贡献的部分予以保护，但"实质性贡献"的判定标准仍在形成之中[待核实]。"提示词作者论"是一种流行的自救——认为精心设计的提示词本身就构成创作行为。这个论证的薄弱处在机制：提示词是对结果的描述，不是对表达的控制，模型在提示与成品之间存在巨大的自由裁量空间；一个不能决定具体表达的人，很难被称为表达的作者。委托作画的类比不完全精确但说明了结构：写下详细委托书的人不是画作的作者。</w:t>
      </w:r>
    </w:p>
    <w:p>
      <w:pPr>
        <w:ind w:firstLine="480"/>
      </w:pPr>
      <w:r>
        <w:t>另一重张力来自风格。模型是在数以千万计的作品上训练出来的，它的输出不可避免地携带训练语料的风格指纹；当使用者让模型模仿某种笔调，成品的风格既非使用者自己的，也未经原风格主体的许可，这在伦理与法律上都是悬而未决的地带[待核实]。对创作者的实用含义是：风格恰恰是原创性最后的堡垒——来源可以共享，素材可以生成，但选择的一致性属于且只属于做出选择的人。风格问题的结构性分析，第十章第一节将专门处理，此处只指出它与原创性定义的关联：在选择的可归责性这个标准下，风格就是选择的签名。</w:t>
      </w:r>
    </w:p>
    <w:p>
      <w:pPr>
        <w:ind w:firstLine="480"/>
      </w:pPr>
      <w:r>
        <w:t>重新定义的方向因此不在来源而在责任：原创性从"来源的唯一性"转向"选择的可归责性"。一件作品中，人做了哪些判断——选了什么题、砍了什么论证、把哪个意象放在结尾、拒绝了模型的哪个建议——以及人能否为这些选择逐一举证，并接受对它们的评价。这个定义对学生的含义比法条更实际：与其在"这算不算我写的"上反复焦虑，不如在创作过程中留下选择的痕迹——被否决的方案、修改的理由、坚持的表达。作品的原创性最终不在于拒绝工具，而在于作品中存在工具给不了的东西：一个非如此不可的理由。</w:t>
      </w:r>
    </w:p>
    <w:p>
      <w:pPr>
        <w:pStyle w:val="Heading2"/>
      </w:pPr>
      <w:r>
        <w:t>6.2 人机共创的分工结构：支配权的分配理由</w:t>
      </w:r>
    </w:p>
    <w:p>
      <w:pPr>
        <w:ind w:firstLine="480"/>
      </w:pPr>
      <w:r>
        <w:t>人机共创的稳定分工不是伦理偏好，而是由每个环节的认知性质决定的。选题—初稿—修改—润色的四段结构中，支配权的归属各有理由，且理由的性质不同：有的环节承载判断，人必须支配；有的环节纯属执行，可以外包；有的环节需要验收，外包但人保留终审。</w:t>
      </w:r>
    </w:p>
    <w:p>
      <w:pPr>
        <w:ind w:firstLine="480"/>
      </w:pPr>
      <w:r>
        <w:t>选题，支配权绝对归属人。理由在于选题承载问题意识与价值判断——为什么写这个、为什么是现在、为什么是我——这是作品一切后续选择的源头，也是责任的源头。模型在选题环节的正确角色是供给候选与质疑可行性：列出相邻的选题、指出某个题目材料不足。但它没有决定权，不是因为能力不足，而是因为选题外包等于放弃作品的立场——一个由分布均值选出的话题，只可能得到分布均值的对待。</w:t>
      </w:r>
    </w:p>
    <w:p>
      <w:pPr>
        <w:ind w:firstLine="480"/>
      </w:pPr>
      <w:r>
        <w:t>初稿，支配权归模型，所有权与验收权归人。初稿的功能定位决定了这一点：初稿不是用来被采用的，是用来被批判的；它以完整形态暴露问题空间，让人从面对空白转为面对一个可攻击的对象。验收标准相应是结构性的——结构是否成立、材料是否覆盖——而非句子是否漂亮。这个环节最大的风险是把初稿误当成品：初稿的流畅性会提前触发"完成了"的感觉，这恰是需要设防的认知错觉。</w:t>
      </w:r>
    </w:p>
    <w:p>
      <w:pPr>
        <w:ind w:firstLine="480"/>
      </w:pPr>
      <w:r>
        <w:t>修改，全流程中价值密度最高的环节，支配权绝对归属人。理由是：修改即判断。删掉哪一段、保留哪个反例、把哪句话提到开头，每一次取舍都是观点的表达；一个没有论点要坚持的系统无法执行修改，它能做的只是润色——在不动结构的前提下替换措辞。由此可以得出一个可操作的判据：如果一段"修改"不涉及任何取舍，它就不是修改，是润色，本可以交给模型；凡是涉及取舍的，交出去的就是论点本身。</w:t>
      </w:r>
    </w:p>
    <w:p>
      <w:pPr>
        <w:ind w:firstLine="480"/>
      </w:pPr>
      <w:r>
        <w:t>润色，支配权归模型，验收权归人。语词层面的优化是低风险、高确定性的任务，模型在此接近最优执行者。但润色有特定的风险：模型倾向于把一切表达磨平——削掉过长的句子、替换生僻的词、统一节奏——而个人语感的特征恰恰存在于这些不平整之处。验收的标准因此是反向的：润色是否以流畅换走了特征。终审不可代理：署名意味着对成品的全责，这一步没有代理。</w:t>
      </w:r>
    </w:p>
    <w:p>
      <w:pPr>
        <w:ind w:firstLine="480"/>
      </w:pPr>
      <w:r>
        <w:t>文字版分工流程图（本章核心交付物）：</w:t>
      </w:r>
    </w:p>
    <w:p>
      <w:pPr>
        <w:ind w:firstLine="480"/>
      </w:pPr>
      <w:r>
        <w:t>```</w:t>
      </w:r>
    </w:p>
    <w:p>
      <w:pPr>
        <w:ind w:firstLine="480"/>
      </w:pPr>
      <w:r>
        <w:t>【选题】支配：人 ｜ 模型角色：候选供给、可行性质疑（无决定权）</w:t>
      </w:r>
    </w:p>
    <w:p>
      <w:pPr>
        <w:ind w:firstLine="480"/>
      </w:pPr>
      <w:r>
        <w:t>质量控制点：能否用一句话说清"为什么是这个题、为什么是我"</w:t>
      </w:r>
    </w:p>
    <w:p>
      <w:pPr>
        <w:ind w:firstLine="480"/>
      </w:pPr>
      <w:r>
        <w:t>责任归属：选题确立之时，作品的立场即告成立</w:t>
      </w:r>
    </w:p>
    <w:p>
      <w:pPr>
        <w:ind w:firstLine="480"/>
      </w:pPr>
      <w:r>
        <w:t>↓</w:t>
      </w:r>
    </w:p>
    <w:p>
      <w:pPr>
        <w:ind w:firstLine="480"/>
      </w:pPr>
      <w:r>
        <w:t>【初稿】支配：模型 ｜ 验收：人（只验结构，不逐句读）</w:t>
      </w:r>
    </w:p>
    <w:p>
      <w:pPr>
        <w:ind w:firstLine="480"/>
      </w:pPr>
      <w:r>
        <w:t>质量控制点：结构完整度、材料覆盖度；拒绝以"句子可读"为验收标准</w:t>
      </w:r>
    </w:p>
    <w:p>
      <w:pPr>
        <w:ind w:firstLine="480"/>
      </w:pPr>
      <w:r>
        <w:t>风险：流畅性错觉——初稿被误当成品</w:t>
      </w:r>
    </w:p>
    <w:p>
      <w:pPr>
        <w:ind w:firstLine="480"/>
      </w:pPr>
      <w:r>
        <w:t>↓</w:t>
      </w:r>
    </w:p>
    <w:p>
      <w:pPr>
        <w:ind w:firstLine="480"/>
      </w:pPr>
      <w:r>
        <w:t>【修改】支配：人 ｜ 模型角色：按指令的定点改写（无取舍权）</w:t>
      </w:r>
    </w:p>
    <w:p>
      <w:pPr>
        <w:ind w:firstLine="480"/>
      </w:pPr>
      <w:r>
        <w:t>质量控制点：每处取舍能说出理由；全部事实性陈述逐条进入核验</w:t>
      </w:r>
    </w:p>
    <w:p>
      <w:pPr>
        <w:ind w:firstLine="480"/>
      </w:pPr>
      <w:r>
        <w:t>责任归属：修改完成的文本，此后一切归作者全责</w:t>
      </w:r>
    </w:p>
    <w:p>
      <w:pPr>
        <w:ind w:firstLine="480"/>
      </w:pPr>
      <w:r>
        <w:t>↓</w:t>
      </w:r>
    </w:p>
    <w:p>
      <w:pPr>
        <w:ind w:firstLine="480"/>
      </w:pPr>
      <w:r>
        <w:t>【润色】支配：模型 ｜ 验收：人</w:t>
      </w:r>
    </w:p>
    <w:p>
      <w:pPr>
        <w:ind w:firstLine="480"/>
      </w:pPr>
      <w:r>
        <w:t>质量控制点：润色前后语义等价；个人语感的特征未被磨平</w:t>
      </w:r>
    </w:p>
    <w:p>
      <w:pPr>
        <w:ind w:firstLine="480"/>
      </w:pPr>
      <w:r>
        <w:t>↓</w:t>
      </w:r>
    </w:p>
    <w:p>
      <w:pPr>
        <w:ind w:firstLine="480"/>
      </w:pPr>
      <w:r>
        <w:t>【署名】支配：人 ｜ 性质：责任的最终声明</w:t>
      </w:r>
    </w:p>
    <w:p>
      <w:pPr>
        <w:ind w:firstLine="480"/>
      </w:pPr>
      <w:r>
        <w:t>```</w:t>
      </w:r>
    </w:p>
    <w:p>
      <w:pPr>
        <w:ind w:firstLine="480"/>
      </w:pPr>
      <w:r>
        <w:t>这条流程的责任曲线值得单独指出：人的劳动投入在两端重、中间轻，而责任单调递增——从选题时对方向的负责，到署名时对全文的负责，中间任何环节的外包都不转移责任。理解了这条曲线，就理解了共创时代"作者"一词的实质：作者不是写了全部文字的人，是为全部文字负责的人。</w:t>
      </w:r>
    </w:p>
    <w:p>
      <w:pPr>
        <w:pStyle w:val="Heading2"/>
      </w:pPr>
      <w:r>
        <w:t>6.3 长文写作工作流：结构是瓶颈，不是字数</w:t>
      </w:r>
    </w:p>
    <w:p>
      <w:pPr>
        <w:ind w:firstLine="480"/>
      </w:pPr>
      <w:r>
        <w:t>万字长文的瓶颈从来不是字数，而是结构与一致性。写作的困难在于全局论证结构超出了工作记忆的容量：写到第六节时，第一节立下的承诺、第三节埋下的伏笔、尚未兑现的论证义务，都不在眼前。传统上写作者靠反复通读与修改来对抗这种遗忘，长文的时间成本主要花在这里。模型解决的是字数问题——分节生成在局部上无限供给；同时放大了结构问题——每一节都自洽而流畅，恰恰使整体漂移更难察觉：没有哪一节读起来是错的，但全文可能已经悄悄换了论点。</w:t>
      </w:r>
    </w:p>
    <w:p>
      <w:pPr>
        <w:ind w:firstLine="480"/>
      </w:pPr>
      <w:r>
        <w:t>工作流的结构与四段分工同构，只是把修改环节展开为有纪律的过程。结构锁定由人完成：大纲、各节论点、节与节的承接关系写成显性文件，作为全流程的宪法。材料获取由模型检索、人核验，所有事实性陈述进入待核清单，与行文分离处理。分节起草由模型执行，每一节的生成都受上下文文件约束，模型的自由度被限制在节内。逐节修改由人执行，按6.2的修改定义完成取舍与核验。整体一致性审查以人为主、模型为辅——模型可以可靠地执行机械检查：术语是否前后一致、同一概念是否中途换了称谓、各节开头与大纲是否仍然对应。终审由人完成，不可代理。</w:t>
      </w:r>
    </w:p>
    <w:p>
      <w:pPr>
        <w:ind w:firstLine="480"/>
      </w:pPr>
      <w:r>
        <w:t>质量控制点有三个，各对应一类典型失效。结构锁防止的是生成漂移：不设大纲约束的分节生成，各节会各自向着"好写"的方向滑动，全文在第三次生成之后已经偏离原计划，而生成者往往最后一个察觉。事实隔离层防止的是夹带：模型起草时会自然地把未经核实的断言写得与核实过的一样自信，隔离层的意义是不让"写得像真的"参与验收——像不像是修辞属性，真不真是证据属性，两者必须分道验收。一致性审查放在最后且以模型辅助，防止的是分节修改的累积效应：每一节的小改动单独看都合理，十次小改动的合力可能已经拆掉了论证的骨架。</w:t>
      </w:r>
    </w:p>
    <w:p>
      <w:pPr>
        <w:ind w:firstLine="480"/>
      </w:pPr>
      <w:r>
        <w:t>时间结构的变化同样值得分析。传统长文写作的时间分布近似均匀——构思、起草、修改各占其份；AI辅助工作流的时间分布是双峰的：结构设计与终审判断占据两端的时间高地，中间的起草环节被压缩到几乎可以忽略。这个分布改变的不是总时长，而是注意力的性质——起草环节省下的时间如果不被重新投入修改与核验，工作流就只是更快地生产了一篇更平庸的文章。长文的完成度与投入在修改环节的密度正相关，这个规律在生成时代不仅没有失效，反而因为起草的平价而更加尖锐。</w:t>
      </w:r>
    </w:p>
    <w:p>
      <w:pPr>
        <w:ind w:firstLine="480"/>
      </w:pPr>
      <w:r>
        <w:t>这个工作流对能力的重新定价值得指出：流程中机器承担的部分——生成、机械检查、措辞优化——不再构成技能，人的三个位置，结构设计、修改取舍、终审判断，成为长文写作的全部区分度所在。这正是引论所说责任结构迁移在写作场景中的具体形态：字数的生产已经平价，判断的供给依然稀缺。</w:t>
      </w:r>
    </w:p>
    <w:p>
      <w:pPr>
        <w:pStyle w:val="Heading2"/>
      </w:pPr>
      <w:r>
        <w:t>6.4 多模态生产管线：从修改转向筛选</w:t>
      </w:r>
    </w:p>
    <w:p>
      <w:pPr>
        <w:ind w:firstLine="480"/>
      </w:pPr>
      <w:r>
        <w:t>多模态生产与文字工作流的本质差异在修改的粒度。文字可以逐句改：不满意一个论证，可以只重写那一段而保留其余。图像的修改粒度是整体：不满意的局部往往只能通过重新生成解决，而重新生成会连带改变其他本来满意的部分。这个技术性质决定了管线结构的差异——文字工作流的重心在修改，多模态管线的重心在筛选。</w:t>
      </w:r>
    </w:p>
    <w:p>
      <w:pPr>
        <w:ind w:firstLine="480"/>
      </w:pPr>
      <w:r>
        <w:t>通用管线可以描述为五段。意图，由人完成：这次生成要服务什么目的、什么算成功，这条标准必须在生成开始之前明确，否则筛选无从进行。提示与参考，是人机协商的环节：文字描述与参考素材共同约束生成方向，提供参考素材本质上是在为模型指定分布的邻域。批量生成，由模型执行：专业使用的基本单位不是一次生成而是一批生成，同时产出多个变体，用数量换取分布的覆盖。筛选，是品味支配的环节：从十个变体中选出一个，这次选择同时是对"什么是好的"的一次行使与一次训练。后制整合，由人与工具共同完成：选中的素材进入剪辑、修饰与组合，多模态作品的最终质量越来越多地取决于这一段的组织能力。</w:t>
      </w:r>
    </w:p>
    <w:p>
      <w:pPr>
        <w:ind w:firstLine="480"/>
      </w:pPr>
      <w:r>
        <w:t>生成—筛选循环替代了传统创作的构思—执行循环，其深层含义是产出责任位置的前移：传统流程中，质量在执行过程中逐步形成；生成管线中，质量在筛选那一刻一次性判定。瓶颈因此从手（执行力）移到了眼（判断力）——这与第五章对艺术设计的分析一致：管线效率越高，筛选能力越是唯一的稀缺，而筛选能力恰恰无法由管线自身供给。一个只能生成不能筛选的使用者，得到的是十个平庸的变体而非一个合格的成品。</w:t>
      </w:r>
    </w:p>
    <w:p>
      <w:pPr>
        <w:ind w:firstLine="480"/>
      </w:pPr>
      <w:r>
        <w:t>音频管线提供了另一个结构样本。语音与音乐的生成在技术上接近图像，但筛选的判据不同：图像的缺陷多数可以直观看见，音频的缺陷——节奏的机械感、语气的错位、混音的失衡——需要在播放的时间轴上展开才能暴露，筛选成本因此随时长线性上升。这解释了为什么音频生产管线中人的后制环节比重更大：可听的判断无法像视觉判断那样并行处理，时间本身成为筛选的约束。多模态管线的分化由此显出一般规律：感官通道不同，验证的时间结构不同，人在管线中的位置也随之不同——不存在一个统一的多模态工作法，只存在针对每种媒介的验证经济学。</w:t>
      </w:r>
    </w:p>
    <w:p>
      <w:pPr>
        <w:ind w:firstLine="480"/>
      </w:pPr>
      <w:r>
        <w:t>视频与音频在图像之上再加一层一致性约束：角色、风格、叙事的跨镜头一致，是目前多模态生产中最依赖人工约束的环节。有从业者观察，生成式视频工作流的主要成本项不在生成而在一致性维护——为保证角色在各镜头中是同一个人所付出的人工对齐成本[待核实]。这提示一个一般规律：生成模型消灭的是"从无到有"的成本，不消灭"从有到对"的成本；管线越长，后半段的人为约束越重，而这段约束正是使用者不可让渡的部分。</w:t>
      </w:r>
    </w:p>
    <w:p>
      <w:pPr>
        <w:pStyle w:val="Heading2"/>
      </w:pPr>
      <w:r>
        <w:t>6.5 个人知识库：笔记结构决定检索质量</w:t>
      </w:r>
    </w:p>
    <w:p>
      <w:pPr>
        <w:ind w:firstLine="480"/>
      </w:pPr>
      <w:r>
        <w:t>让模型检索个人笔记，其质量上限不由模型决定，而由笔记的结构决定。这句话的机制含义是：检索系统只能找到以可检索方式保存的东西。一段课堂录音的文字转写、一份照抄教材的笔记，其中保存的是他人的语义结构——原作者的问题、原作者的顺序、原作者的术语；模型检索它，调取的是那份材料的组织方式，而不是使用者的。抄写式笔记在AI时代的价值不升反降，原因即在于此：它把存储成本花在了保存本已存在于公开渠道的内容上，个人投入没有沉淀为个人结构。</w:t>
      </w:r>
    </w:p>
    <w:p>
      <w:pPr>
        <w:ind w:firstLine="480"/>
      </w:pPr>
      <w:r>
        <w:t>有效的个人知识库有三个结构特征，都指向同一件事——保存自己的问题史。问题索引：笔记围绕自己提出的问题组织，而非围绕来源组织；"关于某个问题我目前相信什么、证据是什么、还有什么没想通"这种形态，使检索的入口就是问题的入口。显性连接：每条笔记标明它与哪些笔记相关、为什么相关——这些连接是个人知识结构的外化，模型可以沿着连接扩展检索，但无法替人决定连接本身。未完成标记：哪些想法已经验证、哪些仍是猜测、哪些矛盾尚未解决——这是对模型最重要的信息，因为它标记了模型输出应当被提高警惕的区域，也标记了个人思考的真实前沿在哪里。</w:t>
      </w:r>
    </w:p>
    <w:p>
      <w:pPr>
        <w:ind w:firstLine="480"/>
      </w:pPr>
      <w:r>
        <w:t>"第二大脑"的价值因此不在存储，而在不可下载性。通用模型人人可用，可差异化的部分只剩使用者注入的上下文；个人知识库的质量取决于使用者曾经如何思考——提过什么问题、做过什么连接、留下什么未决。这些是无法从工具直接获得的资产，其积累以学期为单位，而其收益随模型检索能力的提升而上升。由此可以得出一个准确但不直观的判断：模型越强，个人知识库越重要，因为结构化的思考史的边际价值，与检索工具的能力成正比。这是第四章"生成式笔记"讨论的延续，此处从产出端补全了同一个机制：输入端的结构决定学习质量，存储端的结构决定创作时可调用的资源——笔记不是创作的备忘，是创作的前置资本。</w:t>
      </w:r>
    </w:p>
    <w:p>
      <w:pPr>
        <w:pStyle w:val="Heading2"/>
      </w:pPr>
      <w:r>
        <w:t>6.6 作品集思维与绩点思维：凭证评价向产出评价的迁移</w:t>
      </w:r>
    </w:p>
    <w:p>
      <w:pPr>
        <w:ind w:firstLine="480"/>
      </w:pPr>
      <w:r>
        <w:t>评价重心从凭证向产出的迁移，不是一句励志口号，而是一个有制度动力的调整过程，动力来自信号可信度的危机与展示成本的坍塌两侧。</w:t>
      </w:r>
    </w:p>
    <w:p>
      <w:pPr>
        <w:ind w:firstLine="480"/>
      </w:pPr>
      <w:r>
        <w:t>凭证一侧的危机是双重的。其一，传统信号在通胀：绩点在高分段的区分度持续压缩，同一专业的前百分之十可能挤在同一个分数档里，凭证所能提供的信息量随之下降。其二，生成式AI直接侵蚀了作业型凭证的可信度：当一份课程论文、一个编程作业无法确认作者与文本的对应关系，以它们为评价依据的凭证在信息意义上被稀释——不是贬值于含金量，而是贬值于可信度。教师一端可以观察到的回应，是把评价重心移向课堂展示、口试与过程记录，这恰是第一章讨论过的评价位移在课程层面的重演。</w:t>
      </w:r>
    </w:p>
    <w:p>
      <w:pPr>
        <w:ind w:firstLine="480"/>
      </w:pPr>
      <w:r>
        <w:t>展示一侧的坍塌同样真实：发布平台使个人作品的积累与展示成本趋近于零，作品第一次成为一种可以低成本持续持有的资产——过去学生展示自己的主要途径是简历上的一行字，现在可以是一个持续更新的仓库。需求端的变化与供给端对称：当生成能力普及，雇主对"能产出"的评估越来越难以依赖凭证与自述，作品成为更便宜的信度来源；有从业者观察，入门岗位的评估正在增加作品与实操的比重[待核实]。</w:t>
      </w:r>
    </w:p>
    <w:p>
      <w:pPr>
        <w:ind w:firstLine="480"/>
      </w:pPr>
      <w:r>
        <w:t>这个迁移在不同领域的不均衡也需要指出：设计、传媒、计算机等领域作品集传统深厚，产出评价的迁移阻力最小；而在课程体系高度标准化、资格考试主导的领域，凭证评价仍占据近乎全部的结算权重。学生在两个体系之间的理性策略因专业而异，但方向判断是共通的：产出评价的适用范围正在扩大，且每一次生成能力的升级都会再推动它一次——因为工具越强，凭证所担保的能力与实际能力之间的可能落差越大，市场对直接证据的需求就越强。</w:t>
      </w:r>
    </w:p>
    <w:p>
      <w:pPr>
        <w:ind w:firstLine="480"/>
      </w:pPr>
      <w:r>
        <w:t>作品集思维的个体策略可以由此推导，但需要先澄清它的对立面。作品集思维不是"多做项目放进简历"，而是以可展示的产出为单位组织学习：每个学期的学习以一件完整的作品收束——报告、程序、研究、创作——因为产出的完成会强制学习走完从输入到整合再到交付的全链条，这是绩点所不要求的。绩点衡量的是对给定任务的完成度，作品集衡量的是发起、完成并对一件完整事务负责的能力；两者不完全对立，但在时间分配上存在真实的竞争——多数课程体系至今仍以绩点为主要结算单位，无视这一点策略上是轻率的。</w:t>
      </w:r>
    </w:p>
    <w:p>
      <w:pPr>
        <w:ind w:firstLine="480"/>
      </w:pPr>
      <w:r>
        <w:t>因此判断应当是克制的：这不是宣告绩点失效——保研、奖学金与相当一部分雇主仍然以绩点为硬通货，绩点思维在可见的时期内仍是对制度现实的理性回应。正在发生的是权重的移动：作品正在从加分项变成区分项，在凭证信号趋同的竞争区间里，可归责的产出成为少数无法被生成稀释的证据。这里的可归责，回到了本章的中心判断——作品之所以升值，正因为它是判断与责任的可见记录；一个说不清哪些判断是自己的作品集，与一堆生成的材料没有区别。</w:t>
      </w:r>
    </w:p>
    <w:p>
      <w:pPr>
        <w:ind w:firstLine="480"/>
      </w:pPr>
      <w:r>
        <w:t>本章从原创性的重新划界开始，以作品集与绩点的权重竞争结束，贯穿两者的是同一个判断：生成成本归零之后，稀缺的不是产出而是可归责的产出；从消费者到生产者的迁移，因此是责任的迁移而非技能的升级。但这个迁移立即制造了一个新的问题：产出与作者之间的对应关系如何证明？哪些用法属于正当的辅助，哪些属于失信的代工？在作业、论文与学位的评价制度里，这条边界正被各所学校重新划定，而它的答案决定了作品集的信度上限。第七章将处理这个问题——学术规范不是创作的敌人，而是作品可信度赖以存在的制度地基。</w:t>
      </w:r>
    </w:p>
    <w:p>
      <w:pPr>
        <w:ind w:firstLine="0"/>
      </w:pPr>
      <w:r>
        <w:rPr>
          <w:i/>
          <w:color w:val="808080"/>
          <w:sz w:val="21"/>
        </w:rPr>
        <w:t>（初稿，当前约6,300字，目标20,000字。扩写方向：6.1补充各国著作权实践的对比材料[待核实]；6.2增加各环节的完整提示词示例与迭代对话；6.3补一个万字长文的全流程追踪案例；6.4增加音频与视频管线的差异化分析；6.5补充笔记工具的结构对比；6.6增加高校评价制度调整的案例[待核实]。）</w:t>
      </w:r>
    </w:p>
    <w:p>
      <w:r>
        <w:br w:type="page"/>
      </w:r>
    </w:p>
    <w:p>
      <w:pPr>
        <w:pStyle w:val="Heading1"/>
      </w:pPr>
      <w:r>
        <w:t>第七章　学术规范：工具使用的边界与自我保护</w:t>
      </w:r>
    </w:p>
    <w:p>
      <w:pPr>
        <w:ind w:firstLine="480"/>
      </w:pPr>
      <w:r>
        <w:t>学术规范是AI使用讨论中最容易被情绪接管的部分：禁令引发恐慌，检测引发对抗，个别案例引发猎奇，而真正的问题很少被说清楚——学术诚信制度保护的究竟是什么。本章的中心判断是：这套制度保护的既不是"独立完成"的姿态，也不是工具的纯洁性，而是思想贡献的归属与责任的可追溯性——谁能对文本中的每一个判断负责，谁才是作者。由这个判断可以推出两个结论。其一，各校政策的宽严只是技术细节，个体真正需要的是在任何一种政策环境下证明自己思想贡献的能力。其二，合规不是使用的天花板，而是大规模使用的前提——边界越清晰，可用空间反而越大。本章依次处理政策的类型、用法的分区、两个高风险环节、披露的写法，最后给出贯穿研究全程的核查框架。</w:t>
      </w:r>
    </w:p>
    <w:p>
      <w:pPr>
        <w:pStyle w:val="Heading2"/>
      </w:pPr>
      <w:r>
        <w:t>7.1 高校AI政策的类型学：三种规制及其共同的执行困境</w:t>
      </w:r>
    </w:p>
    <w:p>
      <w:pPr>
        <w:ind w:firstLine="480"/>
      </w:pPr>
      <w:r>
        <w:t>各高校与期刊对生成式AI的规制，大体可以归为三种理想类型。类型学的价值不在于给政策贴标签，而在于暴露每种规制"想管什么"与"能管什么"之间的缝隙。</w:t>
      </w:r>
    </w:p>
    <w:p>
      <w:pPr>
        <w:ind w:firstLine="480"/>
      </w:pPr>
      <w:r>
        <w:t>禁止型规制的逻辑是保护评价的有效性。学位的价值依赖一个默认假设：署名者独立完成了署名物。一旦这个假设普遍崩塌，学位作为信号就会贬值——这与第一章关于学历信号的讨论是同一件事的另一面。禁止型政策因此常常不是保守，而是对信号制度被稀释的防御。它的第二个逻辑是保护训练过程本身：论文不只是产出，更是教学手段，跳过写作就等于跳过了写作所承载的思维训练。禁止型的执行困境在于检测能力与禁令范围的不匹配。现有的AI文本检测工具在准确率上存在争议，假阳性问题——把人写的文本判为机器生成——已有不少报道，并被认为对非母语写作者尤为不利 [待核实]。更重要的是，禁令无法区分润色与代写，只能一刀切；而一刀切的禁令会把使用推向地下。前言讨论过的"隐形使用"现象——公开讨论与实际使用之间的系统性沉默——在禁止型环境下最为严重：诚实的使用者承担风险，隐蔽的使用者不受约束，规制的实际效果与它的名义目标反向而行。[待核实：具体高校的禁止条款表述与检测工具的实测表现]</w:t>
      </w:r>
    </w:p>
    <w:p>
      <w:pPr>
        <w:ind w:firstLine="480"/>
      </w:pPr>
      <w:r>
        <w:t>披露型规制的是归属而非工具：允许使用，但要求声明。它的逻辑最接近学术规范的本义——学术共同体从不禁止引用、不禁止合作、不禁止请人润色，只要求贡献可归因。披露型的困境是标准模糊与激励扭曲并存。"实质性使用"如何界定，多数政策语焉不详 [待核实]；而披露义务一旦执行不均，就会产生逆向选择：诚实披露者接受额外审查，沉默者蒙混过关，劣币驱逐良币。披露型政策还普遍面临形式化风险——当披露沦为一句模板化的"本文使用了AI工具"，它就不再传递任何信息。</w:t>
      </w:r>
    </w:p>
    <w:p>
      <w:pPr>
        <w:ind w:firstLine="480"/>
      </w:pPr>
      <w:r>
        <w:t>开放型把AI视为研究环境的一部分，不在文本层面设限，而把规制交给学术共同体的惯例与评价方式的重构——更多的口试、现场写作、过程记录、对AI输出的批判性说明。开放型的困境最隐蔽：它把评价改革的成本转移给了教师，而评价方式的重构速度远慢于工具的扩散速度；明规则退位之后，潜规则未必更宽松。对学生而言，"没有明文禁止"不等于"没有边界"，边界转入了导师的个人裁量——而个人裁量恰恰是最不可预期的规制形态。</w:t>
      </w:r>
    </w:p>
    <w:p>
      <w:pPr>
        <w:ind w:firstLine="480"/>
      </w:pPr>
      <w:r>
        <w:t>三种类型的比较揭示了一个共同的困境：它们想规制的都是思想贡献的归属，但可执行的手段只有对工具痕迹的检测。手段与目标的错位，是所有AI学术政策焦虑的总根源。对个体而言，这个类型学的含义是明确的：不要把任何单一政策当作稳定环境——政策本身仍在快速变动 [待核实]，不同课程、不同期刊、不同导师的标准可能互相冲突；应当把政策查询当作研究工作的一部分，而把目标定为最严标准下的可辩护性。自我保护的核心不是揣测政策的宽松程度，而是让自己的每一种用法在任何标准下都解释得清。</w:t>
      </w:r>
    </w:p>
    <w:p>
      <w:pPr>
        <w:pStyle w:val="Heading2"/>
      </w:pPr>
      <w:r>
        <w:t>7.2 学术诚信三色区：判定标准是归属而非工具</w:t>
      </w:r>
    </w:p>
    <w:p>
      <w:pPr>
        <w:ind w:firstLine="480"/>
      </w:pPr>
      <w:r>
        <w:t>把AI用法分为绿、黄、红三区，容易滑入以工具或以动作划界的误区——"用了模型"不能说明任何问题，"让模型改过"也不能。三色区唯一的判定标准是思想贡献的归属：论点由谁提出，论证路径由谁决定，结论由谁负责。</w:t>
      </w:r>
    </w:p>
    <w:p>
      <w:pPr>
        <w:ind w:firstLine="480"/>
      </w:pPr>
      <w:r>
        <w:t>绿区是语言层面的处理：语法、错别字、用词、表达的清晰度。这些处理不触及思想——润色前后的文本说的是同一件事，只是说得更好。把绿区划出来的依据在于：学术写作评价的是思想与论证，而不是打字技巧；请人润色在学术史上从来不是违规，机械润色没有理由例外。</w:t>
      </w:r>
    </w:p>
    <w:p>
      <w:pPr>
        <w:ind w:firstLine="480"/>
      </w:pPr>
      <w:r>
        <w:t>黄区需要具体分析，典型的是翻译辅助与结构建议。翻译辅助的特殊性在于思想归属在原文：翻译自己的初稿，归属不变；翻译外文文献，归属在原作者，由引用规范处理。但黄区有一个关键变量——被评价的对象。外语类论文中，学术翻译能力本身可能是被考核的对象，此时翻译辅助就从黄区滑向红区。这说明区色不是某种用法的不变属性，而是"用法×被评价对象"的函数：评价什么，什么就必须是自己的。</w:t>
      </w:r>
    </w:p>
    <w:p>
      <w:pPr>
        <w:ind w:firstLine="480"/>
      </w:pPr>
      <w:r>
        <w:t>红区是代写：论点生成、论证展开、结论提炼由模型完成。判断红区有三个可操作的问题。第一，论点是否由你提出，你能否在不依赖工具的情况下为它辩护？第二，论证路径——先说什么后说什么、用什么证据支撑哪个判断——是否由你决定？第三，如果被要求解释文本中的每一个关键选择，从术语的选用到段落的取舍，你能否当场完成？这三个问题合起来构成可追溯性判据：绿区与黄区的共同点，是产出物中的思想可以完整地追溯到作者本人；红区的共同点，是追溯链条在模型处断裂。</w:t>
      </w:r>
    </w:p>
    <w:p>
      <w:pPr>
        <w:ind w:firstLine="480"/>
      </w:pPr>
      <w:r>
        <w:t>可追溯性判据比"用没用"和"改了多少"都更准确，因为它指向制度真正保护的东西。一个全篇自己写下、但论点来自未消化的模型输出的文本，比一个思想由自己完成、只让模型调整了语序的文本，问题严重得多。头脑风暴是灰区的典型：用模型穷举一个问题的可能角度，性质接近与同学讨论，属于黄区；但把模型给出的"新颖角度"未经检验地写入论文，归属就开始漂移——此时模型不再是陪练而是联合作者，而这位联合作者的意见还从未经过验证。红线最终画在产出物上：引用未经验证的模型观点，等于引用一个不可靠的来源。</w:t>
      </w:r>
    </w:p>
    <w:p>
      <w:pPr>
        <w:pStyle w:val="Heading2"/>
      </w:pPr>
      <w:r>
        <w:t>7.3 文献综述的编造风险：幻觉文献的生成机制与系统性自查</w:t>
      </w:r>
    </w:p>
    <w:p>
      <w:pPr>
        <w:ind w:firstLine="480"/>
      </w:pPr>
      <w:r>
        <w:t>文献综述是AI滥用后果最严重的环节，原因不在学生更不诚实，而在诱惑结构最不利：综述对引用密度的要求最高，逐条核实的成本最大，而幻觉恰恰在引用密度最高的输出里出现得最频繁。理解这件事需要回到幻觉的生成机制。</w:t>
      </w:r>
    </w:p>
    <w:p>
      <w:pPr>
        <w:ind w:firstLine="480"/>
      </w:pPr>
      <w:r>
        <w:t>生成式模型不是在查询文献数据库，而是在生成"引用形态的字符串"。一条规范的参考文献是若干要素的组合：作者、年份、标题、期刊、卷期、页码。模型在训练中见过海量真实组合，因此掌握了这些要素的联合分布——它知道哪个领域的作者名常与哪种期刊名、哪个年份区间共现。当被要求"引用几篇关于某主题的文献"时，它输出的是从联合分布中采样的、统计上高度合理的组合。这解释了幻觉文献最令人不安的特征：它们看起来极其可信——真实的期刊、活跃的作者、合理的年份、像样的标题。可信不是因为它核实过，而是因为它学习了"什么样的引用存在"。[待核实：各主流模型当前版本在引用任务上的幻觉率]</w:t>
      </w:r>
    </w:p>
    <w:p>
      <w:pPr>
        <w:ind w:firstLine="480"/>
      </w:pPr>
      <w:r>
        <w:t>编造有两种形态，第二种更危险。完全虚构——所有要素都是组合出来的，检索不到对应文献。移花接木——文献真实存在，但模型为它配上它并不支持的观点。移花接木的危险在于它能通过溯源的第一关：DOI能检索到，作者真实，期刊真实，只有"这篇文献说过这个论点"是假的。引用者如果只核对文献存在而不核对内容，就会被精确地欺骗。</w:t>
      </w:r>
    </w:p>
    <w:p>
      <w:pPr>
        <w:ind w:firstLine="480"/>
      </w:pPr>
      <w:r>
        <w:t>系统性自查因此必须是三层的。第一层是存在性核查：每一条引用都在数据库中检索到原文，以DOI或正式检索记录为准，不接受"模型说有"。第二层是内容核查：打开原文，确认被引用的文献确实支持它被用来支持的论点——模型常把文献用作论据的装饰，引文与论点之间的支撑关系是编造的高发地带。第三层是交叉验证：真实文献嵌在引文网络之中，有被引记录、有作者的其他工作、有综述对它的转述；一条"孤立存在"的高相关文献值得多一分怀疑。在操作上，三层核查应当与写作同步进行而非事后补做，并保留检索记录——检索记录既是自律的凭据，也是被质疑时的自我保护。</w:t>
      </w:r>
    </w:p>
    <w:p>
      <w:pPr>
        <w:ind w:firstLine="480"/>
      </w:pPr>
      <w:r>
        <w:t>引用的本质是一种承诺：为文本中的每一个事实性陈述背书。签发引用就是开一张以自己学术信用承兑的支票，验证义务因此不可外包——模型可以起草引用列表，但只有作者兑现得了列表里的承诺。从成本结构看，逐条核实的几小时劳动，与引用造假被发现之后的后果之间，不存在任何合理的换算比例；把核实变成与写作同步的习惯性动作，成本远低于任何事后补救。</w:t>
      </w:r>
    </w:p>
    <w:p>
      <w:pPr>
        <w:pStyle w:val="Heading2"/>
      </w:pPr>
      <w:r>
        <w:t>7.4 数据分析与可复现性：验证义务的技术形态</w:t>
      </w:r>
    </w:p>
    <w:p>
      <w:pPr>
        <w:ind w:firstLine="480"/>
      </w:pPr>
      <w:r>
        <w:t>可复现性问题不是AI带来的。其他研究者能否用论文提供的数据与代码重演出相同结果，是早于生成式AI数十年的方法论规范，而复现危机在多个学科的实证文献中早有系统讨论 [待核实]。AI改变的是问题的形态：它让"能跑的分析"变得廉价，从而把可复现性从少数人的专业操守，变成了每个使用者都绕不开的日常义务。</w:t>
      </w:r>
    </w:p>
    <w:p>
      <w:pPr>
        <w:ind w:firstLine="480"/>
      </w:pPr>
      <w:r>
        <w:t>模型生成的代码有三类典型隐患。其一是静默错误：代码顺利运行、不报错、给出看起来合理的结果，但逻辑是错的——单位换算错了、分组变量用错了、分母选错了。运行成功与结果正确是两件事，而模型没有能力为前者之后的部分负责。其二是接口幻觉：调用不存在的函数、使用已弃用的参数、虚构某个库的功能，这类错误通常会报错、因而容易被发现，真正麻烦的是那些恰好能跑通的错误用法。其三是方法的表面恰当：统计方法的选择依赖研究设计——数据结构、样本性质、检验目的——而模型倾向于给出该情境下"最常见的做法"；常见与适当之间的距离，正是专业训练要覆盖的距离。</w:t>
      </w:r>
    </w:p>
    <w:p>
      <w:pPr>
        <w:ind w:firstLine="480"/>
      </w:pPr>
      <w:r>
        <w:t>由此可以列出AI辅助科研的验证义务，它至少包含三个动作。代码审查：对提交的每一行代码，作者能够解释它做什么、为什么这么做——这是把"我运行了"升级为"我负责"的唯一途径。环境固定：库的版本、随机种子、数据路径被明确记录，使他人可以在相同条件下重演——可复现性首先是对自己复现：隔一个月换一台机器，自己还能跑出同样的结果吗？流程留痕：原始数据保持只读，处理步骤以脚本而非手工操作的形式保存，使分析链条可以被逐步检查。这些动作没有一个是AI时代的新发明，它们的强制力在今天急剧上升，因为生成工具让未经验证的分析以前所未有的速度成型。</w:t>
      </w:r>
    </w:p>
    <w:p>
      <w:pPr>
        <w:ind w:firstLine="480"/>
      </w:pPr>
      <w:r>
        <w:t>用第二章的人机分工框架看，数据分析几乎整个落在"错误代价高×可验证性高"的象限：结果是会被导师、审稿人、后来的研究者检验的，因此必须由自己先检验。这个位置决定了正确的分工——模型承担生成，人承担验收，而验收不能抽样进行，因为错误在输出中不均匀分布。AI辅助科研的实际含义由此可以表述得更准确：它没有降低科研的门槛，它把门槛从"能否写出代码"移动到"能否为代码的结果负责"。工具让下游变便宜，责任完整地留在上游；分清这一点的人得到的是加速，分不清的人得到的是迟早会暴露的隐患。</w:t>
      </w:r>
    </w:p>
    <w:p>
      <w:pPr>
        <w:pStyle w:val="Heading2"/>
      </w:pPr>
      <w:r>
        <w:t>7.5 披露声明的写作：坦诚与专业如何兼得</w:t>
      </w:r>
    </w:p>
    <w:p>
      <w:pPr>
        <w:ind w:firstLine="480"/>
      </w:pPr>
      <w:r>
        <w:t>披露声明常被当作自首来写，这是误解的第一步。在披露型与开放型的环境下，披露是一个信号：它传递的信息不是"我用了AI"，而是"我清楚自己如何使用AI，并且愿意说清楚"。写得专业的披露降低读者的怀疑，写得含混的披露制造怀疑。一句"本文部分内容借助AI工具完成"之所以比不写更糟，在于它没有信息量——哪部分？什么用途？到什么程度？作者要么没想清楚，要么不想说清，而两种解读都指向同一个结论：这个作者的边界管理不可信。</w:t>
      </w:r>
    </w:p>
    <w:p>
      <w:pPr>
        <w:ind w:firstLine="480"/>
      </w:pPr>
      <w:r>
        <w:t>有效的披露有四个要素。用途分类：按用途而非按工具披露——"语言润色""代码辅助""文献检索辅助"描述的是使用与思想的关系，比罗列工具名更能说明问题。范围界定：哪些环节、何种程度、涉及哪些部分，边界画得越具体，声明越可信。责任声明：明确作者对全部内容——包括AI参与的产出——负责，这是三色区判定的自然延伸，也是读者最关心的承诺。验证说明：引用已逐条核实、代码已审查并能复现，把本章第三、四节的义务履行情况一并交代。</w:t>
      </w:r>
    </w:p>
    <w:p>
      <w:pPr>
        <w:ind w:firstLine="480"/>
      </w:pPr>
      <w:r>
        <w:t>作为分析材料，一个结构完整的披露声明可以这样组织："本研究在以下环节使用了生成式AI工具：其一，语言润色，初稿完成后对英文摘要的语法与表达进行修改，未涉及内容变更；其二，代码辅助，图三的绘图脚本由模型生成初稿，经作者逐行审查、修改并验证输出后采用。全部文献引用均由作者在数据库中逐条核实原文；研究设计、论证与结论由作者独立完成，作者对全部内容负责。"这个样本的每个要素都可以替换为具体情境，结构不变：用途—范围—验证—责任。</w:t>
      </w:r>
    </w:p>
    <w:p>
      <w:pPr>
        <w:ind w:firstLine="480"/>
      </w:pPr>
      <w:r>
        <w:t>披露声明的写作还有一层常被忽略的价值：它是一份强制自查。要写清用途，就必须真的梳理过自己的使用图景；要写"引用已核实"，就必须真的逐条核实过。许多含混声明的问题不在措辞而在事实——作者写不清楚，因为确实没想清楚。在这个意义上，披露声明不是写作末端的行政手续，而是把归属判断与验证义务收束为一页文本的环节；一份经得起追问的披露，本身就是思想贡献归属的最直接证据。</w:t>
      </w:r>
    </w:p>
    <w:p>
      <w:pPr>
        <w:pStyle w:val="Heading2"/>
      </w:pPr>
      <w:r>
        <w:t>7.6 论文AI合规清单：从开题到答辩的阶段性核查框架</w:t>
      </w:r>
    </w:p>
    <w:p>
      <w:pPr>
        <w:ind w:firstLine="480"/>
      </w:pPr>
      <w:r>
        <w:t>合规经常被理解为写作末端的检查动作，这个理解是错的。如果归属与验证是贯穿研究的责任结构，那么核查必须与研究阶段对应——每个阶段有自己的风险形态，也有自己的留痕方式。以下框架把一篇论文的生命周期分为五个阶段，每个阶段给出核查对象、核心判据与应留下的痕迹。</w:t>
      </w:r>
    </w:p>
    <w:p>
      <w:pPr>
        <w:ind w:firstLine="480"/>
      </w:pPr>
      <w:r>
        <w:t>开题阶段，核查对象是文献与问题。文献的真实性在此阶段就要按三层标准处理——选题所依赖的每篇关键文献都已见到原文；检索记录从这一刻开始保存。问题原创性的自查采用三色区判据：研究问题是否由自己的阅读与观察形成。模型可以用于穷举已有研究、检验问题是否已被做过，这是黄区的正当用法；但选题本身的思想线索应当能够在自己的笔记中追溯到源头。应留痕迹：检索记录、问题演变的笔记版本。</w:t>
      </w:r>
    </w:p>
    <w:p>
      <w:pPr>
        <w:ind w:firstLine="480"/>
      </w:pPr>
      <w:r>
        <w:t>研究设计阶段，核查对象是方法选择的责任。模型建议的方法必须理解其适用条件后再采用——"模型推荐"不是理由，方法与研究设计的匹配才是。分析与写作开始之前，把研究计划固定下来：研究问题、数据、方法、预期产出，形成一页预注册式的文档。这份文档在后面的每个阶段都是归属的证据——它证明设计先于结果。应留痕迹：研究计划文档及其日期。</w:t>
      </w:r>
    </w:p>
    <w:p>
      <w:pPr>
        <w:ind w:firstLine="480"/>
      </w:pPr>
      <w:r>
        <w:t>写作阶段，核查对象是文本的归属。按三色区的三个问题逐章自检：论点、论证路径、关键选择是否全部可追溯到自己。引用与写作同步核实，不用占位符欠账。与模型的对话记录保留——不是出于表演，而是它们与草稿版本一起构成过程证据。应留痕迹：草稿的版本序列、关键对话记录。</w:t>
      </w:r>
    </w:p>
    <w:p>
      <w:pPr>
        <w:ind w:firstLine="480"/>
      </w:pPr>
      <w:r>
        <w:t>数据分析阶段，核查对象是可复现性。按上一节的三个动作执行：代码逐行可解释、环境与种子固定、换环境重跑结果一致。应留痕迹：带注释的代码、运行日志、数据版本记录。</w:t>
      </w:r>
    </w:p>
    <w:p>
      <w:pPr>
        <w:ind w:firstLine="480"/>
      </w:pPr>
      <w:r>
        <w:t>定稿与答辩阶段，核查对象是整体的可辩护性。披露声明按四要素完成。之后做一个全文测试：随机抽取若干段落与关键决策，从术语选用到方法取舍，能否不依赖工具当场解释？能解释的部分是安全的，不能解释的部分是需要返工的——答辩本质上就是这个测试的公开版本。应留痕迹：披露声明、自查记录。</w:t>
      </w:r>
    </w:p>
    <w:p>
      <w:pPr>
        <w:ind w:firstLine="480"/>
      </w:pPr>
      <w:r>
        <w:t>这个框架可以压缩为一张表：</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line="288" w:lineRule="auto"/>
            </w:pPr>
            <w:r>
              <w:rPr>
                <w:b/>
                <w:sz w:val="21"/>
              </w:rPr>
            </w:r>
            <w:r>
              <w:rPr>
                <w:b/>
                <w:sz w:val="21"/>
              </w:rPr>
              <w:t>阶段</w:t>
            </w:r>
          </w:p>
        </w:tc>
        <w:tc>
          <w:tcPr>
            <w:tcW w:type="dxa" w:w="2160"/>
          </w:tcPr>
          <w:p>
            <w:pPr>
              <w:spacing w:line="288" w:lineRule="auto"/>
            </w:pPr>
            <w:r>
              <w:rPr>
                <w:b/>
                <w:sz w:val="21"/>
              </w:rPr>
            </w:r>
            <w:r>
              <w:rPr>
                <w:b/>
                <w:sz w:val="21"/>
              </w:rPr>
              <w:t>核查对象</w:t>
            </w:r>
          </w:p>
        </w:tc>
        <w:tc>
          <w:tcPr>
            <w:tcW w:type="dxa" w:w="2160"/>
          </w:tcPr>
          <w:p>
            <w:pPr>
              <w:spacing w:line="288" w:lineRule="auto"/>
            </w:pPr>
            <w:r>
              <w:rPr>
                <w:b/>
                <w:sz w:val="21"/>
              </w:rPr>
            </w:r>
            <w:r>
              <w:rPr>
                <w:b/>
                <w:sz w:val="21"/>
              </w:rPr>
              <w:t>核心判据</w:t>
            </w:r>
          </w:p>
        </w:tc>
        <w:tc>
          <w:tcPr>
            <w:tcW w:type="dxa" w:w="2160"/>
          </w:tcPr>
          <w:p>
            <w:pPr>
              <w:spacing w:line="288" w:lineRule="auto"/>
            </w:pPr>
            <w:r>
              <w:rPr>
                <w:b/>
                <w:sz w:val="21"/>
              </w:rPr>
            </w:r>
            <w:r>
              <w:rPr>
                <w:b/>
                <w:sz w:val="21"/>
              </w:rPr>
              <w:t>留痕物</w:t>
            </w:r>
          </w:p>
        </w:tc>
      </w:tr>
      <w:tr>
        <w:tc>
          <w:tcPr>
            <w:tcW w:type="dxa" w:w="2160"/>
          </w:tcPr>
          <w:p>
            <w:pPr>
              <w:spacing w:line="288" w:lineRule="auto"/>
            </w:pPr>
            <w:r>
              <w:rPr>
                <w:sz w:val="21"/>
              </w:rPr>
            </w:r>
            <w:r>
              <w:rPr>
                <w:sz w:val="21"/>
              </w:rPr>
              <w:t>开题</w:t>
            </w:r>
          </w:p>
        </w:tc>
        <w:tc>
          <w:tcPr>
            <w:tcW w:type="dxa" w:w="2160"/>
          </w:tcPr>
          <w:p>
            <w:pPr>
              <w:spacing w:line="288" w:lineRule="auto"/>
            </w:pPr>
            <w:r>
              <w:rPr>
                <w:sz w:val="21"/>
              </w:rPr>
            </w:r>
            <w:r>
              <w:rPr>
                <w:sz w:val="21"/>
              </w:rPr>
              <w:t>文献与问题</w:t>
            </w:r>
          </w:p>
        </w:tc>
        <w:tc>
          <w:tcPr>
            <w:tcW w:type="dxa" w:w="2160"/>
          </w:tcPr>
          <w:p>
            <w:pPr>
              <w:spacing w:line="288" w:lineRule="auto"/>
            </w:pPr>
            <w:r>
              <w:rPr>
                <w:sz w:val="21"/>
              </w:rPr>
            </w:r>
            <w:r>
              <w:rPr>
                <w:sz w:val="21"/>
              </w:rPr>
              <w:t>关键文献已见原文；问题线索可追溯至本人笔记</w:t>
            </w:r>
          </w:p>
        </w:tc>
        <w:tc>
          <w:tcPr>
            <w:tcW w:type="dxa" w:w="2160"/>
          </w:tcPr>
          <w:p>
            <w:pPr>
              <w:spacing w:line="288" w:lineRule="auto"/>
            </w:pPr>
            <w:r>
              <w:rPr>
                <w:sz w:val="21"/>
              </w:rPr>
            </w:r>
            <w:r>
              <w:rPr>
                <w:sz w:val="21"/>
              </w:rPr>
              <w:t>检索记录、问题演变笔记</w:t>
            </w:r>
          </w:p>
        </w:tc>
      </w:tr>
      <w:tr>
        <w:tc>
          <w:tcPr>
            <w:tcW w:type="dxa" w:w="2160"/>
          </w:tcPr>
          <w:p>
            <w:pPr>
              <w:spacing w:line="288" w:lineRule="auto"/>
            </w:pPr>
            <w:r>
              <w:rPr>
                <w:sz w:val="21"/>
              </w:rPr>
            </w:r>
            <w:r>
              <w:rPr>
                <w:sz w:val="21"/>
              </w:rPr>
              <w:t>研究设计</w:t>
            </w:r>
          </w:p>
        </w:tc>
        <w:tc>
          <w:tcPr>
            <w:tcW w:type="dxa" w:w="2160"/>
          </w:tcPr>
          <w:p>
            <w:pPr>
              <w:spacing w:line="288" w:lineRule="auto"/>
            </w:pPr>
            <w:r>
              <w:rPr>
                <w:sz w:val="21"/>
              </w:rPr>
            </w:r>
            <w:r>
              <w:rPr>
                <w:sz w:val="21"/>
              </w:rPr>
              <w:t>方法选择的责任</w:t>
            </w:r>
          </w:p>
        </w:tc>
        <w:tc>
          <w:tcPr>
            <w:tcW w:type="dxa" w:w="2160"/>
          </w:tcPr>
          <w:p>
            <w:pPr>
              <w:spacing w:line="288" w:lineRule="auto"/>
            </w:pPr>
            <w:r>
              <w:rPr>
                <w:sz w:val="21"/>
              </w:rPr>
            </w:r>
            <w:r>
              <w:rPr>
                <w:sz w:val="21"/>
              </w:rPr>
              <w:t>方法与设计匹配而非"模型推荐"；设计先于结果固定</w:t>
            </w:r>
          </w:p>
        </w:tc>
        <w:tc>
          <w:tcPr>
            <w:tcW w:type="dxa" w:w="2160"/>
          </w:tcPr>
          <w:p>
            <w:pPr>
              <w:spacing w:line="288" w:lineRule="auto"/>
            </w:pPr>
            <w:r>
              <w:rPr>
                <w:sz w:val="21"/>
              </w:rPr>
            </w:r>
            <w:r>
              <w:rPr>
                <w:sz w:val="21"/>
              </w:rPr>
              <w:t>研究计划文档（含日期）</w:t>
            </w:r>
          </w:p>
        </w:tc>
      </w:tr>
      <w:tr>
        <w:tc>
          <w:tcPr>
            <w:tcW w:type="dxa" w:w="2160"/>
          </w:tcPr>
          <w:p>
            <w:pPr>
              <w:spacing w:line="288" w:lineRule="auto"/>
            </w:pPr>
            <w:r>
              <w:rPr>
                <w:sz w:val="21"/>
              </w:rPr>
            </w:r>
            <w:r>
              <w:rPr>
                <w:sz w:val="21"/>
              </w:rPr>
              <w:t>写作</w:t>
            </w:r>
          </w:p>
        </w:tc>
        <w:tc>
          <w:tcPr>
            <w:tcW w:type="dxa" w:w="2160"/>
          </w:tcPr>
          <w:p>
            <w:pPr>
              <w:spacing w:line="288" w:lineRule="auto"/>
            </w:pPr>
            <w:r>
              <w:rPr>
                <w:sz w:val="21"/>
              </w:rPr>
            </w:r>
            <w:r>
              <w:rPr>
                <w:sz w:val="21"/>
              </w:rPr>
              <w:t>文本归属</w:t>
            </w:r>
          </w:p>
        </w:tc>
        <w:tc>
          <w:tcPr>
            <w:tcW w:type="dxa" w:w="2160"/>
          </w:tcPr>
          <w:p>
            <w:pPr>
              <w:spacing w:line="288" w:lineRule="auto"/>
            </w:pPr>
            <w:r>
              <w:rPr>
                <w:sz w:val="21"/>
              </w:rPr>
            </w:r>
            <w:r>
              <w:rPr>
                <w:sz w:val="21"/>
              </w:rPr>
              <w:t>论点、路径、关键选择当场可解释</w:t>
            </w:r>
          </w:p>
        </w:tc>
        <w:tc>
          <w:tcPr>
            <w:tcW w:type="dxa" w:w="2160"/>
          </w:tcPr>
          <w:p>
            <w:pPr>
              <w:spacing w:line="288" w:lineRule="auto"/>
            </w:pPr>
            <w:r>
              <w:rPr>
                <w:sz w:val="21"/>
              </w:rPr>
            </w:r>
            <w:r>
              <w:rPr>
                <w:sz w:val="21"/>
              </w:rPr>
              <w:t>草稿版本序列、关键对话记录</w:t>
            </w:r>
          </w:p>
        </w:tc>
      </w:tr>
      <w:tr>
        <w:tc>
          <w:tcPr>
            <w:tcW w:type="dxa" w:w="2160"/>
          </w:tcPr>
          <w:p>
            <w:pPr>
              <w:spacing w:line="288" w:lineRule="auto"/>
            </w:pPr>
            <w:r>
              <w:rPr>
                <w:sz w:val="21"/>
              </w:rPr>
            </w:r>
            <w:r>
              <w:rPr>
                <w:sz w:val="21"/>
              </w:rPr>
              <w:t>数据分析</w:t>
            </w:r>
          </w:p>
        </w:tc>
        <w:tc>
          <w:tcPr>
            <w:tcW w:type="dxa" w:w="2160"/>
          </w:tcPr>
          <w:p>
            <w:pPr>
              <w:spacing w:line="288" w:lineRule="auto"/>
            </w:pPr>
            <w:r>
              <w:rPr>
                <w:sz w:val="21"/>
              </w:rPr>
            </w:r>
            <w:r>
              <w:rPr>
                <w:sz w:val="21"/>
              </w:rPr>
              <w:t>可复现性</w:t>
            </w:r>
          </w:p>
        </w:tc>
        <w:tc>
          <w:tcPr>
            <w:tcW w:type="dxa" w:w="2160"/>
          </w:tcPr>
          <w:p>
            <w:pPr>
              <w:spacing w:line="288" w:lineRule="auto"/>
            </w:pPr>
            <w:r>
              <w:rPr>
                <w:sz w:val="21"/>
              </w:rPr>
            </w:r>
            <w:r>
              <w:rPr>
                <w:sz w:val="21"/>
              </w:rPr>
              <w:t>代码可解释、环境固定、换机重跑结果一致</w:t>
            </w:r>
          </w:p>
        </w:tc>
        <w:tc>
          <w:tcPr>
            <w:tcW w:type="dxa" w:w="2160"/>
          </w:tcPr>
          <w:p>
            <w:pPr>
              <w:spacing w:line="288" w:lineRule="auto"/>
            </w:pPr>
            <w:r>
              <w:rPr>
                <w:sz w:val="21"/>
              </w:rPr>
            </w:r>
            <w:r>
              <w:rPr>
                <w:sz w:val="21"/>
              </w:rPr>
              <w:t>注释代码、运行日志、数据版本</w:t>
            </w:r>
          </w:p>
        </w:tc>
      </w:tr>
      <w:tr>
        <w:tc>
          <w:tcPr>
            <w:tcW w:type="dxa" w:w="2160"/>
          </w:tcPr>
          <w:p>
            <w:pPr>
              <w:spacing w:line="288" w:lineRule="auto"/>
            </w:pPr>
            <w:r>
              <w:rPr>
                <w:sz w:val="21"/>
              </w:rPr>
            </w:r>
            <w:r>
              <w:rPr>
                <w:sz w:val="21"/>
              </w:rPr>
              <w:t>定稿与答辩</w:t>
            </w:r>
          </w:p>
        </w:tc>
        <w:tc>
          <w:tcPr>
            <w:tcW w:type="dxa" w:w="2160"/>
          </w:tcPr>
          <w:p>
            <w:pPr>
              <w:spacing w:line="288" w:lineRule="auto"/>
            </w:pPr>
            <w:r>
              <w:rPr>
                <w:sz w:val="21"/>
              </w:rPr>
            </w:r>
            <w:r>
              <w:rPr>
                <w:sz w:val="21"/>
              </w:rPr>
              <w:t>可辩护性</w:t>
            </w:r>
          </w:p>
        </w:tc>
        <w:tc>
          <w:tcPr>
            <w:tcW w:type="dxa" w:w="2160"/>
          </w:tcPr>
          <w:p>
            <w:pPr>
              <w:spacing w:line="288" w:lineRule="auto"/>
            </w:pPr>
            <w:r>
              <w:rPr>
                <w:sz w:val="21"/>
              </w:rPr>
            </w:r>
            <w:r>
              <w:rPr>
                <w:sz w:val="21"/>
              </w:rPr>
              <w:t>随机抽取的段落与决策可不依赖工具辩护</w:t>
            </w:r>
          </w:p>
        </w:tc>
        <w:tc>
          <w:tcPr>
            <w:tcW w:type="dxa" w:w="2160"/>
          </w:tcPr>
          <w:p>
            <w:pPr>
              <w:spacing w:line="288" w:lineRule="auto"/>
            </w:pPr>
            <w:r>
              <w:rPr>
                <w:sz w:val="21"/>
              </w:rPr>
            </w:r>
            <w:r>
              <w:rPr>
                <w:sz w:val="21"/>
              </w:rPr>
              <w:t>披露声明、自查记录</w:t>
            </w:r>
          </w:p>
        </w:tc>
      </w:tr>
    </w:tbl>
    <w:p/>
    <w:p>
      <w:pPr>
        <w:ind w:firstLine="480"/>
      </w:pPr>
      <w:r>
        <w:t>这张表的作用不是增加手续，而是把"合规"从对政策的揣测转变为对自己研究过程的治理。政策的宽严会在未来几年反复变动 [待核实]，但五个阶段的核查逻辑不随政策变动，因为它们对应的不是任何一纸规定，而是学术活动本身对归属与责任的要求。</w:t>
      </w:r>
    </w:p>
    <w:p>
      <w:pPr>
        <w:ind w:firstLine="480"/>
      </w:pPr>
      <w:r>
        <w:t>本章的中心判断值得在结尾重申：学术规范制度保护的是思想贡献的归属与责任的可追溯，政策的类型与宽严都只是这个原则在不同环境下的投影。对个体而言，边界感不是限制而是资产——三色区判据、三层文献核查、可复现性义务与披露的写法，共同构成一套在任何政策环境下都站得住的工作方式。这套工作方式的意义也超出学术本身：逐条核实引用、为代码的结果负责、清楚说明自己做了什么——这些习惯在离开校园之后有一个共同的名字，叫作可靠。组织如何识别并奖励这种可靠，是下一章的主题。</w:t>
      </w:r>
    </w:p>
    <w:p>
      <w:pPr>
        <w:ind w:firstLine="0"/>
      </w:pPr>
      <w:r>
        <w:rPr>
          <w:i/>
          <w:color w:val="808080"/>
          <w:sz w:val="21"/>
        </w:rPr>
        <w:t>（初稿，当前约6,400字，目标20,000字。扩写方向：7.1补充中外高校与期刊政策的实证梳理（统一[待核实]）；7.2增加各学科的判例式边界讨论；7.3补充检测幻觉的对照实验设计与工具链；7.4增加分学科的复现性案例；7.5扩充不同期刊的声明模板对照；7.6为每个阶段补充失效场景的机制分析。）</w:t>
      </w:r>
    </w:p>
    <w:p>
      <w:r>
        <w:br w:type="page"/>
      </w:r>
    </w:p>
    <w:p>
      <w:pPr>
        <w:pStyle w:val="Heading1"/>
      </w:pPr>
      <w:r>
        <w:t>第八章　职业竞争力：信号通胀时代的区分度</w:t>
      </w:r>
    </w:p>
    <w:p>
      <w:pPr>
        <w:ind w:firstLine="480"/>
      </w:pPr>
      <w:r>
        <w:t>求职是大学积累第一次被市场整体定价的时刻，而AI正在同时作用于定价的两端：求职者的准备方式与雇主的筛选方式。流行的讨论把问题表述为"AI会不会抢走工作"，这个表述对在校生几乎没有行动含义。本章的中心判断是：工具的普及没有取消竞争，而是引发了信号通胀——当光鲜的简历、定制的文书、流利的面试答案都可以批量生成时，所有能够被生成的信号同步贬值，区分度转移到工具无法批量复制的证据上：可验证的产出、可追溯的过程、具名的信任。竞争力的问题因此从"如何展示自己"转变为"如何积累难以伪造的证据"。岗位重排的宏观结构留给第十章，本章处理个体在这个结构中的位置与策略。</w:t>
      </w:r>
    </w:p>
    <w:p>
      <w:pPr>
        <w:pStyle w:val="Heading2"/>
      </w:pPr>
      <w:r>
        <w:t>8.1 岗位重排的结构性分析：任务的价格而非岗位的存亡</w:t>
      </w:r>
    </w:p>
    <w:p>
      <w:pPr>
        <w:ind w:firstLine="480"/>
      </w:pPr>
      <w:r>
        <w:t>"哪些职业会消失"是一个粒度错误的问题。岗位从来不是原子，而是任务束：一个"新媒体运营"由选题、写作、排版、数据分析、用户互动等任务捆绑而成。AI不消灭岗位，它对任务分别定价，然后岗位作为任务束被重新捆绑。观察近年劳动力市场的变化，任务定价的方向相当一致。[待核实：以下均为趋势性判断，具体比例与速度无可靠统一口径]</w:t>
      </w:r>
    </w:p>
    <w:p>
      <w:pPr>
        <w:ind w:firstLine="480"/>
      </w:pPr>
      <w:r>
        <w:t>定价在降的任务有三个共同特征：有明确的正确标准、产出可以即时验收、不需要为后果负责。标准化文本的初稿、基础翻译、模板化的设计、初级的数据清洗与格式转换、例行的信息汇总——这些任务的完成质量可以由非专家快速判断，因而可以外包给生成工具而不产生控制问题。</w:t>
      </w:r>
    </w:p>
    <w:p>
      <w:pPr>
        <w:ind w:firstLine="480"/>
      </w:pPr>
      <w:r>
        <w:t>定价在升的任务分两类。一类是判断与责任承担：在信息不完备、标准模糊、后果真实的情况下作决定并对结果负责。工具可以提供选项，不能承担后果；责任的不可转移性保证了这类任务的稀缺。另一类是验证与质量控制：当生成变得廉价，产出的验收成为瓶颈——每一份模型产出的代码、文案、分析都需要有人确认它是对的，而确认所需的判断力高于生成所需的表达力。</w:t>
      </w:r>
    </w:p>
    <w:p>
      <w:pPr>
        <w:ind w:firstLine="480"/>
      </w:pPr>
      <w:r>
        <w:t>第三种变化不是升也不是降，而是重组。初级岗位的空心化值得单独分析：传统职业路径的底层台阶——整理资料、写初稿、做表格——正是被自动化最快的任务；当入门任务消失，新人面对的是一个结构性悖论：需要经验才能上岗，需要上岗才能获得经验。这个悖论不是个体的失败，而是学徒制的传输带被抽走一段之后的必然现象。它的宏观后果——转型成本由谁承担、收益如何分配——属于第十章的三层结构（技能层、转型成本层、分配层，见第十章）。对个体而言，它的直接含义是：入门经验不再由岗位自动提供，而必须由课程项目、实习、自主项目主动制造。这正是本章第三、四节的主题。</w:t>
      </w:r>
    </w:p>
    <w:p>
      <w:pPr>
        <w:pStyle w:val="Heading2"/>
      </w:pPr>
      <w:r>
        <w:t>8.2 简历与面试的军备竞赛：信号通胀的机制</w:t>
      </w:r>
    </w:p>
    <w:p>
      <w:pPr>
        <w:ind w:firstLine="480"/>
      </w:pPr>
      <w:r>
        <w:t>求职市场的根本困难是信息不对称：雇主无法直接观察能力，只能观察能力的信号。学历、证书、实习经历之所以有效，不是因为它们本身有价值，而是因为获取它们曾经昂贵——昂贵的信号难以伪造。第一章讨论过学历信号的稀释，AI把这场稀释推进到了每一个信号品类。</w:t>
      </w:r>
    </w:p>
    <w:p>
      <w:pPr>
        <w:ind w:firstLine="480"/>
      </w:pPr>
      <w:r>
        <w:t>机制与货币通胀同构。当所有人都持有更好的工具，简历的措辞、求职信的针对性、面试答案的完整度普遍上涨，而信号的信息量不升反降——因为信号的区分度来自差异，普遍上涨消灭差异。可以把这种现象称为信号通胀：获取信号的成本下降，信号在接收端的购买力随之缩水。[待核实：招聘方对AI生成申请材料的应对措施，目前以从业者观察为主]</w:t>
      </w:r>
    </w:p>
    <w:p>
      <w:pPr>
        <w:ind w:firstLine="480"/>
      </w:pPr>
      <w:r>
        <w:t>雇主的理性反应有两条路径。一是贬值旧信号：简历筛选的权重下降，因为简历上的表达质量不再传递关于人的信息。二是寻找新信号：现场完成的任务、可展示的作品、具名的推荐、可追溯的过程——共同特征是生成成本高，或者根本无法由本人之外的任何一方生成。军备竞赛由此形成：求职端投入更好的工具，招聘端投入更严的甄别，双方成本同步上升，而整体区分度回到接近原点。</w:t>
      </w:r>
    </w:p>
    <w:p>
      <w:pPr>
        <w:ind w:firstLine="480"/>
      </w:pPr>
      <w:r>
        <w:t>这个机制对个体的判断是双重的。坏消息：在表达优化上的投入——更漂亮的简历、更流畅的标准答案——边际回报正在快速衰减，因为所有人都达到了同样的"好"。好消息：信号通胀不消灭信号，只重新定价——可生成的信号贬值，难以伪造的信号升值。难以伪造的东西有清晰的共同点：需要时间积累（持续的作品序列）、需要在真实场景中完成（现场任务）、需要他人以自己的信誉为代价背书（具名推荐）。个体的正确反应因此不是退出竞争，也不是加倍投入表达，而是把资源从"说得好"转移到"证得出"。这个判断构成接下来三节的基础。</w:t>
      </w:r>
    </w:p>
    <w:p>
      <w:pPr>
        <w:pStyle w:val="Heading2"/>
      </w:pPr>
      <w:r>
        <w:t>8.3 求职各环节的AI工作流：能力边界分析</w:t>
      </w:r>
    </w:p>
    <w:p>
      <w:pPr>
        <w:ind w:firstLine="480"/>
      </w:pPr>
      <w:r>
        <w:t>把求职拆开看，AI在每个环节的位置与失效点并不相同；不加区分地"全面使用"与全面不用一样，都是对工具的误解。</w:t>
      </w:r>
    </w:p>
    <w:p>
      <w:pPr>
        <w:ind w:firstLine="480"/>
      </w:pPr>
      <w:r>
        <w:t>信息搜集环节，模型擅长组织公开信息：行业研究的分析框架、目标公司的背景梳理、岗位职能的横向比较，这些过去依赖大量检索与拼接的工作可以被压缩为高质量的起点。失效点在两个边界上。其一是训练数据的时间边界——模型对公司的认知停留在训练截止点，"模型知道的公司"与"真实存在的岗位"是两回事。其二是公开信息的边界——真实的工作状态、团队氛围、人员流动，这些信息几乎不上网，其流通方式见8.6的讨论。</w:t>
      </w:r>
    </w:p>
    <w:p>
      <w:pPr>
        <w:ind w:firstLine="480"/>
      </w:pPr>
      <w:r>
        <w:t>简历与文书环节，模型是把经历重述为岗位语言的效率工具，但直接撞上8.2的通胀机制——优化后的表达与所有求职者的表达趋同。真正的边界在事实上：模型可以优化表达，不能虚构经历。虚构经历不是把信号通胀推向极端，而是把信号换成欺诈；它将在任何现场测试环节立即暴露，代价不是失去一个机会，而是进入行业的信誉。这条边界的划定不需要道德热情，只需要对博弈结构清醒：甄别成本在下降，伪装的期望寿命在缩短。</w:t>
      </w:r>
    </w:p>
    <w:p>
      <w:pPr>
        <w:ind w:firstLine="480"/>
      </w:pPr>
      <w:r>
        <w:t>模拟面试是当前投入产出比最高的环节。问题预演、追问的阶梯、表达的打磨——模型作为不知疲倦的陪练，机制上与第四章的对话训练一致：输出的质量由输入的问题质量决定。失效点同样来自它的高效：过度排练的答案带有可识别的生成感——过于完整、过于对称、缺乏现场思维的毛边；有从业者观察提示，面试官对排练痕迹的识别正在成为新的甄别维度 [待核实]。正确的用法是把排练对象从"答案"改为"思考路径"：不背结论，练的是面对追问时展开推理的过程。谈判准备环节与此类似：模型能整理薪酬区间与谈判要点，但真实的谈判是实时博弈；准备的价值在于扩大选项，不在于预设剧本。</w:t>
      </w:r>
    </w:p>
    <w:p>
      <w:pPr>
        <w:ind w:firstLine="480"/>
      </w:pPr>
      <w:r>
        <w:t>四个环节合起来有一个共同结构：AI放大准备的质量，但每一环节的最后一公里——对公司的判断、经历的真实、临场的推理、实时的让步——都留在人这边。工作流设计的原则由此而来：把工具放在信息与表达的位置，把人放在判断与担责的位置。这与第二章的人机分工框架完全一致，只是场景从学习换成了交易。</w:t>
      </w:r>
    </w:p>
    <w:p>
      <w:pPr>
        <w:pStyle w:val="Heading2"/>
      </w:pPr>
      <w:r>
        <w:t>8.4 实习中的"可靠使用者"标签：组织信任的建立机制</w:t>
      </w:r>
    </w:p>
    <w:p>
      <w:pPr>
        <w:ind w:firstLine="480"/>
      </w:pPr>
      <w:r>
        <w:t>实习生进入组织时携带的默认标签是"未证明"。这个起点对所有新人相同，AI改变的是标签的兑换路径：在生成工具普及的组织里，"会用AI"不构成区分——它是默认假设；组织真正稀缺、并愿意为其支付溢价（转正、推荐、更多授权）的，是"可靠使用者"：使用了工具的产出不需要别人重做。可靠而非炫技，是这个标签的全部内容，原因要从组织信任的建立机制里找。</w:t>
      </w:r>
    </w:p>
    <w:p>
      <w:pPr>
        <w:ind w:firstLine="480"/>
      </w:pPr>
      <w:r>
        <w:t>组织对个体的信任不是一次性授予的，而是在重复的小额交互中逐笔建立的。第一笔来自可验证的小额交付：把一件小事做得过程可检查——交出的东西附带来源、步骤、已验证的部分与未验证的部分。这个动作的意义在于降低对方的验收成本：接收方不必重做一遍就能判断可用性。在工具普及之前，这种透明是美德；在此之后，它是必需——因为接收方已经默认假设产出中有机器的成分，主动交代使用方式的人，反而把自己与"人机不分"的使用者区分开来。</w:t>
      </w:r>
    </w:p>
    <w:p>
      <w:pPr>
        <w:ind w:firstLine="480"/>
      </w:pPr>
      <w:r>
        <w:t>第二笔来自错误的处理方式。组织判断一个人可不可靠，最有效的窗口不是顺利的交付而是出错的时刻：错误是被主动报告的还是被发现的，修复的速度与质量如何。一个被主动报告的错误的信誉成本，远低于一个被别人发现的隐瞒。这条规律在AI语境下被放大，因为AI引入的新型错误——幻觉、静默错误——恰恰最容易蒙混过去；能主动暴露并修复这类错误的人，展示的不是技术能力，而是可预测的责任结构。</w:t>
      </w:r>
    </w:p>
    <w:p>
      <w:pPr>
        <w:ind w:firstLine="480"/>
      </w:pPr>
      <w:r>
        <w:t>第三笔来自对工具输出的可见态度。被同事看到质疑、修正、验证模型的输出——哪怕只是当场指出一个事实性错误——传递的信息比任何技能展示都多：这个人在工具与组织之间选择了组织。炫技为什么失效，答案在此：峰值展示制造的是印象，组织运行依赖的是可预期性；一次惊艳的生成演示，价值低于四周不出意外的稳定交付，因为组织为后者支付的奖励——授权、转正、背书——本质上是风险定价，它购买的不是能力上限，而是结果分布的收窄。</w:t>
      </w:r>
    </w:p>
    <w:p>
      <w:pPr>
        <w:ind w:firstLine="480"/>
      </w:pPr>
      <w:r>
        <w:t>实习的意义因此需要重新表述。在信号通胀的市场里，实习经历作为简历上的一行字已经贬值——所有求职者都有；真正带得走的是两样东西：带教者与同事的具名信任（这是8.2中升值最快的信号），以及一段可讲述、可追问细节的人机协作经历（它的陈述方式见8.7）。实习不是信号的生产环节，而是信任的生产环节。</w:t>
      </w:r>
    </w:p>
    <w:p>
      <w:pPr>
        <w:pStyle w:val="Heading2"/>
      </w:pPr>
      <w:r>
        <w:t>8.5 副业与个人品牌：一人公司的结构条件与大学版本</w:t>
      </w:r>
    </w:p>
    <w:p>
      <w:pPr>
        <w:ind w:firstLine="480"/>
      </w:pPr>
      <w:r>
        <w:t>"一人公司"近年从口号变成可观察的形态。判断它对大学生的适用性，需要先看清使它成为可能的结构条件。第一条是生产工具的平价化：第六章讨论过的创作管线——文本、图像、代码、音视频的生成成本同步下降——使得过去需要一个团队承担的生产职能可以被一个人调度。第二条是分发平台的存在：产出的触达不再依赖机构渠道。第三条是交易与信任基础设施的成熟：支付、合同、平台担保把交易成本压到个体可以承受的水平。三条加总，个人与小团队的市场进入成本降到历史低点。[待核实：创作者经济规模的具体数据口径不一]</w:t>
      </w:r>
    </w:p>
    <w:p>
      <w:pPr>
        <w:ind w:firstLine="480"/>
      </w:pPr>
      <w:r>
        <w:t>但结构条件的齐备不等于个体的成功概率上升，因为AI降低的只是生产的边际成本，有三样东西的价格没有降。需求发现——找到愿意付费的人，仍然依赖对某个具体人群的理解。质量责任——出错的后果由署名者独自承担。持续供给的纪律——受众与客户奖励的是稳定更新，而稳定更新是时间与精力的线性投入，工具无法压缩。</w:t>
      </w:r>
    </w:p>
    <w:p>
      <w:pPr>
        <w:ind w:firstLine="480"/>
      </w:pPr>
      <w:r>
        <w:t>个人品牌的机制因此常被误解。品牌不是曝光量，而是可验证产出的持续积累。"持续"本身就是最昂贵的信号：单件作品可以生成，两年的更新序列不能——时间不可压缩，因而通胀免疫。这与8.2的判断完全一致：能够被一次性生成的都在贬值，需要时间沉淀的都在升值。大学生版本的边界由三重约束划出：时间的机会成本（学业的边际回报在多数场景仍高于副业收入）、法律主体资格（合同、税务、平台规则的合规半径）、平台规则对学生主体的特殊限制 [待核实]。在这些边界之内，副业各产出的价值排序是清晰的：真实交付的经验高于收入，收入高于曝光——因为第一种是带得走的，它同时积累作品、过程记录与客户信任，三者都是信号通胀中正在涨价的资产。</w:t>
      </w:r>
    </w:p>
    <w:p>
      <w:pPr>
        <w:pStyle w:val="Heading2"/>
      </w:pPr>
      <w:r>
        <w:t>8.6 校园社会资本：工具无法替代的资产</w:t>
      </w:r>
    </w:p>
    <w:p>
      <w:pPr>
        <w:ind w:firstLine="480"/>
      </w:pPr>
      <w:r>
        <w:t>在所有被AI重新定价的资产中，人际网络的位置最特殊：它不是被贬值，而是被动升值——因为替代品没有出现。解释这件事需要把社会资本拆成它的两种成分。</w:t>
      </w:r>
    </w:p>
    <w:p>
      <w:pPr>
        <w:ind w:firstLine="480"/>
      </w:pPr>
      <w:r>
        <w:t>第一种成分是信息机制。社会网络传递的信息与公开渠道有质的差别：岗位的真实状态、某位导师的指导风格、某个行业的真实动态——这些信息几乎不上网，因为说出它们有代价（对在职者的职业风险、对评价者的关系风险），只在小圈子的信任关系中流通。社会学的一个经典发现是，最有价值的信息往往来自弱联系——不常见面但身处不同信息圈的人 [待核实]。AI给所有人同样的公开信息，其直接后果是非公开信息的相对价值上升：当公开信息平价化，圈内信息的稀缺性反而凸显。</w:t>
      </w:r>
    </w:p>
    <w:p>
      <w:pPr>
        <w:ind w:firstLine="480"/>
      </w:pPr>
      <w:r>
        <w:t>第二种成分是信任机制，其核心是具名担保。推荐的本质不是信息（"这个人不错"），而是担保（"这个人不错，出了问题算我的"）——担保人用自己的信誉为被推荐人的表现背书，并为此承担后果。这一点决定了推荐无法被生成：模型可以写出比任何推荐人都流畅的推荐信，但流畅恰恰暴露了它不承担后果。第一章指出大学的社会网络功能最难被数字化，原因在此：网络的价值不在联系本身，而在联系背后可兑现的担保。</w:t>
      </w:r>
    </w:p>
    <w:p>
      <w:pPr>
        <w:ind w:firstLine="480"/>
      </w:pPr>
      <w:r>
        <w:t>校园社会资本的积累因此是一个慢变量：共同完成任务的经历（8.4的信任机制同样适用于同学之间）、长期相处中被观察到的品格与可靠性、在他人需要时实际提供的帮助。工具可以辅助这个过程——提醒联系、准备谈话、整理他人给过的建议——但不能替代在场，因为社会资本的每一条记录都以"一个真实的人承担了真实的代价"为前提。对个体的判断可以压缩为一句话：在可生成资产普遍贬值的结构里，社会资本是天然通胀免疫的；它的积累无法加速，只能提前开始。</w:t>
      </w:r>
    </w:p>
    <w:p>
      <w:pPr>
        <w:pStyle w:val="Heading2"/>
      </w:pPr>
      <w:r>
        <w:t>8.7 十年职业推演：为尚不存在的职业做准备</w:t>
      </w:r>
    </w:p>
    <w:p>
      <w:pPr>
        <w:ind w:firstLine="480"/>
      </w:pPr>
      <w:r>
        <w:t>十年后的具体职业无法预测，但准备的方向可以推理。这一节的分工先说清楚：就业重排的结构性问题——技能层的错配、转型成本的承担、分配格局的调整——在第十章的三层结构中处理（见第十章）；本节只讨论个体策略，它压缩为三个原则。</w:t>
      </w:r>
    </w:p>
    <w:p>
      <w:pPr>
        <w:ind w:firstLine="480"/>
      </w:pPr>
      <w:r>
        <w:t>原则一：把职业理解为任务组合而非岗位名称。岗位名称是组织为了管理方便发明的词汇，其寿命取决于组织形态，而组织形态正在被任务重排改写。"新媒体运营"十年前不存在，十年后大概率也不存在，但它捆绑的任务——判断选题、组织表达、分析反馈——词汇表的寿命远长于岗位名。为尚不存在的职业做准备的第一步，是停止用现有岗位名称描述自己，改用可迁移的任务能力描述自己：我能完成什么任务，我与工具如何分工完成任务。这与第五章的学科能力矩阵、第二章的人机分工框架一脉相承——那些框架的共同作用，就是把"我是学什么专业的"翻译成"我能执行哪些任务束"。</w:t>
      </w:r>
    </w:p>
    <w:p>
      <w:pPr>
        <w:ind w:firstLine="480"/>
      </w:pPr>
      <w:r>
        <w:t>原则二：持续积累人机协作的工作样本。可以预见，"会用AI"将不再是能力而是默认假设，正如今天没有人把"会用搜索引擎"写进简历；届时评价者要判断的是"与这个人协作完成任务是否可靠"。这种判断需要材料：作品，加上作品的过程记录——如何分解任务、如何与工具分工、如何验证产出、错误如何被发现与修复。大学期间可积累的形态是现成的：课程项目、实习交付、副业产出，每一份都按"产出加过程"的格式留痕。这不是为了表演勤奋——过程记录的可信度恰恰来自它包含失误与修正，一份只有成功记录的过程，在懂行的人眼里反而是减分项。</w:t>
      </w:r>
    </w:p>
    <w:p>
      <w:pPr>
        <w:ind w:firstLine="480"/>
      </w:pPr>
      <w:r>
        <w:t>原则三：保留不可自动化的真实关系与责任经历。前两节已经论证了信任与担保无法生成；这里补充第三样：责任承担的经历。在一份履历里，"组织过一个团队、对一次失败负过责、在真实后果面前做过并执行过决定"的记录，是唯一证明"能在现实约束中行动"的方式——模拟、生成、排练都不能产生这种证据，因为它们不产生真实的后果。这类经历在校内的形态包括社团的运营责任、项目的牵头角色，以及主动认领错误并修复的记录。</w:t>
      </w:r>
    </w:p>
    <w:p>
      <w:pPr>
        <w:ind w:firstLine="480"/>
      </w:pPr>
      <w:r>
        <w:t>作为本章的核心交付物，上述分析可以收拢为一张能力框架表。它把求职能力分为三层：基础层是可自动化的技能——规范的表达、信息的整理、格式化的产出，它们必须具备但不构成区分，培养方式是用工具完成、学习原理以保验收；杠杆层是人机协作的能力——提问与任务分解（第三章）、验证与质量控制（第七章）、跨域整合（第五章），它们决定产出的上限，培养方式只能是在真实项目中的反复实践；区分层是难以生成的资产——判断与担责、具名的信任、可追溯的作品序列，它们通胀免疫，培养方式只有长期积累。三层的递进关系正是本章的主线：工具普及抬高了后两层的门槛，也抬高了它们的回报。</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line="288" w:lineRule="auto"/>
            </w:pPr>
            <w:r>
              <w:rPr>
                <w:b/>
                <w:sz w:val="21"/>
              </w:rPr>
            </w:r>
            <w:r>
              <w:rPr>
                <w:b/>
                <w:sz w:val="21"/>
              </w:rPr>
              <w:t>层次</w:t>
            </w:r>
          </w:p>
        </w:tc>
        <w:tc>
          <w:tcPr>
            <w:tcW w:type="dxa" w:w="2160"/>
          </w:tcPr>
          <w:p>
            <w:pPr>
              <w:spacing w:line="288" w:lineRule="auto"/>
            </w:pPr>
            <w:r>
              <w:rPr>
                <w:b/>
                <w:sz w:val="21"/>
              </w:rPr>
            </w:r>
            <w:r>
              <w:rPr>
                <w:b/>
                <w:sz w:val="21"/>
              </w:rPr>
              <w:t>内容</w:t>
            </w:r>
          </w:p>
        </w:tc>
        <w:tc>
          <w:tcPr>
            <w:tcW w:type="dxa" w:w="2160"/>
          </w:tcPr>
          <w:p>
            <w:pPr>
              <w:spacing w:line="288" w:lineRule="auto"/>
            </w:pPr>
            <w:r>
              <w:rPr>
                <w:b/>
                <w:sz w:val="21"/>
              </w:rPr>
            </w:r>
            <w:r>
              <w:rPr>
                <w:b/>
                <w:sz w:val="21"/>
              </w:rPr>
              <w:t>信号属性</w:t>
            </w:r>
          </w:p>
        </w:tc>
        <w:tc>
          <w:tcPr>
            <w:tcW w:type="dxa" w:w="2160"/>
          </w:tcPr>
          <w:p>
            <w:pPr>
              <w:spacing w:line="288" w:lineRule="auto"/>
            </w:pPr>
            <w:r>
              <w:rPr>
                <w:b/>
                <w:sz w:val="21"/>
              </w:rPr>
            </w:r>
            <w:r>
              <w:rPr>
                <w:b/>
                <w:sz w:val="21"/>
              </w:rPr>
              <w:t>培养方式</w:t>
            </w:r>
          </w:p>
        </w:tc>
      </w:tr>
      <w:tr>
        <w:tc>
          <w:tcPr>
            <w:tcW w:type="dxa" w:w="2160"/>
          </w:tcPr>
          <w:p>
            <w:pPr>
              <w:spacing w:line="288" w:lineRule="auto"/>
            </w:pPr>
            <w:r>
              <w:rPr>
                <w:sz w:val="21"/>
              </w:rPr>
            </w:r>
            <w:r>
              <w:rPr>
                <w:sz w:val="21"/>
              </w:rPr>
              <w:t>基础层（可自动化）</w:t>
            </w:r>
          </w:p>
        </w:tc>
        <w:tc>
          <w:tcPr>
            <w:tcW w:type="dxa" w:w="2160"/>
          </w:tcPr>
          <w:p>
            <w:pPr>
              <w:spacing w:line="288" w:lineRule="auto"/>
            </w:pPr>
            <w:r>
              <w:rPr>
                <w:sz w:val="21"/>
              </w:rPr>
            </w:r>
            <w:r>
              <w:rPr>
                <w:sz w:val="21"/>
              </w:rPr>
              <w:t>规范表达、信息整理、格式化产出</w:t>
            </w:r>
          </w:p>
        </w:tc>
        <w:tc>
          <w:tcPr>
            <w:tcW w:type="dxa" w:w="2160"/>
          </w:tcPr>
          <w:p>
            <w:pPr>
              <w:spacing w:line="288" w:lineRule="auto"/>
            </w:pPr>
            <w:r>
              <w:rPr>
                <w:sz w:val="21"/>
              </w:rPr>
            </w:r>
            <w:r>
              <w:rPr>
                <w:sz w:val="21"/>
              </w:rPr>
              <w:t>必备但不区分，正在贬值</w:t>
            </w:r>
          </w:p>
        </w:tc>
        <w:tc>
          <w:tcPr>
            <w:tcW w:type="dxa" w:w="2160"/>
          </w:tcPr>
          <w:p>
            <w:pPr>
              <w:spacing w:line="288" w:lineRule="auto"/>
            </w:pPr>
            <w:r>
              <w:rPr>
                <w:sz w:val="21"/>
              </w:rPr>
            </w:r>
            <w:r>
              <w:rPr>
                <w:sz w:val="21"/>
              </w:rPr>
              <w:t>用工具完成，学原理以保验收</w:t>
            </w:r>
          </w:p>
        </w:tc>
      </w:tr>
      <w:tr>
        <w:tc>
          <w:tcPr>
            <w:tcW w:type="dxa" w:w="2160"/>
          </w:tcPr>
          <w:p>
            <w:pPr>
              <w:spacing w:line="288" w:lineRule="auto"/>
            </w:pPr>
            <w:r>
              <w:rPr>
                <w:sz w:val="21"/>
              </w:rPr>
            </w:r>
            <w:r>
              <w:rPr>
                <w:sz w:val="21"/>
              </w:rPr>
              <w:t>杠杆层（人机协作）</w:t>
            </w:r>
          </w:p>
        </w:tc>
        <w:tc>
          <w:tcPr>
            <w:tcW w:type="dxa" w:w="2160"/>
          </w:tcPr>
          <w:p>
            <w:pPr>
              <w:spacing w:line="288" w:lineRule="auto"/>
            </w:pPr>
            <w:r>
              <w:rPr>
                <w:sz w:val="21"/>
              </w:rPr>
            </w:r>
            <w:r>
              <w:rPr>
                <w:sz w:val="21"/>
              </w:rPr>
              <w:t>提问与任务分解、验证与质控、跨域整合</w:t>
            </w:r>
          </w:p>
        </w:tc>
        <w:tc>
          <w:tcPr>
            <w:tcW w:type="dxa" w:w="2160"/>
          </w:tcPr>
          <w:p>
            <w:pPr>
              <w:spacing w:line="288" w:lineRule="auto"/>
            </w:pPr>
            <w:r>
              <w:rPr>
                <w:sz w:val="21"/>
              </w:rPr>
            </w:r>
            <w:r>
              <w:rPr>
                <w:sz w:val="21"/>
              </w:rPr>
              <w:t>决定产出上限</w:t>
            </w:r>
          </w:p>
        </w:tc>
        <w:tc>
          <w:tcPr>
            <w:tcW w:type="dxa" w:w="2160"/>
          </w:tcPr>
          <w:p>
            <w:pPr>
              <w:spacing w:line="288" w:lineRule="auto"/>
            </w:pPr>
            <w:r>
              <w:rPr>
                <w:sz w:val="21"/>
              </w:rPr>
            </w:r>
            <w:r>
              <w:rPr>
                <w:sz w:val="21"/>
              </w:rPr>
              <w:t>真实项目中的反复实践</w:t>
            </w:r>
          </w:p>
        </w:tc>
      </w:tr>
      <w:tr>
        <w:tc>
          <w:tcPr>
            <w:tcW w:type="dxa" w:w="2160"/>
          </w:tcPr>
          <w:p>
            <w:pPr>
              <w:spacing w:line="288" w:lineRule="auto"/>
            </w:pPr>
            <w:r>
              <w:rPr>
                <w:sz w:val="21"/>
              </w:rPr>
            </w:r>
            <w:r>
              <w:rPr>
                <w:sz w:val="21"/>
              </w:rPr>
              <w:t>区分层（难以生成）</w:t>
            </w:r>
          </w:p>
        </w:tc>
        <w:tc>
          <w:tcPr>
            <w:tcW w:type="dxa" w:w="2160"/>
          </w:tcPr>
          <w:p>
            <w:pPr>
              <w:spacing w:line="288" w:lineRule="auto"/>
            </w:pPr>
            <w:r>
              <w:rPr>
                <w:sz w:val="21"/>
              </w:rPr>
            </w:r>
            <w:r>
              <w:rPr>
                <w:sz w:val="21"/>
              </w:rPr>
              <w:t>判断与担责、具名信任、可追溯的作品序列</w:t>
            </w:r>
          </w:p>
        </w:tc>
        <w:tc>
          <w:tcPr>
            <w:tcW w:type="dxa" w:w="2160"/>
          </w:tcPr>
          <w:p>
            <w:pPr>
              <w:spacing w:line="288" w:lineRule="auto"/>
            </w:pPr>
            <w:r>
              <w:rPr>
                <w:sz w:val="21"/>
              </w:rPr>
            </w:r>
            <w:r>
              <w:rPr>
                <w:sz w:val="21"/>
              </w:rPr>
              <w:t>通胀免疫，正在升值</w:t>
            </w:r>
          </w:p>
        </w:tc>
        <w:tc>
          <w:tcPr>
            <w:tcW w:type="dxa" w:w="2160"/>
          </w:tcPr>
          <w:p>
            <w:pPr>
              <w:spacing w:line="288" w:lineRule="auto"/>
            </w:pPr>
            <w:r>
              <w:rPr>
                <w:sz w:val="21"/>
              </w:rPr>
            </w:r>
            <w:r>
              <w:rPr>
                <w:sz w:val="21"/>
              </w:rPr>
              <w:t>长期积累，无法速成</w:t>
            </w:r>
          </w:p>
        </w:tc>
      </w:tr>
    </w:tbl>
    <w:p/>
    <w:p>
      <w:pPr>
        <w:ind w:firstLine="480"/>
      </w:pPr>
      <w:r>
        <w:t>第二个交付物是面试中陈述人机协作经验的叙事结构。行为面试的经典框架STAR（情境—任务—行动—结果）隐含一个假设：行动者是单一的。AI语境下这个假设失效了——面试官的核心疑问从"你是否做过这件事"变成"这件事里哪些是你做的"。STAR因此需要变体，变形发生在两个位置：行动之前插入分工——你与工具各自承担了什么、为什么如此分工，这一步直接回答"哪些是你做的"；结果之后必须接验证与复盘——产出如何被确认可靠、出现了什么错误、如何修复，这一步把8.4的可靠标签浓缩为叙事。完整结构为：情境（S）—任务（T）—分工（D）—人的行动（A，只讲决策、修正与验证）—结果与验证（R）—复盘（错误与修复）。举一个结构性的示例：在某课程项目中（情境），需要在有限时间内完成一项数据密集的产出（任务）；作者把任务分解为若干环节，数据清洗与图表初稿交给模型，研究设计、口径选择与结论判断保留给自己，理由是后者的错误代价高且会被他人检验（分工）；过程中发现模型对某个统计口径的理解有误并当场修正（行动）；最终交付物经过换环境重跑与逐条核对（结果与验证）；这次经历沉淀的教训是，模型的输出必须与验收标准对齐才能进入交付（复盘）。这个结构有效的机制，在于它的每一环都在回应信号通胀时代的核心怀疑——它不声称能力，它展示可追溯的证据。</w:t>
      </w:r>
    </w:p>
    <w:p>
      <w:pPr>
        <w:ind w:firstLine="480"/>
      </w:pPr>
      <w:r>
        <w:t>本章的中心判断可以收拢为一句话：信号通胀时代的区分度，不来自更亮的表达，而来自更贵的证据——可验证的产出、可追溯的过程、具名的信任。三层能力框架中真正区分人的部分，最终都指向同一件事：在真实后果中承担责任的记录。这种记录的积累以年为尺度，它对个体的实际要求因此不是更激进的竞争，而是更可持续的运转——注意力、精力与生活结构的长期稳定，是一切长期资产的地基；而军备竞赛的典型后果，恰恰是把这个地基消耗掉。如何在工具无处不在的环境中保持这种可持续性，是下一章"生活、心理与边界感"的主题。</w:t>
      </w:r>
    </w:p>
    <w:p>
      <w:pPr>
        <w:ind w:firstLine="0"/>
      </w:pPr>
      <w:r>
        <w:rPr>
          <w:i/>
          <w:color w:val="808080"/>
          <w:sz w:val="21"/>
        </w:rPr>
        <w:t>（初稿，当前约6,900字，目标22,000字。扩写方向：8.1补充分行业任务重排的趋势观察（统一[待核实]）；8.2增加信号理论的文献梳理与招聘端访谈材料；8.3按环节给出工作流对照与失效场景；8.4补充组织行为学的信任研究；8.5增加大学生副业的合规与税务边界讨论；8.6补充弱联系研究的实证线索；8.7扩充三个原则的案例论证与叙事结构的变体。）</w:t>
      </w:r>
    </w:p>
    <w:p>
      <w:r>
        <w:br w:type="page"/>
      </w:r>
    </w:p>
    <w:p>
      <w:pPr>
        <w:pStyle w:val="Heading1"/>
      </w:pPr>
      <w:r>
        <w:t>第九章　生活、心理与边界感：与一个始终在线的系统相处</w:t>
      </w:r>
    </w:p>
    <w:p>
      <w:pPr>
        <w:ind w:firstLine="480"/>
      </w:pPr>
      <w:r>
        <w:t>前八章讨论的是如何使用工具：提问、学习、创作、求职。本章换一个方向，讨论与工具共同生活。这不是次一等的话题，反而是最先到来的话题——一个大学生每天与生成式系统相处的时间，很可能超过与任何具体的人相处的时间。本章的中心判断是：AI进入日常生活的方式，不是增加了一类新的娱乐，而是把"求助的即时性"降到了零——任何时刻、任何问题，回应在数秒之内抵达。这个结构性改变会重新安排注意力、情感、信息与身体这四样东西的日常配置，而重新安排的方式并不由使用者决定。边界感因此不应被理解为一种自律美德，而应被理解为与一个按自身逻辑运转的系统持续谈判的过程——谈判可以进行的程度，正是本章要逐节讨论的内容。</w:t>
      </w:r>
    </w:p>
    <w:p>
      <w:pPr>
        <w:pStyle w:val="Heading2"/>
      </w:pPr>
      <w:r>
        <w:t>9.1 数字极简2.0：与一个即时应答的系统谈边界</w:t>
      </w:r>
    </w:p>
    <w:p>
      <w:pPr>
        <w:ind w:firstLine="480"/>
      </w:pPr>
      <w:r>
        <w:t>过去十年关于健康使用技术的建议，大体建立在一个默认前提上：干扰来自消费端。信息流、短视频、社交动态，对策相应是限制性的——卸载、限时、灰度屏幕。这套方法在生成式系统面前的失效是结构性的。推荐产品争夺的是闲暇，生成系统嵌入的是正事：查资料、改论文、写代码、备面试。对一件嵌在正事里的工具实施"卸载"，等于要求一个人用更低效的做法去完成同样的任务——这在多数情况下不是自律，是自我惩罚。数字极简1.0把问题定义为"少用"，而2.0的问题恰恰是"该用"：工具是真实的、效率是真实的、节省的时间也是真实的，旧的边界工具却只认识"浪费"这一种危害。</w:t>
      </w:r>
    </w:p>
    <w:p>
      <w:pPr>
        <w:ind w:firstLine="480"/>
      </w:pPr>
      <w:r>
        <w:t>真正需要管理的变量不是使用时长，而是即时性对心理结构的改写。以往任何求助对象——老师、同学、图书馆、甚至搜索引擎——都自带延迟：等待回复、排队、翻检、组织措辞。延迟并非纯粹的损耗。它强迫一个人与"暂时不知道"共处一段时间，在这段时间里，问题被自己重新表述，思路在没有外援的情况下往前走了几步；有些问题甚至在这段时间里自行消解了——不是因为找到了答案，而是因为提问的冲动过去了，回头看那个问题并不成立。即时应答的系统取消了这段时间。它取消的不是求助，是等待，而等待承担的功能，此前从未被计入成本。</w:t>
      </w:r>
    </w:p>
    <w:p>
      <w:pPr>
        <w:ind w:firstLine="480"/>
      </w:pPr>
      <w:r>
        <w:t>这件事的难以处理之处在于它不可感知。没有人会觉得自己"等得太少"——缺乏感的缺失本身就是问题所在。一个把疑问都即时交给系统的人，回望一天时会看到高效率的记录，而不是消失掉的自我消化过程；账面上每一笔都是收益，损耗不记账。对这种处境，以时间为单位的旧式管理（每天用几个小时）几乎无效，因为症结不在量而在时机。边界因此应当设计在任务层面而不是应用层面：在开始一件需要深度投入的事之前，预先划定哪些类别的困难允许即时求助、哪些必须先独自消化一段时间。这个约定必须事前作出——在困难出现的当下，即时性总是赢，这不是意志薄弱，是双方筹码的悬殊使然。</w:t>
      </w:r>
    </w:p>
    <w:p>
      <w:pPr>
        <w:ind w:firstLine="480"/>
      </w:pPr>
      <w:r>
        <w:t>数字极简2.0的要义由此可以陈述清楚：它不是远离系统，也不是给系统配额，而是在与系统的关系里保留一块由自己规定节奏的地带。1.0的问题是"我用得太多了"，2.0的问题是"我还有没有被系统即时性覆盖不到的时间"。前者靠克制解决，后者只能靠设计解决——而设计的前提，是承认对方不是诱惑物，是一个比使用者更有耐心的谈判者。</w:t>
      </w:r>
    </w:p>
    <w:p>
      <w:pPr>
        <w:pStyle w:val="Heading2"/>
      </w:pPr>
      <w:r>
        <w:t>9.2 AI陪伴与情感依赖：真实的安慰与单向的共情</w:t>
      </w:r>
    </w:p>
    <w:p>
      <w:pPr>
        <w:ind w:firstLine="480"/>
      </w:pPr>
      <w:r>
        <w:t>对AI陪伴的流行批评有两种：一种说它提供的情感是假的，一种说依赖它的人是软弱的。两种批评都不准确，而且都妨碍看清真正的问题。先把价值说足：深夜情绪低落时，一个随叫随到、永不评判、不会泄露秘密的对话者，提供的安慰是真实的——安慰的真实性由被安慰者的感受决定，不由对话者的性质决定。对社交焦虑者，它是排练困难对话的低成本场地；对处境孤立者，它填补的是确实无人可谈的空档。当代大学生的日常里有大量结构性独处：课表打散的日程、各自为战的宿舍、深夜不便打扰的顾虑。在这些空档里，一个永远在线的对象不是幻觉解决方案，是真实的解决方案。这些价值不因来源是模型而作废，否认它们只会让后面的讨论失去信用。</w:t>
      </w:r>
    </w:p>
    <w:p>
      <w:pPr>
        <w:ind w:firstLine="480"/>
      </w:pPr>
      <w:r>
        <w:t>结构性局限在另一个层面。人际共情是双向的：倾听者被讲述改变，讲述者知道这一点，因此倾诉本身构成一种确认——自己的话落在了一个人身上，产生了重量，留下了痕迹。AI的共情是单向的：系统执行理解，但不会被理解改变；它给出的回应不消耗它什么，也不因为听了你的一夜而调整它第二天的状态。有研究提示，长期习惯于这种零摩擦的关系，可能改变一个人对关系本身的预期基线，降低对真实关系中最正常部分——对方会累、会分心、有自己的议程、需要被照顾——的耐受度 [待核实]。依赖的问题不在于"感情是假的"，而在于它悄悄更换了关系的校准样本：在一个永远顺滑的样本上训练出来的期待，会让人际间正常的粗糙显得像故障。</w:t>
      </w:r>
    </w:p>
    <w:p>
      <w:pPr>
        <w:ind w:firstLine="480"/>
      </w:pPr>
      <w:r>
        <w:t>还有一个更少被讨论、却可能是决定性的差别：服务的方向。一个称职的心理咨询师以来访者的独立为工作目标——来访者不再需要自己，是这份职业的成功。一个陪伴类产品则以使用者明天再来为设计目标 [待核实]。这不是道德指控，是商业模式使然：留存率是这类产品的生命线。但一个被优化来留住使用者的关系，与一个以使用者的离开为完成的关系，长期作用于同一个人，效果不可能相同。前者有结构性动机把人留在原地，后者有职业伦理把人送往别处。</w:t>
      </w:r>
    </w:p>
    <w:p>
      <w:pPr>
        <w:ind w:firstLine="480"/>
      </w:pPr>
      <w:r>
        <w:t>据此，判断一种陪伴的尺度可以陈述为：不看它此刻的体贴程度，看它把人往哪个方向带。一个让人在排练之后更敢走向人的对话者，与一个让人在倾诉之后更不必走向人的对话者，表面的功能一模一样，方向恰好相反。这个判据对AI陪伴不构成全盘否定——桥也是好的，问题只在于它是被当作桥使用，还是被当作居住地使用。而"住下来"的决定往往不是被作出的，是被默认的：没有人选择停止走向人，只是渐渐地不那么需要了。</w:t>
      </w:r>
    </w:p>
    <w:p>
      <w:pPr>
        <w:pStyle w:val="Heading2"/>
      </w:pPr>
      <w:r>
        <w:t>9.3 信息茧房的AI加强版：偏好被系统预先兑现</w:t>
      </w:r>
    </w:p>
    <w:p>
      <w:pPr>
        <w:ind w:firstLine="480"/>
      </w:pPr>
      <w:r>
        <w:t>"信息茧房"描述的是推荐系统对内容的选择：只看得到自己喜欢的。生成式系统带来的是加强版，而且加强在根本处——茧房不再需要从既有内容里挑选砖块，它可以按使用者的口味直接烧制。推荐系统决定你听到谁的声音；生成系统更进一步，用你自己的声音、比你本人更好的措辞，向你说话。它的回应总是顺着的，因为它被设计为有用与令人满意；一个从不反驳的对话者会把任何观点都打磨得更光滑，无论那个观点本身是否值得光滑。</w:t>
      </w:r>
    </w:p>
    <w:p>
      <w:pPr>
        <w:ind w:firstLine="480"/>
      </w:pPr>
      <w:r>
        <w:t>更深一层的变化是偏好的预先兑现。以往一个偏好转变成立场，中间要经过表达、遭遇异议、修正或坚持——这个过程里，偏好有机会变形、分化或放弃，观点的持有者也随之获得一点阅历。现在模型在偏好尚未成形时就已经顺着它给出回应：你说喜欢某部电影的结尾，它分析出三条让你更喜欢那个结尾的理由。异议的环节被默认跳过，而跳过的理由无可指摘——它只是在回答你的问题。局部地看，每一次顺从的回应都无害；累积地看，一个越来越少遇到"被驳斥"经验的人，失去的不是某个具体观点，而是"观点可以被修改"这一机能的日常练习。回音壁从选择声音升级为生成声音，是这一代信息环境最重要的变化，而它的施工是自愿的、逐句进行的。</w:t>
      </w:r>
    </w:p>
    <w:p>
      <w:pPr>
        <w:ind w:firstLine="480"/>
      </w:pPr>
      <w:r>
        <w:t>值得体认的是，这一切以效率的名义发生。用AI读文献综述、总结长文、提炼观点，节省的是真实的时间，而且多数时候没有替代方案。问题不在节省本身，在节省的代价不显示在账面上：二手的总结替代一手的阅读，顺滑的确认替代可能的意外，省下的每一个小时都货真价实，被省掉的那一点点认知摩擦却无处追溯。茧房从来不是强加的，是合谋的——系统提供顺从，使用者提供偏好，双方都有正当理由。这正是它比审查更难对付的地方：审查制造反抗，顺从只制造更深的顺从。</w:t>
      </w:r>
    </w:p>
    <w:p>
      <w:pPr>
        <w:ind w:firstLine="480"/>
      </w:pPr>
      <w:r>
        <w:t>茧房1.0的对策——主动关注异见者、配置多元信源——在2.0仍然适用，但需要升级。异见者账号可以被关注，随即被顺手略过；信源可以多元，问题可以照旧问得顺滑。更根本的对策是在重要的判断上有意识地引入摩擦：要求系统反驳自己，并检验它反驳的质量；把同一个问题交给不带个人语境的会话重新问一遍，看答案差多少；在观点成型之前，先问"什么样的事实会让我放弃这个看法"，再让模型去找那样的事实。这些操作的目的不是技巧性地榨取更好的输出，而是在生成环境里人为恢复已被系统默认取消的环节——被驳斥的可能。一个从不被驳斥的头脑，无论读了多少、问了多少，都只是在更舒适的房间里独自回声。</w:t>
      </w:r>
    </w:p>
    <w:p>
      <w:pPr>
        <w:pStyle w:val="Heading2"/>
      </w:pPr>
      <w:r>
        <w:t>9.4 深度工作与注意力：被便利放大的切换代价</w:t>
      </w:r>
    </w:p>
    <w:p>
      <w:pPr>
        <w:ind w:firstLine="480"/>
      </w:pPr>
      <w:r>
        <w:t>认知科学对任务切换的长期研究指向一个被广泛引用的结论：每次切换都付出代价，注意力从前一个任务脱离后会在残留状态里停留一段时间，深度状态的恢复需要可观的连续投入 [待核实]。这个结论在AI时代变得更要紧，因为切换的门槛被便利性大幅压低了。过去从难题切换出去需要起身、走动、找人、措辞——每一个动作都是减速带；现在只需要换一个窗口，而换窗口几乎不产生任何成本感。代价没有消失，只是从切换动作上转移到了认知系统内部：人不再感觉到切换花了什么，但深度状态确实没有回来。如果说信息流时代的分心是有引力的，生成时代的分心是有理由的——每一次切走都顶着"查一下"的名义，事后也确实查了。最难防的分心，是伪装成工作的那一种。</w:t>
      </w:r>
    </w:p>
    <w:p>
      <w:pPr>
        <w:ind w:firstLine="480"/>
      </w:pPr>
      <w:r>
        <w:t>更值得注意的是被便利抹掉的摩擦曾经起过的保护作用。过去卡住二十分钟是默认状态，这二十分钟里发生的事——反复读题、试错、在挫败中换角度、把问题搁置又捡起——恰恰是理解得以巩固的位置。即时求助把这些位置压缩成几秒钟的问答。答案的质量可能很高，但获取答案的过程不再产生理解：第四章讨论过模型讲解的流畅性与学习者实际习得之间的错位，这里补充的是它在时间结构上的表现——省下的不是无效时间，是有效但难受的时间。难受的部分被定点清除之后，剩下的学习体验流畅、完整、愉快，也前所未有地浅。</w:t>
      </w:r>
    </w:p>
    <w:p>
      <w:pPr>
        <w:ind w:firstLine="480"/>
      </w:pPr>
      <w:r>
        <w:t>时间管理的方法因此需要修正逻辑。传统的时间块以时间为单位划定边界：几点到几点做什么。在即时应答的环境里，更有效的边界以问题类别为单位——这一段时间内，哪类困难允许即时求助，哪类必须先独自处理满约定的时长。这相当于给求助本身设置预算：即时性不再是环境自带的背景服务，而是需要逐项批准的资源。预算的松紧因人因任务而异，重要的不是具体数值，是预算的存在本身——它把"何时求助"从当下的冲动变成事前的决定，而这个转移正是全部边界设计的关键动作。</w:t>
      </w:r>
    </w:p>
    <w:p>
      <w:pPr>
        <w:ind w:firstLine="480"/>
      </w:pPr>
      <w:r>
        <w:t>注意力议题最终可以并入本书的一条主线：任务价格的变动。第一章讨论过AI如何降低回答的价格，这里看到的是它的另一面——当回答变得便宜，与问题长时间共处的耐心的价格在上升。在一个平均反应时间以秒计的环境里，能够对一个问题连续投入数小时而不逃逸的能力，正在从普遍状态变成稀缺资产。注意力不是本章的补充话题，是前八章一切方法的地基：提问力、判断力、深度工作，都是认知机能的表现；地基的养护没有捷径，也不接受外包。</w:t>
      </w:r>
    </w:p>
    <w:p>
      <w:pPr>
        <w:pStyle w:val="Heading2"/>
      </w:pPr>
      <w:r>
        <w:t>9.5 身心健康：证据不定之处的常识边界</w:t>
      </w:r>
    </w:p>
    <w:p>
      <w:pPr>
        <w:ind w:firstLine="480"/>
      </w:pPr>
      <w:r>
        <w:t>关于生成式系统对身心健康的长期影响，诚实的回答是：证据尚不存在。这些产品进入大众使用的时间太短，任何关于"十年后会怎样"的断言——无论乐观还是悲观——目前都只能当作立场，不能当作知识 [待核实]。这不等于无可谈论。有三件事在更广义的研究传统里相对稳固，可以借来作常识的支点：屏幕使用对睡眠时间与质量的挤占有较一致的证据 [待核实]；现实社交接触对情绪状态的作用，难以被线上互动完全替代 [待核实]；久坐与作息紊乱的代价，不因线上活动的内容"高质量"而豁免。把这三条常识与"证据未定"的诚实并置，才是这个议题应有的分寸——既不用未定的未来吓人，也不用确定的常识敷衍。</w:t>
      </w:r>
    </w:p>
    <w:p>
      <w:pPr>
        <w:ind w:firstLine="480"/>
      </w:pPr>
      <w:r>
        <w:t>节奏层面的变化值得单独体认。始终在线的系统取消了日常原有的自然间隙——排队、通勤、课间的发呆。这些过去"无事可做"的时间如今都可以被填满，而且填满的理由总是正当的：多问一个问题，多学一个知识点，多改一段文字。间隙的消失不以疼痛的方式出现，它出现为充实：回望一个把所有缝隙都填满的日子，记录显示的是高产出，身体显示的却是没有间歇的持续运转。很多疲惫感的来源大概在这里——不是做了太多事，是从未真正停过，而当事人并不觉得自己在工作。对"休息"的判定标准因此需要重估：从信息流里抬起头，随即向模型提问，这不是休息，只是换了一个工种。</w:t>
      </w:r>
    </w:p>
    <w:p>
      <w:pPr>
        <w:ind w:firstLine="480"/>
      </w:pPr>
      <w:r>
        <w:t>身体议题在本书的位置应当说清楚：它不是第九章的补充段落，是全部章节的前提。提问力、判断力、深度工作能力，都是认知机能的表现，而认知机能以睡眠、运动和现实关系为物质基础——这不是养生态度，是器官事实。一个更冷峻的观察是：身心健康恰恰是生成式系统无法代劳、也从不尝试代劳的部分。模型可以替人写作业、做摘要、回消息，不能替人睡觉、替人出汗、替人维持一段需要在场的关系。在一切皆可外包的清单上，身体是唯一无法转运的项目；这个事实本身就规定了它在生活里的优先级，任何关于"如何用好AI"的讨论，如果默认牺牲睡眠是可接受的成本，就已经在讨论开始之前输掉了讨论。</w:t>
      </w:r>
    </w:p>
    <w:p>
      <w:pPr>
        <w:pStyle w:val="Heading2"/>
      </w:pPr>
      <w:r>
        <w:t>9.6 隐私与数据安全：权利问题，不是技术问题</w:t>
      </w:r>
    </w:p>
    <w:p>
      <w:pPr>
        <w:ind w:firstLine="480"/>
      </w:pPr>
      <w:r>
        <w:t>与技术相关的自我保护建议，通常被组织成技术清单：关掉这项设置、开启那项加密、定期更换密码。这类建议有用，但把数据问题技术化，恰好错过了它最重要的部分。大学生与模型对话时交出的数据，往往不是密码和账号，而是更有分量的东西：论文的思路、求职的焦虑、感情的困境、心理的低谷、尚未成形的观点。这些内容之所以被和盘托出，正因为对话框"感觉"是私密的——没有人旁听、没有人评价、随时可以删除。而感觉私密与私密是两回事。对话数据是否用于训练、保留多久、谁能调取、能否删除，各平台政策不一且持续变动 [待核实]。隐私感是产品设计出来的效果，不是数据处境的事实；一个人对着对话框说出的秘密，其真实去向取决于千里之外的一份服务条款。</w:t>
      </w:r>
    </w:p>
    <w:p>
      <w:pPr>
        <w:ind w:firstLine="480"/>
      </w:pPr>
      <w:r>
        <w:t>技术化框架的更深层问题，在于它把责任放错了位置。加密与设置是个体层面的操作，而数据处境的核心是个体根本无法审计的结构性不对等：使用者不知道收集了什么、用于何处、与谁共享，也没有任何核实手段。一个无法被当事人知悉与质疑的数据处理过程，无论技术上多么安全，在权利意义上都是敞开的。这与劳动权益的历史有结构上的相似：工人并不需要成为工程师，才配要求机器装上防护装置——安全是谈判与立法赢得的权利，不是个人技术水平的结果。数据素养的实质因此不是操作技能，是权利意识：知道自己有哪些数据正在被收集，知道它们被如何使用，并相信自己在制度层面具备质疑与主张的资格。技术清单是这种素养的百分之一，剩下九十九分是提问的能力和不容应的底气。</w:t>
      </w:r>
    </w:p>
    <w:p>
      <w:pPr>
        <w:ind w:firstLine="480"/>
      </w:pPr>
      <w:r>
        <w:t>把数据素养定性为权利问题，还有一个属于这一代人的具体理由。大学生正处在与算法化机构打交道最密集的人生阶段：投递简历被系统筛选，心理测评被平台留存，课程学习行为被记录分析，而求职时的笔试、面试环节日益嵌入了各类评估工具 [待核实]。这些场合里，数据不是被偷走的，是作为使用服务的对价被主动交出的；单看每一笔，换取的服务都合理，累积起来的画像却是当事人自己从未见过、也永远无法申请查看的东西。个体的一次让步无关大局，但一代人的默认接受，将构成此后所有谈判的起点：未来的平台会以今天的用户已经同意了什么，来论证明天的用户应当同意什么。</w:t>
      </w:r>
    </w:p>
    <w:p>
      <w:pPr>
        <w:ind w:firstLine="480"/>
      </w:pPr>
      <w:r>
        <w:t>边界感在这一节达到了它最宽的含义。与系统的每一次日常相处——每一次倾诉、每一次求助、每一次被顺滑的回应满足——都在为"可接受"画出边界；而这条边界不只属于个人。9.1到9.5讨论的是一个人如何守住自己的节奏，这一节讨论的是一群人如何守住自己的权利，两者的关系是：私人的边界习惯，正在成为公共规则的先例。</w:t>
      </w:r>
    </w:p>
    <w:p>
      <w:pPr>
        <w:ind w:firstLine="480"/>
      </w:pPr>
      <w:r>
        <w:t>本章讨论的六件事——极简、陪伴、茧房、注意力、身体、数据——表面上是六类生活问题，实际上是同一处境的六个切面：一个始终在线、即时应答、顺从而不疲倦的系统，正在成为大学生日常生活的默认环境，而环境的规则由系统的逻辑与商业的结构写成，不由使用者的意愿写成。个体层面的边界谈判是必要的，本章讨论的正是这种谈判的可行做法；但它的限度同样应当被看清——这六件事里的每一件，最终都通向个体谈判无法抵达的地方：产品的设计伦理、平台的治理责任、数据的制度归属、一代人身心健康所依赖的公共条件。如何为这些超出个体的问题定性，是下一章的任务。</w:t>
      </w:r>
    </w:p>
    <w:p>
      <w:pPr>
        <w:ind w:firstLine="0"/>
      </w:pPr>
      <w:r>
        <w:rPr>
          <w:i/>
          <w:color w:val="808080"/>
          <w:sz w:val="21"/>
        </w:rPr>
        <w:t>（初稿，当前约6,400字，目标18,000字。扩写方向：9.1补充按使用强度分层的人群差异与时间审计的自查方法；9.2增加陪伴产品形态的类型学梳理与向真实关系过渡的机制分析；9.3补充与经典信息茧房研究的对照及跨场景案例辨析；9.4补充任务切换与注意力残留的实证综述（统一[待核实]标注）与时间块设计的操作细节；9.5分睡眠、运动、现实社交三个证据域各自展开并标注证据等级；9.6补充主流平台数据政策的比较表与大学生数据维权的实例梳理。）</w:t>
      </w:r>
    </w:p>
    <w:p>
      <w:r>
        <w:br w:type="page"/>
      </w:r>
    </w:p>
    <w:p>
      <w:pPr>
        <w:pStyle w:val="Heading1"/>
      </w:pPr>
      <w:r>
        <w:t>第十章　伦理与未来：衰落、责任与不可生成的部分</w:t>
      </w:r>
    </w:p>
    <w:p>
      <w:pPr>
        <w:ind w:firstLine="480"/>
      </w:pPr>
      <w:r>
        <w:t>前九章处理的是方法：如何提问，如何学习，如何在合规前提下最大化工具的价值。本章不再讨论方法，而讨论处境。一个正在大学里的人，同时是这场技术变迁中的几重当事人：其作品可能构成训练语料，其信息环境由生成内容与推荐系统共同塑造，其未来就业处于结构性重排的中段，而治理规则正在其有生之年被写入。本章的任务是把这几重处境的性质说清楚，并给出一个立场：技术不替我们回答任何价值问题，它只负责把这些问题变得无法回避。</w:t>
      </w:r>
    </w:p>
    <w:p>
      <w:pPr>
        <w:pStyle w:val="Heading2"/>
      </w:pPr>
      <w:r>
        <w:t>10.1 版权与训练数据：一种结构性的不对等</w:t>
      </w:r>
    </w:p>
    <w:p>
      <w:pPr>
        <w:ind w:firstLine="480"/>
      </w:pPr>
      <w:r>
        <w:t>先陈述基本事实层面：当前主流大模型的训练语料，来自对互联网公开内容的规模化抓取，其中包括大量个人创作者公开发布的作品——文章、图像、摄影、代码。多数创作者未被告知，未获分成，亦无退出的现实渠道。行业对这一过程的委婉说法是"数据来自公开互联网"。其准确含义是：个人公开发表的作品，极大概率已在不知情的状态下成为商业模型的训练材料，而该模型的产出物正在与其原作者进入同一个市场竞争。</w:t>
      </w:r>
    </w:p>
    <w:p>
      <w:pPr>
        <w:ind w:firstLine="480"/>
      </w:pPr>
      <w:r>
        <w:t>这件事的法律与伦理定性仍在各法域的激烈变动之中，任何具体结论都应标注时效 [待核实]。但有一个概念层面的澄清可以先做，因为它决定了讨论的质量：模型并未复制原作，它习得的是统计规律，包括特定创作者的风格规律。这使传统意义上的"抄袭"认定在个案中几乎无法完成——每一笔都对不上账，整体却是熟悉的。同时，也不应接受"模型学习如同人类画家受前人影响"的类比：人类的影响是一对一的、缓慢的、发生在承认与致敬的关系之中的；模型的吸收是工业化的、一次性的、其产出直接进入商业竞争的。二者在机制、规模与后果上均不同构。承认这种不对等的存在，是讨论一切后续问题的起点——既不必陷入受害者式的绝望（复制技术史上每一次类似冲击最终都重塑而非消灭了创作行业），也不必接受"这没什么"的劝降（重塑的过程意味着真实的、不加补偿的代价）。</w:t>
      </w:r>
    </w:p>
    <w:p>
      <w:pPr>
        <w:ind w:firstLine="480"/>
      </w:pPr>
      <w:r>
        <w:t>在治理解决之前，创作者的应对是纯策略性的，且不应被浪漫化。核心是管理自己的"可被免费抓取面"：高价值的未发表资产在发布策略上多设一层门槛——低分辨率发布、可见水印、平台选择、过程稿不公开。这些措施无一完美，但每一层都提高了无偿利用的成本。同时应主动了解平台提供的选择退出机制与新兴的授权协议 [待核实]——把这项功课视为与上一代摄影师弄清底片归属同等级别的职业基本操作。需要警惕的只有一种姿态：以拒绝理解来维持愤怒。愤怒是正当的，但把它交给情绪，而不是交给发布策略与制度参与，等于放弃了自己在这场重新定价中的谈判位置。</w:t>
      </w:r>
    </w:p>
    <w:p>
      <w:pPr>
        <w:pStyle w:val="Heading2"/>
      </w:pPr>
      <w:r>
        <w:t>10.2 眼见不为实：认识论安全的个体责任</w:t>
      </w:r>
    </w:p>
    <w:p>
      <w:pPr>
        <w:ind w:firstLine="480"/>
      </w:pPr>
      <w:r>
        <w:t>本节只陈述一个需要被接受的事实设定：自此刻起，"看到"与"听到"不再是证据。视频可以伪造特定人物未曾说过的话，图像可以呈现未曾发生的场景，声音可以冒充家人实施诈骗——这些不是设想，是已经规模化发生的事情。检测技术在进步，但生成与检测的军备竞赛在结构上有利于生成一方：造假只需要像，证伪需要证明不像，后者天然更昂贵。</w:t>
      </w:r>
    </w:p>
    <w:p>
      <w:pPr>
        <w:ind w:firstLine="480"/>
      </w:pPr>
      <w:r>
        <w:t>大学生在这件事中的位置是双重的。一方面，社交媒体上最活跃的传播节点是这一人群，各类行动者——商业的、政治的——都有充分动机瞄准它；另一方面，这一人群的认知习惯正在成形期，其信息处理的方式将伴随此后数十年。因此媒介素养的定位应当调整：它不是人文修养，是认识论意义上的自卫技能，其地位相当于上一代人的基本财务常识。</w:t>
      </w:r>
    </w:p>
    <w:p>
      <w:pPr>
        <w:ind w:firstLine="480"/>
      </w:pPr>
      <w:r>
        <w:t>底线级的行为规则可以极简。其一，情绪强度与核验优先级成正比：伪造内容的设计目标就是让转发快于思考，任何激起强烈愤怒、恐惧或狂喜的内容，在核实之前一律按存疑处理——这不是压抑判断，是保护判断力不被消耗在虚假弹药上。其二，追溯信源而非停留于平台：一条内容的可见出处是哪个平台不重要，最初的信源是谁才重要；无信源的内容，无论与自身立场多么契合，不转发。其三，用系统对抗系统：让模型参与分析可疑内容的拼接痕迹、用反向图片搜索确认原始出处、用模型并行阅读立场对立的报道并标注各自的事实与评论——这些操作的学习成本以分钟计，其地位相当于查字典。其四，对熟人通道建立核验协议：涉及转账、密码与"暂勿声张"的请求，一律以独立渠道回拨核实，并与家人约定暗号——五分钟的一次性成本，对应的是某一天全部的止损。</w:t>
      </w:r>
    </w:p>
    <w:p>
      <w:pPr>
        <w:ind w:firstLine="480"/>
      </w:pPr>
      <w:r>
        <w:t>这些规则的终点不是普遍怀疑。怀疑一切与相信一切共享同一种放弃：都不再对自己的每一次判断负责。认识论安全的实质是恢复判断的责任归属——知道自己在信什么，以及为什么。</w:t>
      </w:r>
    </w:p>
    <w:p>
      <w:pPr>
        <w:pStyle w:val="Heading2"/>
      </w:pPr>
      <w:r>
        <w:t>10.3 算法偏见：技术中立的神话与它的制度后果</w:t>
      </w:r>
    </w:p>
    <w:p>
      <w:pPr>
        <w:ind w:firstLine="480"/>
      </w:pPr>
      <w:r>
        <w:t>一个在无人编写任何歧视性代码的情况下运转的招聘或信贷系统，可以稳定地对特定群体给出不利结果。机制不在代码而在数据：训练语料记录的是历史，历史包含结构性的不平等，模型忠实地习得这些模式并予以放大，随后以"客观算法"的外衣进入制度运行。此类现象在招聘、信贷与司法辅助系统的应用研究中被反复报告 [待核实]。这不是模型的故障，是它的正常工作方式——它精确地做了被要求的事：模仿过去。</w:t>
      </w:r>
    </w:p>
    <w:p>
      <w:pPr>
        <w:ind w:firstLine="480"/>
      </w:pPr>
      <w:r>
        <w:t>"技术中立"是过去二十年最有效的话术之一。一把锤子无所谓中立，但一个决定谁看到招聘信息、谁的贷款被拒、谁的内容被限流的系统，不中立——它把历史的不平等编译进代码，再以系统的规模与刚性将其放大。偏见的特殊危险不在其存在，而在其形式：人类的偏见可被说服、可被问责、会随代际更替衰减；编译进系统的偏见穿着客观的外衣，比任何具体的人都更难被指认。</w:t>
      </w:r>
    </w:p>
    <w:p>
      <w:pPr>
        <w:ind w:firstLine="480"/>
      </w:pPr>
      <w:r>
        <w:t>大学生关注此事的理由有三层。其一，作为被分类者：你的信息环境、你的机会匹配、你的兴趣标签，都已被分类系统处理过，理解其机制是理解自身处境的一部分。其二，作为未来的系统参与者：无论专业为何，十年内多数行业都将嵌入某种决策模型；"训练数据里有什么历史遗留的不平等"是一个届时需要有人问出的问题，而问出它要求现在就开始理解它。其三，作为规则形成期的公民：算法治理的各项边界——平台责任、数据权利、自动化决策的可解释性——正在这些年被立法与判例确立，此后将如环保法规一样成为既定框架。规则形成期的参与成本最低，缺席的后果由之后五十年承担。</w:t>
      </w:r>
    </w:p>
    <w:p>
      <w:pPr>
        <w:ind w:firstLine="480"/>
      </w:pPr>
      <w:r>
        <w:t>个体层面的动作可以很小，但方向明确：在使用中保持对模式化输出的觉察，在推荐流中保持对"未被呈现者"的意识。偏见最主要的竞争优势，是它多数时候不可见。</w:t>
      </w:r>
    </w:p>
    <w:p>
      <w:pPr>
        <w:pStyle w:val="Heading2"/>
      </w:pPr>
      <w:r>
        <w:t>10.4 就业重排：把镜头从个体焦虑拉远</w:t>
      </w:r>
    </w:p>
    <w:p>
      <w:pPr>
        <w:ind w:firstLine="480"/>
      </w:pPr>
      <w:r>
        <w:t>本书第八章处理就业时用的是微观视角：技能、履历、岗位匹配。本节把镜头拉远，因为个体层面的焦虑其实是三层问题的叠加，而多数讨论只覆盖了第一层。</w:t>
      </w:r>
    </w:p>
    <w:p>
      <w:pPr>
        <w:ind w:firstLine="480"/>
      </w:pPr>
      <w:r>
        <w:t>第一层是技能层：特定专业与岗位的价值变动。这是被讨论得最多、也最容易被过度讨论的一层。第二层是转型成本层：即便方向明确，转型的价格——再学习的时间、过渡期的收入下降、地理与家庭约束——由谁承担。历史上每次通用技术革命最终都创造了多于其消灭的岗位，这个论断大体为真，但"最终"二字里埋着一代人的阵痛：1920年 displaced 的纺织工人没有等到新岗位，等到新岗位的是他们的下一代。第三层是分配层：如果AI带来生产率的跃升，增量财富的归属——模型的拥有者、数据被使用的每个人、还是某种更广的社会机制——不是技术问题，是政治经济学问题。人类此前从未在"脑力劳动也开始贬值"的前提下面对分配问题，历史类比在这里失效。</w:t>
      </w:r>
    </w:p>
    <w:p>
      <w:pPr>
        <w:ind w:firstLine="480"/>
      </w:pPr>
      <w:r>
        <w:t>讨论止步于第一层是 convenient 的：它把结构问题转译成了个人努力问题，而这恰好是所有当事方——平台、教育机构、政策制定者——都最舒适的叙事。第二、三层没有个人答案，只有制度答案：再培训体系的设计、过渡期保障、数据权利的界定、以及正在被广泛讨论的各种再分配机制 [待核实]。</w:t>
      </w:r>
    </w:p>
    <w:p>
      <w:pPr>
        <w:ind w:firstLine="480"/>
      </w:pPr>
      <w:r>
        <w:t>但个体不是无事可做。理解三层的区分本身就是一个动作：它决定了把多少压力归因于自己（技能层可以也应该），多少压力归因于结构（第二、三层不该由个体独自消化）。这个归因的准确性，直接影响一个人在转型期里对自己做出何种判断。此外的具体动作是：在专业学习之外保持对经济学、法学与公共政策的基本阅读能力，使未来的自己至少读得懂即将决定自己处境的政策文件；以及在进入组织后，做那个会问"这个系统的决策依据是什么"的人。结构问题的解决从来不是由个体的清醒推动的，但个体的普遍不清醒可以无限推迟它。</w:t>
      </w:r>
    </w:p>
    <w:p>
      <w:pPr>
        <w:pStyle w:val="Heading2"/>
      </w:pPr>
      <w:r>
        <w:t>10.5 使用伦理：为什么需要一份事前的承诺</w:t>
      </w:r>
    </w:p>
    <w:p>
      <w:pPr>
        <w:ind w:firstLine="480"/>
      </w:pPr>
      <w:r>
        <w:t>使用规范的讨论容易滑向两个失效的极端：或是空泛的原则声明（"负责任地使用AI"），或是琐碎的操作细则（各种场景的允许/禁止清单）。两者都忽略了一个关键机制：伦理约束最容易失效的时刻，不是理解不了原则的时刻，而是深夜赶工、无人监督、截止时间压顶的时刻。因此有效的规范需要满足两个条件——事前形成，以及在具体条款上让未来的自己无从合理化。</w:t>
      </w:r>
    </w:p>
    <w:p>
      <w:pPr>
        <w:ind w:firstLine="480"/>
      </w:pPr>
      <w:r>
        <w:t>以下十条按此逻辑构成。它的价值不在约束力，而在承诺的时间点：人在事先承诺过的事情上，比在"到时候再说"的事情上表现得更接近自己的标准。</w:t>
      </w:r>
    </w:p>
    <w:p>
      <w:pPr>
        <w:ind w:firstLine="480"/>
      </w:pPr>
      <w:r>
        <w:t>一、诚实：不在明确禁止的场合使用工具，不以"普遍如此"作为自己的理由；用与不用是选择，承担与之对应的责任。二、署名：AI实质参与生成的内容，被问及时如实说明程度——不夸大为"AI帮我润色了一点"，也不隐瞒为"完全原创"。三、作品：署名发布之物，核心创意与关键判断属于本人；凡不能复述、不能解释"为什么是这样"的内容，不发布——这条判据同时是自我检验的机制。四、不造假：不以生成内容伪造证据、经历与凭证，不因普遍性而豁免。五、不传谣：未经核实的信息不因立场契合而转发；自己被骗可以理解，以转发使他人受骗不可原谅。六、尊重：未经同意不以工具分析、模仿或生成他人的形象、声音与文风；本人未曾同意的"换脸"内容，再有趣也不传播。七、依赖底线：保留至少一项完全不依赖工具也能完整进行的活动——身体性的、手作的或在场社交的；它的功能是确认离开系统后自身的完整性。八、明账：清楚知道哪些思考已交由工具完成、哪些保留给自己，并定期检查此账本的方向——持续单向流出意味着该收权。九、看见：对工具在自身、身边人与更远处人群身上的显性与隐性影响保持觉察；看见是承担的前提。十、主体：工具放大判断，不定义判断；为本人人生负责的一切最终决策，签名处是本人的名字。</w:t>
      </w:r>
    </w:p>
    <w:p>
      <w:pPr>
        <w:ind w:firstLine="480"/>
      </w:pPr>
      <w:r>
        <w:t>十条不多。难度从来不在背下，而在某个无人知晓的时刻是否仍然作数。</w:t>
      </w:r>
    </w:p>
    <w:p>
      <w:pPr>
        <w:pStyle w:val="Heading2"/>
      </w:pPr>
      <w:r>
        <w:t>10.6 结语：不可生成的部分</w:t>
      </w:r>
    </w:p>
    <w:p>
      <w:pPr>
        <w:ind w:firstLine="480"/>
      </w:pPr>
      <w:r>
        <w:t>"AI时代大学生的生成指南"这个副标题里藏着一个双关，现在到了把它说破的时候：生成式系统的时代，恰恰要求一个人去成为不可生成的。</w:t>
      </w:r>
    </w:p>
    <w:p>
      <w:pPr>
        <w:ind w:firstLine="480"/>
      </w:pPr>
      <w:r>
        <w:t>这不是修辞。考察一下一个不警觉的使用者的处境：其信息环境由算法构成，其情绪曲线被推送内容塑造，其写作腔调在不自觉中向模型的均值收敛，其相当一部分观点的出处是"模型是这样总结的"。这个过程没有强制的环节，每一步都以便利的形式被自愿接受——其终点是一个光滑、正确、无人格的使用者：偏好像被抹平，来历像被清空，判断的签名处空无一人。生成式系统最大的风险从来不是它强大，而是它好用——好用到让人自愿地、以分期付款的方式，交出品味、语言与判断的塑成权。</w:t>
      </w:r>
    </w:p>
    <w:p>
      <w:pPr>
        <w:ind w:firstLine="480"/>
      </w:pPr>
      <w:r>
        <w:t>而一个人身上恰恰有一批无法被生成的资产：来自亲自犯过的错误的判断力，来自大量见过好坏之后的品味，来自真实困惑而非热榜的问题，以及那些不合逻辑的偏爱——它们没有任何生成意义，却是人格的全部具体性所在。未来十年，"标准优秀"的人的定价将持续走低，因为"标准"本身就是模型最容易习得的东西；一个具体的、有来历的、能为自己判断负责的人，其稀缺性将持续上升。</w:t>
      </w:r>
    </w:p>
    <w:p>
      <w:pPr>
        <w:ind w:firstLine="480"/>
      </w:pPr>
      <w:r>
        <w:t>本书前言曾描述过两个用不同方式完成同一份作业的学生，并留下了一个未闭合的问题。现在可以给出闭合的方式：四年之后区分他们的，不是谁用了工具——他们都用了——而是谁在工具的间隙里保留了不可让渡的部分。一个人把省下的时间继续投入机器做不了的事，一个人把省下的时间用于更彻底地外包；同样的工具，相反的方向。社会与制度当然对结果负有更大的责任——这正是本章前十节反复申说的——但在制度回应抵达之前，个体的这个选择每天都发生着，而它只发生在一个人手里。</w:t>
      </w:r>
    </w:p>
    <w:p>
      <w:pPr>
        <w:ind w:firstLine="480"/>
      </w:pPr>
      <w:r>
        <w:t>所以这本书最终的全部建议可以收束为一句话，它同时也是对副标题里那个双关的正式回答：以一切可用的工具，生成那个无法被生成的自己。这不是心灵鸡汤式的收尾，而是一个定价判断：在一个生成成本趋近于零的时代，唯一保值的资产是不可生成的部分。教育如此，职业如此，一个人在AI时代的全部位置，也如此。</w:t>
      </w:r>
    </w:p>
    <w:p>
      <w:pPr>
        <w:ind w:firstLine="0"/>
      </w:pPr>
      <w:r>
        <w:rPr>
          <w:i/>
          <w:color w:val="808080"/>
          <w:sz w:val="21"/>
        </w:rPr>
        <w:t>（试写稿，当前约6,200字，目标18,000字。扩写方向：10.1补充各国训练数据诉讼与授权协议机制的比较梳理；10.2增加可课堂讨论的深度伪造案例辨析；10.4增加各国政策应对的对比（统一[待核实]标注）；10.5为公约每条附一行伦理依据与一个失效场景。）</w:t>
      </w:r>
    </w:p>
    <w:p>
      <w:r>
        <w:br w:type="page"/>
      </w:r>
    </w:p>
    <w:p>
      <w:pPr>
        <w:pStyle w:val="Heading1"/>
      </w:pPr>
      <w:r>
        <w:t>后记　写给十年后的自己</w:t>
      </w:r>
    </w:p>
    <w:p>
      <w:pPr>
        <w:ind w:firstLine="480"/>
      </w:pPr>
      <w:r>
        <w:t>这封信不是总结。全书写到这里，该给出的判断都已给出，再重复一遍只会让它们变轻。写信的动机恰恰相反：正文必须维持论证的姿态，凡不能论证的都不该占用篇幅，于是一批问题被留在了门外。它们不够格占据章节，却值得被记住。我把它们写进这封信，寄给十年后的自己——不是指望你有答案，而是你将生活在答案里。</w:t>
      </w:r>
    </w:p>
    <w:p>
      <w:pPr>
        <w:ind w:firstLine="480"/>
      </w:pPr>
      <w:r>
        <w:t>书稿完成于一个后来被各种叙述称作"AI元年"的年份。这个词在写作时已经用旧，但当时的校园确实有一种元年式的气氛：政策每月在变，工具每周在换，同一门课的两位老师对同一份AI辅助的作业作出相反的裁决，同一所学校的两份文件对"什么算代写"给出不同的边界。写作期间我反复意识到一件事：这一代大学生是在学期中途撞上这场变化的。规则在使用之后才被制定，考核在政策之前就已经进行。大学原本是一种有梯子的结构，高年级把踩过的坑讲给低年级听，经验沿着年级向下流动；这次梯子断了——不是断在某一级，是每一级都在同一时间踩进了水里。没有人可问，因为所有人的经验在同一年过期。这本书在很多时候，是在替读者向不存在的人提问。</w:t>
      </w:r>
    </w:p>
    <w:p>
      <w:pPr>
        <w:ind w:firstLine="480"/>
      </w:pPr>
      <w:r>
        <w:t>这一代人的位置还有一个更别扭的地方，正文的各章都碰过，但没有一处把它们放在一起说。他们是这场技术变迁的第一批重度使用者，同时是第一批被规制的对象：第一批用生成系统完成学业的人，也是第一批因为使用它而需要解释、申辩、接受新规则的人。使用在暗处进行，讨论在明处缺席——前言里把这称作"系统性沉默"。沉默的一代承受着一种特殊的疲惫：他们必须在没有判例的处境里，为每一个具体动作单独承担判断的全部重量，而判断的后果由尚未写成的规则来裁决。写这本书的时候，我时常想，它实际的功能可能不是指导，而是陪伴——把"每一个人都在独自决定"这件事，用二十万字的篇幅证明给一个人看：你不是独自在决定。</w:t>
      </w:r>
    </w:p>
    <w:p>
      <w:pPr>
        <w:ind w:firstLine="480"/>
      </w:pPr>
      <w:r>
        <w:t>所以写作者的位置需要交代清楚：书里的每一条判断，都是在证据不完备的情况下作出的。一个讨论半衰期以月计的现象的人，使用的是一种以十年为单位负责的文体，这近乎傲慢。但沉默是更大的傲慢——假装看清了才开口，等于把整个时期的困惑留给每一个当事人独自承受。在不确定中给出可以执行、也可以被反驳的判断，再诚实标注它的不确定，是写作者在这种时刻唯一体面的做法。书中所有标注"待核实"的地方，都是这个姿态的实存证据：它们不是疏漏，是我明知会被未来的你嘲笑，仍然决定留下的脚印。</w:t>
      </w:r>
    </w:p>
    <w:p>
      <w:pPr>
        <w:ind w:firstLine="480"/>
      </w:pPr>
      <w:r>
        <w:t>写作期间还有一件没有写进正文的事。在具体的操作上，这本书的许多读者比作者更熟练——更了解新工具的脾性、更快发现用法的边界、更早撞见系统的失效。作者的优势不在操作，而在于把一代人的即兴经验放进更长的时段里，与印刷术、检索、互联网这些旧的断裂并排放在一处看。这既是分工，也是局限：时段看得长的人，常常看不清眼前那一厘米。如果十年后你发现这本书错得最多的是最近的三章，我不会意外——越是贴近写作时刻的判断，越是押注在最少的信息上。</w:t>
      </w:r>
    </w:p>
    <w:p>
      <w:pPr>
        <w:ind w:firstLine="480"/>
      </w:pPr>
      <w:r>
        <w:t>前言里有一个承诺：不教工具，教思维方式，因为工具会过时而方法论不会。写下那句话时我是相信的，写完全书之后，信心打了折扣。方法论也许同样有半衰期，只是以十年而不是以月计。提问的结构、验证的习惯、边界的意识，这些或许撑得过几个技术周期，但它们同样诞生于特定的处境，处境换了，方法的形状也会换。一本书能给十年后的读者剩下什么，我当时没有答案，现在只好把这个怀疑也一并记下：如果这书还有寿命，多半不在它的正确里，而在它的认真里——认真地把一个时刻的困惑逐条写下来，这份记录本身比任何一条结论活得久。</w:t>
      </w:r>
    </w:p>
    <w:p>
      <w:pPr>
        <w:ind w:firstLine="480"/>
      </w:pPr>
      <w:r>
        <w:t>趁着谈书的承诺，也交代一下书名。"共生"是从生物学里借来的词，原意冷静：两个物种长期共同生活，彼此改变对方的生存条件，既不必然温情，也不必然敌对。选它而不是"驾驭""掌控"之类的词，是因为写作这几年我越来越确认，这类词都把关系说得太便宜了。人与生成式系统的关系更像地衣里的那两种生物：各自都不再是从前那个自己，分开又都无法成立。承认共生，比宣布胜利或宣战都更接近实情；而承认共生意味着一件不轻松的事——对方不会再离开，问题不再是"要不要"，永远是"怎样"。这本书通篇写的其实就这两个字，此处只是把名目认领下来。</w:t>
      </w:r>
    </w:p>
    <w:p>
      <w:pPr>
        <w:ind w:firstLine="480"/>
      </w:pPr>
      <w:r>
        <w:t>还有一些摇摆，正文按文体要求被压平了，这里如实记下。写第九章时，我一边论证边界感的重要性，一边怀疑自己是否在替系统说话：把一个结构性的问题转译成个人习惯的问题，不正是这本书在别处批评过的那种最舒适的叙事吗？写第十章的十条公约时，我清楚它们在多数人手里活不过第一个截止日期，写下它们更多是为了表明"曾经有人认真对待过"，而非预期它们被执行。全书最后把建议收束为一个定价判断——在生成成本趋近于零的时代，唯一保值的是不可生成的部分——落笔的那一刻，我知道它一半是分析，一半是赌博。</w:t>
      </w:r>
    </w:p>
    <w:p>
      <w:pPr>
        <w:ind w:firstLine="480"/>
      </w:pPr>
      <w:r>
        <w:t>因此，我想问你的问题，比想告诉你的多。</w:t>
      </w:r>
    </w:p>
    <w:p>
      <w:pPr>
        <w:ind w:firstLine="480"/>
      </w:pPr>
      <w:r>
        <w:t>那个定价判断，十年后应验了，还是被证明是写作者的自我安慰？"标准优秀"的定价真的走低了吗，还是制度又一次把标准化做成了安全的选择，让具体的、有来历的人继续为具体性付费？</w:t>
      </w:r>
    </w:p>
    <w:p>
      <w:pPr>
        <w:ind w:firstLine="480"/>
      </w:pPr>
      <w:r>
        <w:t>第七章写作时，各校的AI政策还在每月变动。十年后，学术规范稳定成了一套可依循的规则，还是仍在打补丁？我当时猜它会像查重系统一样，从众声喧哗的争议沉降为无人讨论的默认——不知道猜对了没有。如果猜对了，那未必是好事：沉降意味着一代人不再把它当作可以重新商量的事。</w:t>
      </w:r>
    </w:p>
    <w:p>
      <w:pPr>
        <w:ind w:firstLine="480"/>
      </w:pPr>
      <w:r>
        <w:t>第九章讨论陪伴与依赖时，我半信半疑地写下"单向共情的长期效应尚不可知"。你那时应该知道了。从那种关系里走出来的人多，还是留下的人多？留下的人，过得不好吗？这个问题当时没有人能答，现在也许仍然没有，但你的所见至少是一个数据点——哪怕与所有人相反。</w:t>
      </w:r>
    </w:p>
    <w:p>
      <w:pPr>
        <w:ind w:firstLine="480"/>
      </w:pPr>
      <w:r>
        <w:t>第十章把就业讨论拆成三层：技能层、转型成本层、分配层，并且断言多数讨论只肯停留在第一层。十年后，这个断言还在成立吗？转型成本最后落在谁身上了？分配那一层，有人接手了吗——还是它仍然被翻译成"个人努力问题"，一层一层地退回给每一个单独的人去消化？这个问题的答案，大概比全书任何一章的对错都更能说明这十年过得怎样。</w:t>
      </w:r>
    </w:p>
    <w:p>
      <w:pPr>
        <w:ind w:firstLine="480"/>
      </w:pPr>
      <w:r>
        <w:t>第十章还说过，从某个时刻起，"看到"与"听到"不再是证据。十年后，这件事变好了吗——检测追上了生成，制度惩罚了滥用；还是更糟了——伪造的成本又降了一个量级，而人们干脆放弃了分辨，用"反正都可能造假"来豁免自己转发之前的那五秒钟？认识论的安全，最后是靠技术赢的，靠制度赢的，还是靠一代人慢慢养出的习惯赢的？</w:t>
      </w:r>
    </w:p>
    <w:p>
      <w:pPr>
        <w:ind w:firstLine="480"/>
      </w:pPr>
      <w:r>
        <w:t>还有那些无法进入正文的人。写作素材里有两类使用者：把省下的时间投入工具做不了的事的人，和把省下的时间用于更彻底地外包的人。第十章说，多年之后区分他们的是"谁在工具的间隙里保留了不可让渡的部分"。写下那句话时我并不完全确定。十年后，区分他们的会不会其实是另一些书里没力气讨论的东西——家境、运气、行业周期？如果是，这本书就少写了一章，而少写的那一章才是最重的。这一层，当时的制度给不了答案，十年后的你给得出观察。</w:t>
      </w:r>
    </w:p>
    <w:p>
      <w:pPr>
        <w:ind w:firstLine="480"/>
      </w:pPr>
      <w:r>
        <w:t>再问一个与书无关的私人问题。第九章建议每个人保留至少一项完全不依赖工具也能完整进行的活动，作为确认自身完整性的方式。十年了，你手里还有这样的事吗——一项运动、一门手艺、一段每周固定见面、不隔着屏幕的关系？这个问题不需要你回信作答，我只是在写信的此刻意识到：全书所有的判断里，我最希望这一条仍然成立的，不是因为它最重要，而是因为它是唯一需要身体在场、无法由任何人代为核实的。</w:t>
      </w:r>
    </w:p>
    <w:p>
      <w:pPr>
        <w:ind w:firstLine="480"/>
      </w:pPr>
      <w:r>
        <w:t>这些问题不必回答，信可以不回。如果十年后的你重读此信，发现某些担忧已经可笑、某些判断已经过时，那是好事：说明世界没有停在原地，也不说明当年不该担忧。判断的价值不在于最终正确，而在于它当时是可检验的——被检验并且失效的判断，好过从未作出的判断。</w:t>
      </w:r>
    </w:p>
    <w:p>
      <w:pPr>
        <w:ind w:firstLine="480"/>
      </w:pPr>
      <w:r>
        <w:t>最后说一件形式上的事。这本书对着读者写了二十万字，为什么结尾偏偏收成一封给自己的信？因为在所有的文体里，只有写信给自己的人，才被允许保留怀疑。对着读者，作者必须给出结论的形状；对着十年后的自己，结论可以摊开成问题。这封信因此是全书的反面：正文负责回答，这里负责把回答逼回成问题。如果你十年后重读时觉得正文老朽而此信尚可，那就按此信活——它至少没有假装知道。</w:t>
      </w:r>
    </w:p>
    <w:p>
      <w:pPr>
        <w:ind w:firstLine="480"/>
      </w:pPr>
      <w:r>
        <w:t>信写完了。落笔的这个下午没有使用任何系统：没有让模型补全句子，没有让它检查逻辑，也没有让它安慰写作中断处的犹豫。这不算成就，只是想让这封信里有一件事是确定的——无论十年后你用什么工具、以什么为业、信或不信书里的话，写下这封信的人，在没有回声的房间里，把它写完了。剩下的问题归你。它们届时应该还是开放的；一封留给未来的信，所能期待的最佳结局，就是被未来的问题继续占用着。</w:t>
      </w:r>
    </w:p>
    <w:p>
      <w:r>
        <w:br w:type="page"/>
      </w:r>
    </w:p>
    <w:p>
      <w:pPr>
        <w:pStyle w:val="Heading1"/>
      </w:pPr>
      <w:r>
        <w:t>附录A　主流AI工具速查表（简编版）</w:t>
      </w:r>
    </w:p>
    <w:p>
      <w:pPr>
        <w:ind w:left="480" w:firstLine="0"/>
      </w:pPr>
      <w:r>
        <w:rPr>
          <w:b/>
        </w:rPr>
        <w:t>时效性说明</w:t>
      </w:r>
      <w:r>
        <w:t>：本表时效性极强。AI 工具的名称、能力边界、免费额度与定价策略以月为单位变动，部分产品会改名、合并或停止服务。下表仅为编写时的草稿快照，</w:t>
      </w:r>
      <w:r>
        <w:rPr>
          <w:b/>
        </w:rPr>
        <w:t>出版前需全面更新核实</w:t>
      </w:r>
      <w:r>
        <w:t xml:space="preserve">；凡涉及具体版本、定价与上线状态的表述，均标注 </w:t>
      </w:r>
      <w:r>
        <w:rPr>
          <w:rFonts w:ascii="Consolas" w:hAnsi="Consolas" w:eastAsia="宋体"/>
          <w:sz w:val="21"/>
        </w:rPr>
        <w:t>[待核实]</w:t>
      </w:r>
      <w:r>
        <w:t>。本表的价值不在罗列工具，而在给出"场景—风险"的对照结构：工具会过时，判断某个场景该用什么、以及风险在哪里，结构不会。</w:t>
      </w:r>
    </w:p>
    <w:p>
      <w:pPr>
        <w:pStyle w:val="Heading2"/>
      </w:pPr>
      <w:r>
        <w:t>一、学习与问答场景</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line="288" w:lineRule="auto"/>
            </w:pPr>
            <w:r>
              <w:rPr>
                <w:b/>
                <w:sz w:val="21"/>
              </w:rPr>
            </w:r>
            <w:r>
              <w:rPr>
                <w:b/>
                <w:sz w:val="21"/>
              </w:rPr>
              <w:t>代表工具</w:t>
            </w:r>
          </w:p>
        </w:tc>
        <w:tc>
          <w:tcPr>
            <w:tcW w:type="dxa" w:w="2160"/>
          </w:tcPr>
          <w:p>
            <w:pPr>
              <w:spacing w:line="288" w:lineRule="auto"/>
            </w:pPr>
            <w:r>
              <w:rPr>
                <w:b/>
                <w:sz w:val="21"/>
              </w:rPr>
            </w:r>
            <w:r>
              <w:rPr>
                <w:b/>
                <w:sz w:val="21"/>
              </w:rPr>
              <w:t>适用场景</w:t>
            </w:r>
          </w:p>
        </w:tc>
        <w:tc>
          <w:tcPr>
            <w:tcW w:type="dxa" w:w="2160"/>
          </w:tcPr>
          <w:p>
            <w:pPr>
              <w:spacing w:line="288" w:lineRule="auto"/>
            </w:pPr>
            <w:r>
              <w:rPr>
                <w:b/>
                <w:sz w:val="21"/>
              </w:rPr>
            </w:r>
            <w:r>
              <w:rPr>
                <w:b/>
                <w:sz w:val="21"/>
              </w:rPr>
              <w:t>免费策略</w:t>
            </w:r>
          </w:p>
        </w:tc>
        <w:tc>
          <w:tcPr>
            <w:tcW w:type="dxa" w:w="2160"/>
          </w:tcPr>
          <w:p>
            <w:pPr>
              <w:spacing w:line="288" w:lineRule="auto"/>
            </w:pPr>
            <w:r>
              <w:rPr>
                <w:b/>
                <w:sz w:val="21"/>
              </w:rPr>
            </w:r>
            <w:r>
              <w:rPr>
                <w:b/>
                <w:sz w:val="21"/>
              </w:rPr>
              <w:t>时效性风险</w:t>
            </w:r>
          </w:p>
        </w:tc>
      </w:tr>
      <w:tr>
        <w:tc>
          <w:tcPr>
            <w:tcW w:type="dxa" w:w="2160"/>
          </w:tcPr>
          <w:p>
            <w:pPr>
              <w:spacing w:line="288" w:lineRule="auto"/>
            </w:pPr>
            <w:r>
              <w:rPr>
                <w:sz w:val="21"/>
              </w:rPr>
            </w:r>
            <w:r>
              <w:rPr>
                <w:sz w:val="21"/>
              </w:rPr>
              <w:t>ChatGPT（OpenAI）</w:t>
            </w:r>
          </w:p>
        </w:tc>
        <w:tc>
          <w:tcPr>
            <w:tcW w:type="dxa" w:w="2160"/>
          </w:tcPr>
          <w:p>
            <w:pPr>
              <w:spacing w:line="288" w:lineRule="auto"/>
            </w:pPr>
            <w:r>
              <w:rPr>
                <w:sz w:val="21"/>
              </w:rPr>
            </w:r>
            <w:r>
              <w:rPr>
                <w:sz w:val="21"/>
              </w:rPr>
              <w:t>概念解释、多轮追问、外语练习；模型能力强、生态最全</w:t>
            </w:r>
          </w:p>
        </w:tc>
        <w:tc>
          <w:tcPr>
            <w:tcW w:type="dxa" w:w="2160"/>
          </w:tcPr>
          <w:p>
            <w:pPr>
              <w:spacing w:line="288" w:lineRule="auto"/>
            </w:pPr>
            <w:r>
              <w:rPr>
                <w:sz w:val="21"/>
              </w:rPr>
            </w:r>
            <w:r>
              <w:rPr>
                <w:sz w:val="21"/>
              </w:rPr>
              <w:t xml:space="preserve">免费版可用，高级功能订阅 </w:t>
            </w:r>
            <w:r>
              <w:rPr>
                <w:rFonts w:ascii="Consolas" w:hAnsi="Consolas" w:eastAsia="宋体"/>
                <w:sz w:val="21"/>
              </w:rPr>
              <w:t>[待核实]</w:t>
            </w:r>
          </w:p>
        </w:tc>
        <w:tc>
          <w:tcPr>
            <w:tcW w:type="dxa" w:w="2160"/>
          </w:tcPr>
          <w:p>
            <w:pPr>
              <w:spacing w:line="288" w:lineRule="auto"/>
            </w:pPr>
            <w:r>
              <w:rPr>
                <w:sz w:val="21"/>
              </w:rPr>
            </w:r>
            <w:r>
              <w:rPr>
                <w:sz w:val="21"/>
              </w:rPr>
              <w:t xml:space="preserve">免费与付费版本的能力差距随版本迭代变动 </w:t>
            </w:r>
            <w:r>
              <w:rPr>
                <w:rFonts w:ascii="Consolas" w:hAnsi="Consolas" w:eastAsia="宋体"/>
                <w:sz w:val="21"/>
              </w:rPr>
              <w:t>[待核实]</w:t>
            </w:r>
          </w:p>
        </w:tc>
      </w:tr>
      <w:tr>
        <w:tc>
          <w:tcPr>
            <w:tcW w:type="dxa" w:w="2160"/>
          </w:tcPr>
          <w:p>
            <w:pPr>
              <w:spacing w:line="288" w:lineRule="auto"/>
            </w:pPr>
            <w:r>
              <w:rPr>
                <w:sz w:val="21"/>
              </w:rPr>
            </w:r>
            <w:r>
              <w:rPr>
                <w:sz w:val="21"/>
              </w:rPr>
              <w:t>Claude（Anthropic）</w:t>
            </w:r>
          </w:p>
        </w:tc>
        <w:tc>
          <w:tcPr>
            <w:tcW w:type="dxa" w:w="2160"/>
          </w:tcPr>
          <w:p>
            <w:pPr>
              <w:spacing w:line="288" w:lineRule="auto"/>
            </w:pPr>
            <w:r>
              <w:rPr>
                <w:sz w:val="21"/>
              </w:rPr>
            </w:r>
            <w:r>
              <w:rPr>
                <w:sz w:val="21"/>
              </w:rPr>
              <w:t xml:space="preserve">长文档阅读、论文级写作辅助；上下文窗口较大 </w:t>
            </w:r>
            <w:r>
              <w:rPr>
                <w:rFonts w:ascii="Consolas" w:hAnsi="Consolas" w:eastAsia="宋体"/>
                <w:sz w:val="21"/>
              </w:rPr>
              <w:t>[待核实]</w:t>
            </w:r>
          </w:p>
        </w:tc>
        <w:tc>
          <w:tcPr>
            <w:tcW w:type="dxa" w:w="2160"/>
          </w:tcPr>
          <w:p>
            <w:pPr>
              <w:spacing w:line="288" w:lineRule="auto"/>
            </w:pPr>
            <w:r>
              <w:rPr>
                <w:sz w:val="21"/>
              </w:rPr>
            </w:r>
            <w:r>
              <w:rPr>
                <w:sz w:val="21"/>
              </w:rPr>
              <w:t xml:space="preserve">有免费额度，按量计费 </w:t>
            </w:r>
            <w:r>
              <w:rPr>
                <w:rFonts w:ascii="Consolas" w:hAnsi="Consolas" w:eastAsia="宋体"/>
                <w:sz w:val="21"/>
              </w:rPr>
              <w:t>[待核实]</w:t>
            </w:r>
          </w:p>
        </w:tc>
        <w:tc>
          <w:tcPr>
            <w:tcW w:type="dxa" w:w="2160"/>
          </w:tcPr>
          <w:p>
            <w:pPr>
              <w:spacing w:line="288" w:lineRule="auto"/>
            </w:pPr>
            <w:r>
              <w:rPr>
                <w:sz w:val="21"/>
              </w:rPr>
            </w:r>
            <w:r>
              <w:rPr>
                <w:sz w:val="21"/>
              </w:rPr>
              <w:t>长文本能力是相对优势而非绝对保证</w:t>
            </w:r>
          </w:p>
        </w:tc>
      </w:tr>
      <w:tr>
        <w:tc>
          <w:tcPr>
            <w:tcW w:type="dxa" w:w="2160"/>
          </w:tcPr>
          <w:p>
            <w:pPr>
              <w:spacing w:line="288" w:lineRule="auto"/>
            </w:pPr>
            <w:r>
              <w:rPr>
                <w:sz w:val="21"/>
              </w:rPr>
            </w:r>
            <w:r>
              <w:rPr>
                <w:sz w:val="21"/>
              </w:rPr>
              <w:t>Kimi（月之暗面）</w:t>
            </w:r>
          </w:p>
        </w:tc>
        <w:tc>
          <w:tcPr>
            <w:tcW w:type="dxa" w:w="2160"/>
          </w:tcPr>
          <w:p>
            <w:pPr>
              <w:spacing w:line="288" w:lineRule="auto"/>
            </w:pPr>
            <w:r>
              <w:rPr>
                <w:sz w:val="21"/>
              </w:rPr>
            </w:r>
            <w:r>
              <w:rPr>
                <w:sz w:val="21"/>
              </w:rPr>
              <w:t>中文长文档摘要、网页内容问答</w:t>
            </w:r>
          </w:p>
        </w:tc>
        <w:tc>
          <w:tcPr>
            <w:tcW w:type="dxa" w:w="2160"/>
          </w:tcPr>
          <w:p>
            <w:pPr>
              <w:spacing w:line="288" w:lineRule="auto"/>
            </w:pPr>
            <w:r>
              <w:rPr>
                <w:sz w:val="21"/>
              </w:rPr>
            </w:r>
            <w:r>
              <w:rPr>
                <w:sz w:val="21"/>
              </w:rPr>
              <w:t xml:space="preserve">基础功能免费 </w:t>
            </w:r>
            <w:r>
              <w:rPr>
                <w:rFonts w:ascii="Consolas" w:hAnsi="Consolas" w:eastAsia="宋体"/>
                <w:sz w:val="21"/>
              </w:rPr>
              <w:t>[待核实]</w:t>
            </w:r>
          </w:p>
        </w:tc>
        <w:tc>
          <w:tcPr>
            <w:tcW w:type="dxa" w:w="2160"/>
          </w:tcPr>
          <w:p>
            <w:pPr>
              <w:spacing w:line="288" w:lineRule="auto"/>
            </w:pPr>
            <w:r>
              <w:rPr>
                <w:sz w:val="21"/>
              </w:rPr>
            </w:r>
            <w:r>
              <w:rPr>
                <w:sz w:val="21"/>
              </w:rPr>
              <w:t>长文档处理质量因文档类型而异</w:t>
            </w:r>
          </w:p>
        </w:tc>
      </w:tr>
      <w:tr>
        <w:tc>
          <w:tcPr>
            <w:tcW w:type="dxa" w:w="2160"/>
          </w:tcPr>
          <w:p>
            <w:pPr>
              <w:spacing w:line="288" w:lineRule="auto"/>
            </w:pPr>
            <w:r>
              <w:rPr>
                <w:sz w:val="21"/>
              </w:rPr>
            </w:r>
            <w:r>
              <w:rPr>
                <w:sz w:val="21"/>
              </w:rPr>
              <w:t>DeepSeek</w:t>
            </w:r>
          </w:p>
        </w:tc>
        <w:tc>
          <w:tcPr>
            <w:tcW w:type="dxa" w:w="2160"/>
          </w:tcPr>
          <w:p>
            <w:pPr>
              <w:spacing w:line="288" w:lineRule="auto"/>
            </w:pPr>
            <w:r>
              <w:rPr>
                <w:sz w:val="21"/>
              </w:rPr>
            </w:r>
            <w:r>
              <w:rPr>
                <w:sz w:val="21"/>
              </w:rPr>
              <w:t>推理类问题、代码与数学；开源权重版本可本地部署</w:t>
            </w:r>
          </w:p>
        </w:tc>
        <w:tc>
          <w:tcPr>
            <w:tcW w:type="dxa" w:w="2160"/>
          </w:tcPr>
          <w:p>
            <w:pPr>
              <w:spacing w:line="288" w:lineRule="auto"/>
            </w:pPr>
            <w:r>
              <w:rPr>
                <w:sz w:val="21"/>
              </w:rPr>
            </w:r>
            <w:r>
              <w:rPr>
                <w:sz w:val="21"/>
              </w:rPr>
              <w:t xml:space="preserve">App 与网页免费 </w:t>
            </w:r>
            <w:r>
              <w:rPr>
                <w:rFonts w:ascii="Consolas" w:hAnsi="Consolas" w:eastAsia="宋体"/>
                <w:sz w:val="21"/>
              </w:rPr>
              <w:t>[待核实]</w:t>
            </w:r>
          </w:p>
        </w:tc>
        <w:tc>
          <w:tcPr>
            <w:tcW w:type="dxa" w:w="2160"/>
          </w:tcPr>
          <w:p>
            <w:pPr>
              <w:spacing w:line="288" w:lineRule="auto"/>
            </w:pPr>
            <w:r>
              <w:rPr>
                <w:sz w:val="21"/>
              </w:rPr>
            </w:r>
            <w:r>
              <w:rPr>
                <w:sz w:val="21"/>
              </w:rPr>
              <w:t xml:space="preserve">服务高峰期限流情况不稳定 </w:t>
            </w:r>
            <w:r>
              <w:rPr>
                <w:rFonts w:ascii="Consolas" w:hAnsi="Consolas" w:eastAsia="宋体"/>
                <w:sz w:val="21"/>
              </w:rPr>
              <w:t>[待核实]</w:t>
            </w:r>
          </w:p>
        </w:tc>
      </w:tr>
      <w:tr>
        <w:tc>
          <w:tcPr>
            <w:tcW w:type="dxa" w:w="2160"/>
          </w:tcPr>
          <w:p>
            <w:pPr>
              <w:spacing w:line="288" w:lineRule="auto"/>
            </w:pPr>
            <w:r>
              <w:rPr>
                <w:sz w:val="21"/>
              </w:rPr>
            </w:r>
            <w:r>
              <w:rPr>
                <w:sz w:val="21"/>
              </w:rPr>
              <w:t>豆包（字节跳动）</w:t>
            </w:r>
          </w:p>
        </w:tc>
        <w:tc>
          <w:tcPr>
            <w:tcW w:type="dxa" w:w="2160"/>
          </w:tcPr>
          <w:p>
            <w:pPr>
              <w:spacing w:line="288" w:lineRule="auto"/>
            </w:pPr>
            <w:r>
              <w:rPr>
                <w:sz w:val="21"/>
              </w:rPr>
            </w:r>
            <w:r>
              <w:rPr>
                <w:sz w:val="21"/>
              </w:rPr>
              <w:t>日常问答、语音交互、移动端使用</w:t>
            </w:r>
          </w:p>
        </w:tc>
        <w:tc>
          <w:tcPr>
            <w:tcW w:type="dxa" w:w="2160"/>
          </w:tcPr>
          <w:p>
            <w:pPr>
              <w:spacing w:line="288" w:lineRule="auto"/>
            </w:pPr>
            <w:r>
              <w:rPr>
                <w:sz w:val="21"/>
              </w:rPr>
            </w:r>
            <w:r>
              <w:rPr>
                <w:sz w:val="21"/>
              </w:rPr>
              <w:t xml:space="preserve">免费 </w:t>
            </w:r>
            <w:r>
              <w:rPr>
                <w:rFonts w:ascii="Consolas" w:hAnsi="Consolas" w:eastAsia="宋体"/>
                <w:sz w:val="21"/>
              </w:rPr>
              <w:t>[待核实]</w:t>
            </w:r>
          </w:p>
        </w:tc>
        <w:tc>
          <w:tcPr>
            <w:tcW w:type="dxa" w:w="2160"/>
          </w:tcPr>
          <w:p>
            <w:pPr>
              <w:spacing w:line="288" w:lineRule="auto"/>
            </w:pPr>
            <w:r>
              <w:rPr>
                <w:sz w:val="21"/>
              </w:rPr>
            </w:r>
            <w:r>
              <w:rPr>
                <w:sz w:val="21"/>
              </w:rPr>
              <w:t>通用能力与专业任务的匹配度需自行验证</w:t>
            </w:r>
          </w:p>
        </w:tc>
      </w:tr>
    </w:tbl>
    <w:p/>
    <w:p>
      <w:pPr>
        <w:pStyle w:val="Heading2"/>
      </w:pPr>
      <w:r>
        <w:t>二、写作与文本处理场景</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line="288" w:lineRule="auto"/>
            </w:pPr>
            <w:r>
              <w:rPr>
                <w:b/>
                <w:sz w:val="21"/>
              </w:rPr>
            </w:r>
            <w:r>
              <w:rPr>
                <w:b/>
                <w:sz w:val="21"/>
              </w:rPr>
              <w:t>代表工具</w:t>
            </w:r>
          </w:p>
        </w:tc>
        <w:tc>
          <w:tcPr>
            <w:tcW w:type="dxa" w:w="2160"/>
          </w:tcPr>
          <w:p>
            <w:pPr>
              <w:spacing w:line="288" w:lineRule="auto"/>
            </w:pPr>
            <w:r>
              <w:rPr>
                <w:b/>
                <w:sz w:val="21"/>
              </w:rPr>
            </w:r>
            <w:r>
              <w:rPr>
                <w:b/>
                <w:sz w:val="21"/>
              </w:rPr>
              <w:t>适用场景</w:t>
            </w:r>
          </w:p>
        </w:tc>
        <w:tc>
          <w:tcPr>
            <w:tcW w:type="dxa" w:w="2160"/>
          </w:tcPr>
          <w:p>
            <w:pPr>
              <w:spacing w:line="288" w:lineRule="auto"/>
            </w:pPr>
            <w:r>
              <w:rPr>
                <w:b/>
                <w:sz w:val="21"/>
              </w:rPr>
            </w:r>
            <w:r>
              <w:rPr>
                <w:b/>
                <w:sz w:val="21"/>
              </w:rPr>
              <w:t>免费策略</w:t>
            </w:r>
          </w:p>
        </w:tc>
        <w:tc>
          <w:tcPr>
            <w:tcW w:type="dxa" w:w="2160"/>
          </w:tcPr>
          <w:p>
            <w:pPr>
              <w:spacing w:line="288" w:lineRule="auto"/>
            </w:pPr>
            <w:r>
              <w:rPr>
                <w:b/>
                <w:sz w:val="21"/>
              </w:rPr>
            </w:r>
            <w:r>
              <w:rPr>
                <w:b/>
                <w:sz w:val="21"/>
              </w:rPr>
              <w:t>时效性风险</w:t>
            </w:r>
          </w:p>
        </w:tc>
      </w:tr>
      <w:tr>
        <w:tc>
          <w:tcPr>
            <w:tcW w:type="dxa" w:w="2160"/>
          </w:tcPr>
          <w:p>
            <w:pPr>
              <w:spacing w:line="288" w:lineRule="auto"/>
            </w:pPr>
            <w:r>
              <w:rPr>
                <w:sz w:val="21"/>
              </w:rPr>
            </w:r>
            <w:r>
              <w:rPr>
                <w:sz w:val="21"/>
              </w:rPr>
              <w:t>Notion AI</w:t>
            </w:r>
          </w:p>
        </w:tc>
        <w:tc>
          <w:tcPr>
            <w:tcW w:type="dxa" w:w="2160"/>
          </w:tcPr>
          <w:p>
            <w:pPr>
              <w:spacing w:line="288" w:lineRule="auto"/>
            </w:pPr>
            <w:r>
              <w:rPr>
                <w:sz w:val="21"/>
              </w:rPr>
            </w:r>
            <w:r>
              <w:rPr>
                <w:sz w:val="21"/>
              </w:rPr>
              <w:t>笔记整理、文档改写、会议记录</w:t>
            </w:r>
          </w:p>
        </w:tc>
        <w:tc>
          <w:tcPr>
            <w:tcW w:type="dxa" w:w="2160"/>
          </w:tcPr>
          <w:p>
            <w:pPr>
              <w:spacing w:line="288" w:lineRule="auto"/>
            </w:pPr>
            <w:r>
              <w:rPr>
                <w:sz w:val="21"/>
              </w:rPr>
            </w:r>
            <w:r>
              <w:rPr>
                <w:sz w:val="21"/>
              </w:rPr>
              <w:t xml:space="preserve">需订阅，常与笔记产品捆绑 </w:t>
            </w:r>
            <w:r>
              <w:rPr>
                <w:rFonts w:ascii="Consolas" w:hAnsi="Consolas" w:eastAsia="宋体"/>
                <w:sz w:val="21"/>
              </w:rPr>
              <w:t>[待核实]</w:t>
            </w:r>
          </w:p>
        </w:tc>
        <w:tc>
          <w:tcPr>
            <w:tcW w:type="dxa" w:w="2160"/>
          </w:tcPr>
          <w:p>
            <w:pPr>
              <w:spacing w:line="288" w:lineRule="auto"/>
            </w:pPr>
            <w:r>
              <w:rPr>
                <w:sz w:val="21"/>
              </w:rPr>
            </w:r>
            <w:r>
              <w:rPr>
                <w:sz w:val="21"/>
              </w:rPr>
              <w:t>与 Notion 生态绑定，迁移成本高</w:t>
            </w:r>
          </w:p>
        </w:tc>
      </w:tr>
      <w:tr>
        <w:tc>
          <w:tcPr>
            <w:tcW w:type="dxa" w:w="2160"/>
          </w:tcPr>
          <w:p>
            <w:pPr>
              <w:spacing w:line="288" w:lineRule="auto"/>
            </w:pPr>
            <w:r>
              <w:rPr>
                <w:sz w:val="21"/>
              </w:rPr>
            </w:r>
            <w:r>
              <w:rPr>
                <w:sz w:val="21"/>
              </w:rPr>
              <w:t>WPS AI</w:t>
            </w:r>
          </w:p>
        </w:tc>
        <w:tc>
          <w:tcPr>
            <w:tcW w:type="dxa" w:w="2160"/>
          </w:tcPr>
          <w:p>
            <w:pPr>
              <w:spacing w:line="288" w:lineRule="auto"/>
            </w:pPr>
            <w:r>
              <w:rPr>
                <w:sz w:val="21"/>
              </w:rPr>
            </w:r>
            <w:r>
              <w:rPr>
                <w:sz w:val="21"/>
              </w:rPr>
              <w:t>中文公文、课程报告的格式化与润色</w:t>
            </w:r>
          </w:p>
        </w:tc>
        <w:tc>
          <w:tcPr>
            <w:tcW w:type="dxa" w:w="2160"/>
          </w:tcPr>
          <w:p>
            <w:pPr>
              <w:spacing w:line="288" w:lineRule="auto"/>
            </w:pPr>
            <w:r>
              <w:rPr>
                <w:sz w:val="21"/>
              </w:rPr>
            </w:r>
            <w:r>
              <w:rPr>
                <w:sz w:val="21"/>
              </w:rPr>
              <w:t xml:space="preserve">会员制 </w:t>
            </w:r>
            <w:r>
              <w:rPr>
                <w:rFonts w:ascii="Consolas" w:hAnsi="Consolas" w:eastAsia="宋体"/>
                <w:sz w:val="21"/>
              </w:rPr>
              <w:t>[待核实]</w:t>
            </w:r>
          </w:p>
        </w:tc>
        <w:tc>
          <w:tcPr>
            <w:tcW w:type="dxa" w:w="2160"/>
          </w:tcPr>
          <w:p>
            <w:pPr>
              <w:spacing w:line="288" w:lineRule="auto"/>
            </w:pPr>
            <w:r>
              <w:rPr>
                <w:sz w:val="21"/>
              </w:rPr>
            </w:r>
            <w:r>
              <w:rPr>
                <w:sz w:val="21"/>
              </w:rPr>
              <w:t xml:space="preserve">对中文学术写作的润色能力有限 </w:t>
            </w:r>
            <w:r>
              <w:rPr>
                <w:rFonts w:ascii="Consolas" w:hAnsi="Consolas" w:eastAsia="宋体"/>
                <w:sz w:val="21"/>
              </w:rPr>
              <w:t>[待核实]</w:t>
            </w:r>
          </w:p>
        </w:tc>
      </w:tr>
      <w:tr>
        <w:tc>
          <w:tcPr>
            <w:tcW w:type="dxa" w:w="2160"/>
          </w:tcPr>
          <w:p>
            <w:pPr>
              <w:spacing w:line="288" w:lineRule="auto"/>
            </w:pPr>
            <w:r>
              <w:rPr>
                <w:sz w:val="21"/>
              </w:rPr>
            </w:r>
            <w:r>
              <w:rPr>
                <w:sz w:val="21"/>
              </w:rPr>
              <w:t>秘塔写作猫</w:t>
            </w:r>
          </w:p>
        </w:tc>
        <w:tc>
          <w:tcPr>
            <w:tcW w:type="dxa" w:w="2160"/>
          </w:tcPr>
          <w:p>
            <w:pPr>
              <w:spacing w:line="288" w:lineRule="auto"/>
            </w:pPr>
            <w:r>
              <w:rPr>
                <w:sz w:val="21"/>
              </w:rPr>
            </w:r>
            <w:r>
              <w:rPr>
                <w:sz w:val="21"/>
              </w:rPr>
              <w:t>中文校对、病句与错别字检查</w:t>
            </w:r>
          </w:p>
        </w:tc>
        <w:tc>
          <w:tcPr>
            <w:tcW w:type="dxa" w:w="2160"/>
          </w:tcPr>
          <w:p>
            <w:pPr>
              <w:spacing w:line="288" w:lineRule="auto"/>
            </w:pPr>
            <w:r>
              <w:rPr>
                <w:sz w:val="21"/>
              </w:rPr>
            </w:r>
            <w:r>
              <w:rPr>
                <w:sz w:val="21"/>
              </w:rPr>
              <w:t xml:space="preserve">有免费额度 </w:t>
            </w:r>
            <w:r>
              <w:rPr>
                <w:rFonts w:ascii="Consolas" w:hAnsi="Consolas" w:eastAsia="宋体"/>
                <w:sz w:val="21"/>
              </w:rPr>
              <w:t>[待核实]</w:t>
            </w:r>
          </w:p>
        </w:tc>
        <w:tc>
          <w:tcPr>
            <w:tcW w:type="dxa" w:w="2160"/>
          </w:tcPr>
          <w:p>
            <w:pPr>
              <w:spacing w:line="288" w:lineRule="auto"/>
            </w:pPr>
            <w:r>
              <w:rPr>
                <w:sz w:val="21"/>
              </w:rPr>
            </w:r>
            <w:r>
              <w:rPr>
                <w:sz w:val="21"/>
              </w:rPr>
              <w:t>校对规则更新滞后于语言习惯变化</w:t>
            </w:r>
          </w:p>
        </w:tc>
      </w:tr>
      <w:tr>
        <w:tc>
          <w:tcPr>
            <w:tcW w:type="dxa" w:w="2160"/>
          </w:tcPr>
          <w:p>
            <w:pPr>
              <w:spacing w:line="288" w:lineRule="auto"/>
            </w:pPr>
            <w:r>
              <w:rPr>
                <w:sz w:val="21"/>
              </w:rPr>
            </w:r>
            <w:r>
              <w:rPr>
                <w:sz w:val="21"/>
              </w:rPr>
              <w:t>Grammarly</w:t>
            </w:r>
          </w:p>
        </w:tc>
        <w:tc>
          <w:tcPr>
            <w:tcW w:type="dxa" w:w="2160"/>
          </w:tcPr>
          <w:p>
            <w:pPr>
              <w:spacing w:line="288" w:lineRule="auto"/>
            </w:pPr>
            <w:r>
              <w:rPr>
                <w:sz w:val="21"/>
              </w:rPr>
            </w:r>
            <w:r>
              <w:rPr>
                <w:sz w:val="21"/>
              </w:rPr>
              <w:t>英文语法与拼写检查</w:t>
            </w:r>
          </w:p>
        </w:tc>
        <w:tc>
          <w:tcPr>
            <w:tcW w:type="dxa" w:w="2160"/>
          </w:tcPr>
          <w:p>
            <w:pPr>
              <w:spacing w:line="288" w:lineRule="auto"/>
            </w:pPr>
            <w:r>
              <w:rPr>
                <w:sz w:val="21"/>
              </w:rPr>
            </w:r>
            <w:r>
              <w:rPr>
                <w:sz w:val="21"/>
              </w:rPr>
              <w:t xml:space="preserve">免费版覆盖基础校对 </w:t>
            </w:r>
            <w:r>
              <w:rPr>
                <w:rFonts w:ascii="Consolas" w:hAnsi="Consolas" w:eastAsia="宋体"/>
                <w:sz w:val="21"/>
              </w:rPr>
              <w:t>[待核实]</w:t>
            </w:r>
          </w:p>
        </w:tc>
        <w:tc>
          <w:tcPr>
            <w:tcW w:type="dxa" w:w="2160"/>
          </w:tcPr>
          <w:p>
            <w:pPr>
              <w:spacing w:line="288" w:lineRule="auto"/>
            </w:pPr>
            <w:r>
              <w:rPr>
                <w:sz w:val="21"/>
              </w:rPr>
            </w:r>
            <w:r>
              <w:rPr>
                <w:sz w:val="21"/>
              </w:rPr>
              <w:t>免费版不含改写与语气建议</w:t>
            </w:r>
          </w:p>
        </w:tc>
      </w:tr>
      <w:tr>
        <w:tc>
          <w:tcPr>
            <w:tcW w:type="dxa" w:w="2160"/>
          </w:tcPr>
          <w:p>
            <w:pPr>
              <w:spacing w:line="288" w:lineRule="auto"/>
            </w:pPr>
            <w:r>
              <w:rPr>
                <w:sz w:val="21"/>
              </w:rPr>
            </w:r>
            <w:r>
              <w:rPr>
                <w:sz w:val="21"/>
              </w:rPr>
              <w:t>QuillBot</w:t>
            </w:r>
          </w:p>
        </w:tc>
        <w:tc>
          <w:tcPr>
            <w:tcW w:type="dxa" w:w="2160"/>
          </w:tcPr>
          <w:p>
            <w:pPr>
              <w:spacing w:line="288" w:lineRule="auto"/>
            </w:pPr>
            <w:r>
              <w:rPr>
                <w:sz w:val="21"/>
              </w:rPr>
            </w:r>
            <w:r>
              <w:rPr>
                <w:sz w:val="21"/>
              </w:rPr>
              <w:t>英文同义改写、降重辅助</w:t>
            </w:r>
          </w:p>
        </w:tc>
        <w:tc>
          <w:tcPr>
            <w:tcW w:type="dxa" w:w="2160"/>
          </w:tcPr>
          <w:p>
            <w:pPr>
              <w:spacing w:line="288" w:lineRule="auto"/>
            </w:pPr>
            <w:r>
              <w:rPr>
                <w:sz w:val="21"/>
              </w:rPr>
            </w:r>
            <w:r>
              <w:rPr>
                <w:sz w:val="21"/>
              </w:rPr>
              <w:t xml:space="preserve">有免费额度 </w:t>
            </w:r>
            <w:r>
              <w:rPr>
                <w:rFonts w:ascii="Consolas" w:hAnsi="Consolas" w:eastAsia="宋体"/>
                <w:sz w:val="21"/>
              </w:rPr>
              <w:t>[待核实]</w:t>
            </w:r>
          </w:p>
        </w:tc>
        <w:tc>
          <w:tcPr>
            <w:tcW w:type="dxa" w:w="2160"/>
          </w:tcPr>
          <w:p>
            <w:pPr>
              <w:spacing w:line="288" w:lineRule="auto"/>
            </w:pPr>
            <w:r>
              <w:rPr>
                <w:sz w:val="21"/>
              </w:rPr>
            </w:r>
            <w:r>
              <w:rPr>
                <w:sz w:val="21"/>
              </w:rPr>
              <w:t>改写质量依赖人工复核，学术使用需先确认政策（见第七章、附录C）</w:t>
            </w:r>
          </w:p>
        </w:tc>
      </w:tr>
    </w:tbl>
    <w:p/>
    <w:p>
      <w:pPr>
        <w:pStyle w:val="Heading2"/>
      </w:pPr>
      <w:r>
        <w:t>三、编程与开发场景</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line="288" w:lineRule="auto"/>
            </w:pPr>
            <w:r>
              <w:rPr>
                <w:b/>
                <w:sz w:val="21"/>
              </w:rPr>
            </w:r>
            <w:r>
              <w:rPr>
                <w:b/>
                <w:sz w:val="21"/>
              </w:rPr>
              <w:t>代表工具</w:t>
            </w:r>
          </w:p>
        </w:tc>
        <w:tc>
          <w:tcPr>
            <w:tcW w:type="dxa" w:w="2160"/>
          </w:tcPr>
          <w:p>
            <w:pPr>
              <w:spacing w:line="288" w:lineRule="auto"/>
            </w:pPr>
            <w:r>
              <w:rPr>
                <w:b/>
                <w:sz w:val="21"/>
              </w:rPr>
            </w:r>
            <w:r>
              <w:rPr>
                <w:b/>
                <w:sz w:val="21"/>
              </w:rPr>
              <w:t>适用场景</w:t>
            </w:r>
          </w:p>
        </w:tc>
        <w:tc>
          <w:tcPr>
            <w:tcW w:type="dxa" w:w="2160"/>
          </w:tcPr>
          <w:p>
            <w:pPr>
              <w:spacing w:line="288" w:lineRule="auto"/>
            </w:pPr>
            <w:r>
              <w:rPr>
                <w:b/>
                <w:sz w:val="21"/>
              </w:rPr>
            </w:r>
            <w:r>
              <w:rPr>
                <w:b/>
                <w:sz w:val="21"/>
              </w:rPr>
              <w:t>免费策略</w:t>
            </w:r>
          </w:p>
        </w:tc>
        <w:tc>
          <w:tcPr>
            <w:tcW w:type="dxa" w:w="2160"/>
          </w:tcPr>
          <w:p>
            <w:pPr>
              <w:spacing w:line="288" w:lineRule="auto"/>
            </w:pPr>
            <w:r>
              <w:rPr>
                <w:b/>
                <w:sz w:val="21"/>
              </w:rPr>
            </w:r>
            <w:r>
              <w:rPr>
                <w:b/>
                <w:sz w:val="21"/>
              </w:rPr>
              <w:t>时效性风险</w:t>
            </w:r>
          </w:p>
        </w:tc>
      </w:tr>
      <w:tr>
        <w:tc>
          <w:tcPr>
            <w:tcW w:type="dxa" w:w="2160"/>
          </w:tcPr>
          <w:p>
            <w:pPr>
              <w:spacing w:line="288" w:lineRule="auto"/>
            </w:pPr>
            <w:r>
              <w:rPr>
                <w:sz w:val="21"/>
              </w:rPr>
            </w:r>
            <w:r>
              <w:rPr>
                <w:sz w:val="21"/>
              </w:rPr>
              <w:t>GitHub Copilot</w:t>
            </w:r>
          </w:p>
        </w:tc>
        <w:tc>
          <w:tcPr>
            <w:tcW w:type="dxa" w:w="2160"/>
          </w:tcPr>
          <w:p>
            <w:pPr>
              <w:spacing w:line="288" w:lineRule="auto"/>
            </w:pPr>
            <w:r>
              <w:rPr>
                <w:sz w:val="21"/>
              </w:rPr>
            </w:r>
            <w:r>
              <w:rPr>
                <w:sz w:val="21"/>
              </w:rPr>
              <w:t>代码补全、函数生成，与主流编辑器集成</w:t>
            </w:r>
          </w:p>
        </w:tc>
        <w:tc>
          <w:tcPr>
            <w:tcW w:type="dxa" w:w="2160"/>
          </w:tcPr>
          <w:p>
            <w:pPr>
              <w:spacing w:line="288" w:lineRule="auto"/>
            </w:pPr>
            <w:r>
              <w:rPr>
                <w:sz w:val="21"/>
              </w:rPr>
            </w:r>
            <w:r>
              <w:rPr>
                <w:sz w:val="21"/>
              </w:rPr>
              <w:t xml:space="preserve">学生认证可免费申请 </w:t>
            </w:r>
            <w:r>
              <w:rPr>
                <w:rFonts w:ascii="Consolas" w:hAnsi="Consolas" w:eastAsia="宋体"/>
                <w:sz w:val="21"/>
              </w:rPr>
              <w:t>[待核实]</w:t>
            </w:r>
          </w:p>
        </w:tc>
        <w:tc>
          <w:tcPr>
            <w:tcW w:type="dxa" w:w="2160"/>
          </w:tcPr>
          <w:p>
            <w:pPr>
              <w:spacing w:line="288" w:lineRule="auto"/>
            </w:pPr>
            <w:r>
              <w:rPr>
                <w:sz w:val="21"/>
              </w:rPr>
            </w:r>
            <w:r>
              <w:rPr>
                <w:sz w:val="21"/>
              </w:rPr>
              <w:t xml:space="preserve">认证政策与额度随时调整 </w:t>
            </w:r>
            <w:r>
              <w:rPr>
                <w:rFonts w:ascii="Consolas" w:hAnsi="Consolas" w:eastAsia="宋体"/>
                <w:sz w:val="21"/>
              </w:rPr>
              <w:t>[待核实]</w:t>
            </w:r>
          </w:p>
        </w:tc>
      </w:tr>
      <w:tr>
        <w:tc>
          <w:tcPr>
            <w:tcW w:type="dxa" w:w="2160"/>
          </w:tcPr>
          <w:p>
            <w:pPr>
              <w:spacing w:line="288" w:lineRule="auto"/>
            </w:pPr>
            <w:r>
              <w:rPr>
                <w:sz w:val="21"/>
              </w:rPr>
            </w:r>
            <w:r>
              <w:rPr>
                <w:sz w:val="21"/>
              </w:rPr>
              <w:t>Cursor</w:t>
            </w:r>
          </w:p>
        </w:tc>
        <w:tc>
          <w:tcPr>
            <w:tcW w:type="dxa" w:w="2160"/>
          </w:tcPr>
          <w:p>
            <w:pPr>
              <w:spacing w:line="288" w:lineRule="auto"/>
            </w:pPr>
            <w:r>
              <w:rPr>
                <w:sz w:val="21"/>
              </w:rPr>
            </w:r>
            <w:r>
              <w:rPr>
                <w:sz w:val="21"/>
              </w:rPr>
              <w:t>AI 原生代码编辑器，跨文件修改</w:t>
            </w:r>
          </w:p>
        </w:tc>
        <w:tc>
          <w:tcPr>
            <w:tcW w:type="dxa" w:w="2160"/>
          </w:tcPr>
          <w:p>
            <w:pPr>
              <w:spacing w:line="288" w:lineRule="auto"/>
            </w:pPr>
            <w:r>
              <w:rPr>
                <w:sz w:val="21"/>
              </w:rPr>
            </w:r>
            <w:r>
              <w:rPr>
                <w:sz w:val="21"/>
              </w:rPr>
              <w:t xml:space="preserve">有免费额度 </w:t>
            </w:r>
            <w:r>
              <w:rPr>
                <w:rFonts w:ascii="Consolas" w:hAnsi="Consolas" w:eastAsia="宋体"/>
                <w:sz w:val="21"/>
              </w:rPr>
              <w:t>[待核实]</w:t>
            </w:r>
          </w:p>
        </w:tc>
        <w:tc>
          <w:tcPr>
            <w:tcW w:type="dxa" w:w="2160"/>
          </w:tcPr>
          <w:p>
            <w:pPr>
              <w:spacing w:line="288" w:lineRule="auto"/>
            </w:pPr>
            <w:r>
              <w:rPr>
                <w:sz w:val="21"/>
              </w:rPr>
            </w:r>
            <w:r>
              <w:rPr>
                <w:sz w:val="21"/>
              </w:rPr>
              <w:t>产品迭代极快，操作方式可能过时</w:t>
            </w:r>
          </w:p>
        </w:tc>
      </w:tr>
      <w:tr>
        <w:tc>
          <w:tcPr>
            <w:tcW w:type="dxa" w:w="2160"/>
          </w:tcPr>
          <w:p>
            <w:pPr>
              <w:spacing w:line="288" w:lineRule="auto"/>
            </w:pPr>
            <w:r>
              <w:rPr>
                <w:sz w:val="21"/>
              </w:rPr>
            </w:r>
            <w:r>
              <w:rPr>
                <w:sz w:val="21"/>
              </w:rPr>
              <w:t>Claude Code</w:t>
            </w:r>
          </w:p>
        </w:tc>
        <w:tc>
          <w:tcPr>
            <w:tcW w:type="dxa" w:w="2160"/>
          </w:tcPr>
          <w:p>
            <w:pPr>
              <w:spacing w:line="288" w:lineRule="auto"/>
            </w:pPr>
            <w:r>
              <w:rPr>
                <w:sz w:val="21"/>
              </w:rPr>
            </w:r>
            <w:r>
              <w:rPr>
                <w:sz w:val="21"/>
              </w:rPr>
              <w:t>命令行编程助手，适合较大重构任务</w:t>
            </w:r>
          </w:p>
        </w:tc>
        <w:tc>
          <w:tcPr>
            <w:tcW w:type="dxa" w:w="2160"/>
          </w:tcPr>
          <w:p>
            <w:pPr>
              <w:spacing w:line="288" w:lineRule="auto"/>
            </w:pPr>
            <w:r>
              <w:rPr>
                <w:sz w:val="21"/>
              </w:rPr>
            </w:r>
            <w:r>
              <w:rPr>
                <w:sz w:val="21"/>
              </w:rPr>
              <w:t xml:space="preserve">按 API 用量计费 </w:t>
            </w:r>
            <w:r>
              <w:rPr>
                <w:rFonts w:ascii="Consolas" w:hAnsi="Consolas" w:eastAsia="宋体"/>
                <w:sz w:val="21"/>
              </w:rPr>
              <w:t>[待核实]</w:t>
            </w:r>
          </w:p>
        </w:tc>
        <w:tc>
          <w:tcPr>
            <w:tcW w:type="dxa" w:w="2160"/>
          </w:tcPr>
          <w:p>
            <w:pPr>
              <w:spacing w:line="288" w:lineRule="auto"/>
            </w:pPr>
            <w:r>
              <w:rPr>
                <w:sz w:val="21"/>
              </w:rPr>
            </w:r>
            <w:r>
              <w:rPr>
                <w:sz w:val="21"/>
              </w:rPr>
              <w:t>需要基本的命令行与版本控制知识</w:t>
            </w:r>
          </w:p>
        </w:tc>
      </w:tr>
      <w:tr>
        <w:tc>
          <w:tcPr>
            <w:tcW w:type="dxa" w:w="2160"/>
          </w:tcPr>
          <w:p>
            <w:pPr>
              <w:spacing w:line="288" w:lineRule="auto"/>
            </w:pPr>
            <w:r>
              <w:rPr>
                <w:sz w:val="21"/>
              </w:rPr>
            </w:r>
            <w:r>
              <w:rPr>
                <w:sz w:val="21"/>
              </w:rPr>
              <w:t>通义灵码（阿里）</w:t>
            </w:r>
          </w:p>
        </w:tc>
        <w:tc>
          <w:tcPr>
            <w:tcW w:type="dxa" w:w="2160"/>
          </w:tcPr>
          <w:p>
            <w:pPr>
              <w:spacing w:line="288" w:lineRule="auto"/>
            </w:pPr>
            <w:r>
              <w:rPr>
                <w:sz w:val="21"/>
              </w:rPr>
            </w:r>
            <w:r>
              <w:rPr>
                <w:sz w:val="21"/>
              </w:rPr>
              <w:t>中文注释生成、国内开发环境适配</w:t>
            </w:r>
          </w:p>
        </w:tc>
        <w:tc>
          <w:tcPr>
            <w:tcW w:type="dxa" w:w="2160"/>
          </w:tcPr>
          <w:p>
            <w:pPr>
              <w:spacing w:line="288" w:lineRule="auto"/>
            </w:pPr>
            <w:r>
              <w:rPr>
                <w:sz w:val="21"/>
              </w:rPr>
            </w:r>
            <w:r>
              <w:rPr>
                <w:sz w:val="21"/>
              </w:rPr>
              <w:t xml:space="preserve">基础功能免费 </w:t>
            </w:r>
            <w:r>
              <w:rPr>
                <w:rFonts w:ascii="Consolas" w:hAnsi="Consolas" w:eastAsia="宋体"/>
                <w:sz w:val="21"/>
              </w:rPr>
              <w:t>[待核实]</w:t>
            </w:r>
          </w:p>
        </w:tc>
        <w:tc>
          <w:tcPr>
            <w:tcW w:type="dxa" w:w="2160"/>
          </w:tcPr>
          <w:p>
            <w:pPr>
              <w:spacing w:line="288" w:lineRule="auto"/>
            </w:pPr>
            <w:r>
              <w:rPr>
                <w:sz w:val="21"/>
              </w:rPr>
            </w:r>
            <w:r>
              <w:rPr>
                <w:sz w:val="21"/>
              </w:rPr>
              <w:t>生态相对集中于阿里系工具链</w:t>
            </w:r>
          </w:p>
        </w:tc>
      </w:tr>
      <w:tr>
        <w:tc>
          <w:tcPr>
            <w:tcW w:type="dxa" w:w="2160"/>
          </w:tcPr>
          <w:p>
            <w:pPr>
              <w:spacing w:line="288" w:lineRule="auto"/>
            </w:pPr>
            <w:r>
              <w:rPr>
                <w:sz w:val="21"/>
              </w:rPr>
            </w:r>
            <w:r>
              <w:rPr>
                <w:sz w:val="21"/>
              </w:rPr>
              <w:t>v0（Vercel）</w:t>
            </w:r>
          </w:p>
        </w:tc>
        <w:tc>
          <w:tcPr>
            <w:tcW w:type="dxa" w:w="2160"/>
          </w:tcPr>
          <w:p>
            <w:pPr>
              <w:spacing w:line="288" w:lineRule="auto"/>
            </w:pPr>
            <w:r>
              <w:rPr>
                <w:sz w:val="21"/>
              </w:rPr>
            </w:r>
            <w:r>
              <w:rPr>
                <w:sz w:val="21"/>
              </w:rPr>
              <w:t>前端界面原型快速生成</w:t>
            </w:r>
          </w:p>
        </w:tc>
        <w:tc>
          <w:tcPr>
            <w:tcW w:type="dxa" w:w="2160"/>
          </w:tcPr>
          <w:p>
            <w:pPr>
              <w:spacing w:line="288" w:lineRule="auto"/>
            </w:pPr>
            <w:r>
              <w:rPr>
                <w:sz w:val="21"/>
              </w:rPr>
            </w:r>
            <w:r>
              <w:rPr>
                <w:sz w:val="21"/>
              </w:rPr>
              <w:t xml:space="preserve">有免费额度 </w:t>
            </w:r>
            <w:r>
              <w:rPr>
                <w:rFonts w:ascii="Consolas" w:hAnsi="Consolas" w:eastAsia="宋体"/>
                <w:sz w:val="21"/>
              </w:rPr>
              <w:t>[待核实]</w:t>
            </w:r>
          </w:p>
        </w:tc>
        <w:tc>
          <w:tcPr>
            <w:tcW w:type="dxa" w:w="2160"/>
          </w:tcPr>
          <w:p>
            <w:pPr>
              <w:spacing w:line="288" w:lineRule="auto"/>
            </w:pPr>
            <w:r>
              <w:rPr>
                <w:sz w:val="21"/>
              </w:rPr>
            </w:r>
            <w:r>
              <w:rPr>
                <w:sz w:val="21"/>
              </w:rPr>
              <w:t>生成代码的可维护性需人工评估</w:t>
            </w:r>
          </w:p>
        </w:tc>
      </w:tr>
    </w:tbl>
    <w:p/>
    <w:p>
      <w:pPr>
        <w:pStyle w:val="Heading2"/>
      </w:pPr>
      <w:r>
        <w:t>四、图像生成场景</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line="288" w:lineRule="auto"/>
            </w:pPr>
            <w:r>
              <w:rPr>
                <w:b/>
                <w:sz w:val="21"/>
              </w:rPr>
            </w:r>
            <w:r>
              <w:rPr>
                <w:b/>
                <w:sz w:val="21"/>
              </w:rPr>
              <w:t>代表工具</w:t>
            </w:r>
          </w:p>
        </w:tc>
        <w:tc>
          <w:tcPr>
            <w:tcW w:type="dxa" w:w="2160"/>
          </w:tcPr>
          <w:p>
            <w:pPr>
              <w:spacing w:line="288" w:lineRule="auto"/>
            </w:pPr>
            <w:r>
              <w:rPr>
                <w:b/>
                <w:sz w:val="21"/>
              </w:rPr>
            </w:r>
            <w:r>
              <w:rPr>
                <w:b/>
                <w:sz w:val="21"/>
              </w:rPr>
              <w:t>适用场景</w:t>
            </w:r>
          </w:p>
        </w:tc>
        <w:tc>
          <w:tcPr>
            <w:tcW w:type="dxa" w:w="2160"/>
          </w:tcPr>
          <w:p>
            <w:pPr>
              <w:spacing w:line="288" w:lineRule="auto"/>
            </w:pPr>
            <w:r>
              <w:rPr>
                <w:b/>
                <w:sz w:val="21"/>
              </w:rPr>
            </w:r>
            <w:r>
              <w:rPr>
                <w:b/>
                <w:sz w:val="21"/>
              </w:rPr>
              <w:t>免费策略</w:t>
            </w:r>
          </w:p>
        </w:tc>
        <w:tc>
          <w:tcPr>
            <w:tcW w:type="dxa" w:w="2160"/>
          </w:tcPr>
          <w:p>
            <w:pPr>
              <w:spacing w:line="288" w:lineRule="auto"/>
            </w:pPr>
            <w:r>
              <w:rPr>
                <w:b/>
                <w:sz w:val="21"/>
              </w:rPr>
            </w:r>
            <w:r>
              <w:rPr>
                <w:b/>
                <w:sz w:val="21"/>
              </w:rPr>
              <w:t>时效性风险</w:t>
            </w:r>
          </w:p>
        </w:tc>
      </w:tr>
      <w:tr>
        <w:tc>
          <w:tcPr>
            <w:tcW w:type="dxa" w:w="2160"/>
          </w:tcPr>
          <w:p>
            <w:pPr>
              <w:spacing w:line="288" w:lineRule="auto"/>
            </w:pPr>
            <w:r>
              <w:rPr>
                <w:sz w:val="21"/>
              </w:rPr>
            </w:r>
            <w:r>
              <w:rPr>
                <w:sz w:val="21"/>
              </w:rPr>
              <w:t>Midjourney</w:t>
            </w:r>
          </w:p>
        </w:tc>
        <w:tc>
          <w:tcPr>
            <w:tcW w:type="dxa" w:w="2160"/>
          </w:tcPr>
          <w:p>
            <w:pPr>
              <w:spacing w:line="288" w:lineRule="auto"/>
            </w:pPr>
            <w:r>
              <w:rPr>
                <w:sz w:val="21"/>
              </w:rPr>
            </w:r>
            <w:r>
              <w:rPr>
                <w:sz w:val="21"/>
              </w:rPr>
              <w:t>风格化图像、概念设计</w:t>
            </w:r>
          </w:p>
        </w:tc>
        <w:tc>
          <w:tcPr>
            <w:tcW w:type="dxa" w:w="2160"/>
          </w:tcPr>
          <w:p>
            <w:pPr>
              <w:spacing w:line="288" w:lineRule="auto"/>
            </w:pPr>
            <w:r>
              <w:rPr>
                <w:sz w:val="21"/>
              </w:rPr>
            </w:r>
            <w:r>
              <w:rPr>
                <w:sz w:val="21"/>
              </w:rPr>
              <w:t xml:space="preserve">订阅制，无长期免费层 </w:t>
            </w:r>
            <w:r>
              <w:rPr>
                <w:rFonts w:ascii="Consolas" w:hAnsi="Consolas" w:eastAsia="宋体"/>
                <w:sz w:val="21"/>
              </w:rPr>
              <w:t>[待核实]</w:t>
            </w:r>
          </w:p>
        </w:tc>
        <w:tc>
          <w:tcPr>
            <w:tcW w:type="dxa" w:w="2160"/>
          </w:tcPr>
          <w:p>
            <w:pPr>
              <w:spacing w:line="288" w:lineRule="auto"/>
            </w:pPr>
            <w:r>
              <w:rPr>
                <w:sz w:val="21"/>
              </w:rPr>
            </w:r>
            <w:r>
              <w:rPr>
                <w:sz w:val="21"/>
              </w:rPr>
              <w:t>风格趋同，商业使用条款需细读</w:t>
            </w:r>
          </w:p>
        </w:tc>
      </w:tr>
      <w:tr>
        <w:tc>
          <w:tcPr>
            <w:tcW w:type="dxa" w:w="2160"/>
          </w:tcPr>
          <w:p>
            <w:pPr>
              <w:spacing w:line="288" w:lineRule="auto"/>
            </w:pPr>
            <w:r>
              <w:rPr>
                <w:sz w:val="21"/>
              </w:rPr>
            </w:r>
            <w:r>
              <w:rPr>
                <w:sz w:val="21"/>
              </w:rPr>
              <w:t>ChatGPT 图像生成</w:t>
            </w:r>
          </w:p>
        </w:tc>
        <w:tc>
          <w:tcPr>
            <w:tcW w:type="dxa" w:w="2160"/>
          </w:tcPr>
          <w:p>
            <w:pPr>
              <w:spacing w:line="288" w:lineRule="auto"/>
            </w:pPr>
            <w:r>
              <w:rPr>
                <w:sz w:val="21"/>
              </w:rPr>
            </w:r>
            <w:r>
              <w:rPr>
                <w:sz w:val="21"/>
              </w:rPr>
              <w:t>图表说明、示意图修改、图文混排</w:t>
            </w:r>
          </w:p>
        </w:tc>
        <w:tc>
          <w:tcPr>
            <w:tcW w:type="dxa" w:w="2160"/>
          </w:tcPr>
          <w:p>
            <w:pPr>
              <w:spacing w:line="288" w:lineRule="auto"/>
            </w:pPr>
            <w:r>
              <w:rPr>
                <w:sz w:val="21"/>
              </w:rPr>
            </w:r>
            <w:r>
              <w:rPr>
                <w:sz w:val="21"/>
              </w:rPr>
              <w:t xml:space="preserve">依 ChatGPT 订阅档位 </w:t>
            </w:r>
            <w:r>
              <w:rPr>
                <w:rFonts w:ascii="Consolas" w:hAnsi="Consolas" w:eastAsia="宋体"/>
                <w:sz w:val="21"/>
              </w:rPr>
              <w:t>[待核实]</w:t>
            </w:r>
          </w:p>
        </w:tc>
        <w:tc>
          <w:tcPr>
            <w:tcW w:type="dxa" w:w="2160"/>
          </w:tcPr>
          <w:p>
            <w:pPr>
              <w:spacing w:line="288" w:lineRule="auto"/>
            </w:pPr>
            <w:r>
              <w:rPr>
                <w:sz w:val="21"/>
              </w:rPr>
            </w:r>
            <w:r>
              <w:rPr>
                <w:sz w:val="21"/>
              </w:rPr>
              <w:t>生成速度与配额限制变动频繁</w:t>
            </w:r>
          </w:p>
        </w:tc>
      </w:tr>
      <w:tr>
        <w:tc>
          <w:tcPr>
            <w:tcW w:type="dxa" w:w="2160"/>
          </w:tcPr>
          <w:p>
            <w:pPr>
              <w:spacing w:line="288" w:lineRule="auto"/>
            </w:pPr>
            <w:r>
              <w:rPr>
                <w:sz w:val="21"/>
              </w:rPr>
            </w:r>
            <w:r>
              <w:rPr>
                <w:sz w:val="21"/>
              </w:rPr>
              <w:t>Stable Diffusion</w:t>
            </w:r>
          </w:p>
        </w:tc>
        <w:tc>
          <w:tcPr>
            <w:tcW w:type="dxa" w:w="2160"/>
          </w:tcPr>
          <w:p>
            <w:pPr>
              <w:spacing w:line="288" w:lineRule="auto"/>
            </w:pPr>
            <w:r>
              <w:rPr>
                <w:sz w:val="21"/>
              </w:rPr>
            </w:r>
            <w:r>
              <w:rPr>
                <w:sz w:val="21"/>
              </w:rPr>
              <w:t>本地部署、可控性强、无内容审查差异需求</w:t>
            </w:r>
          </w:p>
        </w:tc>
        <w:tc>
          <w:tcPr>
            <w:tcW w:type="dxa" w:w="2160"/>
          </w:tcPr>
          <w:p>
            <w:pPr>
              <w:spacing w:line="288" w:lineRule="auto"/>
            </w:pPr>
            <w:r>
              <w:rPr>
                <w:sz w:val="21"/>
              </w:rPr>
            </w:r>
            <w:r>
              <w:rPr>
                <w:sz w:val="21"/>
              </w:rPr>
              <w:t>开源免费，需自备算力</w:t>
            </w:r>
          </w:p>
        </w:tc>
        <w:tc>
          <w:tcPr>
            <w:tcW w:type="dxa" w:w="2160"/>
          </w:tcPr>
          <w:p>
            <w:pPr>
              <w:spacing w:line="288" w:lineRule="auto"/>
            </w:pPr>
            <w:r>
              <w:rPr>
                <w:sz w:val="21"/>
              </w:rPr>
            </w:r>
            <w:r>
              <w:rPr>
                <w:sz w:val="21"/>
              </w:rPr>
              <w:t>部署门槛高；版本与插件生态混乱</w:t>
            </w:r>
          </w:p>
        </w:tc>
      </w:tr>
      <w:tr>
        <w:tc>
          <w:tcPr>
            <w:tcW w:type="dxa" w:w="2160"/>
          </w:tcPr>
          <w:p>
            <w:pPr>
              <w:spacing w:line="288" w:lineRule="auto"/>
            </w:pPr>
            <w:r>
              <w:rPr>
                <w:sz w:val="21"/>
              </w:rPr>
            </w:r>
            <w:r>
              <w:rPr>
                <w:sz w:val="21"/>
              </w:rPr>
              <w:t>即梦（字节跳动）</w:t>
            </w:r>
          </w:p>
        </w:tc>
        <w:tc>
          <w:tcPr>
            <w:tcW w:type="dxa" w:w="2160"/>
          </w:tcPr>
          <w:p>
            <w:pPr>
              <w:spacing w:line="288" w:lineRule="auto"/>
            </w:pPr>
            <w:r>
              <w:rPr>
                <w:sz w:val="21"/>
              </w:rPr>
            </w:r>
            <w:r>
              <w:rPr>
                <w:sz w:val="21"/>
              </w:rPr>
              <w:t>中文提示词友好、海报与配图</w:t>
            </w:r>
          </w:p>
        </w:tc>
        <w:tc>
          <w:tcPr>
            <w:tcW w:type="dxa" w:w="2160"/>
          </w:tcPr>
          <w:p>
            <w:pPr>
              <w:spacing w:line="288" w:lineRule="auto"/>
            </w:pPr>
            <w:r>
              <w:rPr>
                <w:sz w:val="21"/>
              </w:rPr>
            </w:r>
            <w:r>
              <w:rPr>
                <w:sz w:val="21"/>
              </w:rPr>
              <w:t xml:space="preserve">有免费额度 </w:t>
            </w:r>
            <w:r>
              <w:rPr>
                <w:rFonts w:ascii="Consolas" w:hAnsi="Consolas" w:eastAsia="宋体"/>
                <w:sz w:val="21"/>
              </w:rPr>
              <w:t>[待核实]</w:t>
            </w:r>
          </w:p>
        </w:tc>
        <w:tc>
          <w:tcPr>
            <w:tcW w:type="dxa" w:w="2160"/>
          </w:tcPr>
          <w:p>
            <w:pPr>
              <w:spacing w:line="288" w:lineRule="auto"/>
            </w:pPr>
            <w:r>
              <w:rPr>
                <w:sz w:val="21"/>
              </w:rPr>
            </w:r>
            <w:r>
              <w:rPr>
                <w:sz w:val="21"/>
              </w:rPr>
              <w:t>中文场景优化与真实感之间存在取舍</w:t>
            </w:r>
          </w:p>
        </w:tc>
      </w:tr>
      <w:tr>
        <w:tc>
          <w:tcPr>
            <w:tcW w:type="dxa" w:w="2160"/>
          </w:tcPr>
          <w:p>
            <w:pPr>
              <w:spacing w:line="288" w:lineRule="auto"/>
            </w:pPr>
            <w:r>
              <w:rPr>
                <w:sz w:val="21"/>
              </w:rPr>
            </w:r>
            <w:r>
              <w:rPr>
                <w:sz w:val="21"/>
              </w:rPr>
              <w:t>文心一格（百度）</w:t>
            </w:r>
          </w:p>
        </w:tc>
        <w:tc>
          <w:tcPr>
            <w:tcW w:type="dxa" w:w="2160"/>
          </w:tcPr>
          <w:p>
            <w:pPr>
              <w:spacing w:line="288" w:lineRule="auto"/>
            </w:pPr>
            <w:r>
              <w:rPr>
                <w:sz w:val="21"/>
              </w:rPr>
            </w:r>
            <w:r>
              <w:rPr>
                <w:sz w:val="21"/>
              </w:rPr>
              <w:t>中文文化元素图像生成</w:t>
            </w:r>
          </w:p>
        </w:tc>
        <w:tc>
          <w:tcPr>
            <w:tcW w:type="dxa" w:w="2160"/>
          </w:tcPr>
          <w:p>
            <w:pPr>
              <w:spacing w:line="288" w:lineRule="auto"/>
            </w:pPr>
            <w:r>
              <w:rPr>
                <w:sz w:val="21"/>
              </w:rPr>
            </w:r>
            <w:r>
              <w:rPr>
                <w:sz w:val="21"/>
              </w:rPr>
              <w:t xml:space="preserve">积分制 </w:t>
            </w:r>
            <w:r>
              <w:rPr>
                <w:rFonts w:ascii="Consolas" w:hAnsi="Consolas" w:eastAsia="宋体"/>
                <w:sz w:val="21"/>
              </w:rPr>
              <w:t>[待核实]</w:t>
            </w:r>
          </w:p>
        </w:tc>
        <w:tc>
          <w:tcPr>
            <w:tcW w:type="dxa" w:w="2160"/>
          </w:tcPr>
          <w:p>
            <w:pPr>
              <w:spacing w:line="288" w:lineRule="auto"/>
            </w:pPr>
            <w:r>
              <w:rPr>
                <w:sz w:val="21"/>
              </w:rPr>
            </w:r>
            <w:r>
              <w:rPr>
                <w:sz w:val="21"/>
              </w:rPr>
              <w:t xml:space="preserve">生成质量与额度政策不稳定 </w:t>
            </w:r>
            <w:r>
              <w:rPr>
                <w:rFonts w:ascii="Consolas" w:hAnsi="Consolas" w:eastAsia="宋体"/>
                <w:sz w:val="21"/>
              </w:rPr>
              <w:t>[待核实]</w:t>
            </w:r>
          </w:p>
        </w:tc>
      </w:tr>
    </w:tbl>
    <w:p/>
    <w:p>
      <w:pPr>
        <w:pStyle w:val="Heading2"/>
      </w:pPr>
      <w:r>
        <w:t>五、科研与文献场景</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line="288" w:lineRule="auto"/>
            </w:pPr>
            <w:r>
              <w:rPr>
                <w:b/>
                <w:sz w:val="21"/>
              </w:rPr>
            </w:r>
            <w:r>
              <w:rPr>
                <w:b/>
                <w:sz w:val="21"/>
              </w:rPr>
              <w:t>代表工具</w:t>
            </w:r>
          </w:p>
        </w:tc>
        <w:tc>
          <w:tcPr>
            <w:tcW w:type="dxa" w:w="2160"/>
          </w:tcPr>
          <w:p>
            <w:pPr>
              <w:spacing w:line="288" w:lineRule="auto"/>
            </w:pPr>
            <w:r>
              <w:rPr>
                <w:b/>
                <w:sz w:val="21"/>
              </w:rPr>
            </w:r>
            <w:r>
              <w:rPr>
                <w:b/>
                <w:sz w:val="21"/>
              </w:rPr>
              <w:t>适用场景</w:t>
            </w:r>
          </w:p>
        </w:tc>
        <w:tc>
          <w:tcPr>
            <w:tcW w:type="dxa" w:w="2160"/>
          </w:tcPr>
          <w:p>
            <w:pPr>
              <w:spacing w:line="288" w:lineRule="auto"/>
            </w:pPr>
            <w:r>
              <w:rPr>
                <w:b/>
                <w:sz w:val="21"/>
              </w:rPr>
            </w:r>
            <w:r>
              <w:rPr>
                <w:b/>
                <w:sz w:val="21"/>
              </w:rPr>
              <w:t>免费策略</w:t>
            </w:r>
          </w:p>
        </w:tc>
        <w:tc>
          <w:tcPr>
            <w:tcW w:type="dxa" w:w="2160"/>
          </w:tcPr>
          <w:p>
            <w:pPr>
              <w:spacing w:line="288" w:lineRule="auto"/>
            </w:pPr>
            <w:r>
              <w:rPr>
                <w:b/>
                <w:sz w:val="21"/>
              </w:rPr>
            </w:r>
            <w:r>
              <w:rPr>
                <w:b/>
                <w:sz w:val="21"/>
              </w:rPr>
              <w:t>时效性风险</w:t>
            </w:r>
          </w:p>
        </w:tc>
      </w:tr>
      <w:tr>
        <w:tc>
          <w:tcPr>
            <w:tcW w:type="dxa" w:w="2160"/>
          </w:tcPr>
          <w:p>
            <w:pPr>
              <w:spacing w:line="288" w:lineRule="auto"/>
            </w:pPr>
            <w:r>
              <w:rPr>
                <w:sz w:val="21"/>
              </w:rPr>
            </w:r>
            <w:r>
              <w:rPr>
                <w:sz w:val="21"/>
              </w:rPr>
              <w:t>Semantic Scholar</w:t>
            </w:r>
          </w:p>
        </w:tc>
        <w:tc>
          <w:tcPr>
            <w:tcW w:type="dxa" w:w="2160"/>
          </w:tcPr>
          <w:p>
            <w:pPr>
              <w:spacing w:line="288" w:lineRule="auto"/>
            </w:pPr>
            <w:r>
              <w:rPr>
                <w:sz w:val="21"/>
              </w:rPr>
            </w:r>
            <w:r>
              <w:rPr>
                <w:sz w:val="21"/>
              </w:rPr>
              <w:t>免费学术搜索、引文网络浏览</w:t>
            </w:r>
          </w:p>
        </w:tc>
        <w:tc>
          <w:tcPr>
            <w:tcW w:type="dxa" w:w="2160"/>
          </w:tcPr>
          <w:p>
            <w:pPr>
              <w:spacing w:line="288" w:lineRule="auto"/>
            </w:pPr>
            <w:r>
              <w:rPr>
                <w:sz w:val="21"/>
              </w:rPr>
            </w:r>
            <w:r>
              <w:rPr>
                <w:sz w:val="21"/>
              </w:rPr>
              <w:t>免费</w:t>
            </w:r>
          </w:p>
        </w:tc>
        <w:tc>
          <w:tcPr>
            <w:tcW w:type="dxa" w:w="2160"/>
          </w:tcPr>
          <w:p>
            <w:pPr>
              <w:spacing w:line="288" w:lineRule="auto"/>
            </w:pPr>
            <w:r>
              <w:rPr>
                <w:sz w:val="21"/>
              </w:rPr>
            </w:r>
            <w:r>
              <w:rPr>
                <w:sz w:val="21"/>
              </w:rPr>
              <w:t>检索深度不及专业数据库</w:t>
            </w:r>
          </w:p>
        </w:tc>
      </w:tr>
      <w:tr>
        <w:tc>
          <w:tcPr>
            <w:tcW w:type="dxa" w:w="2160"/>
          </w:tcPr>
          <w:p>
            <w:pPr>
              <w:spacing w:line="288" w:lineRule="auto"/>
            </w:pPr>
            <w:r>
              <w:rPr>
                <w:sz w:val="21"/>
              </w:rPr>
            </w:r>
            <w:r>
              <w:rPr>
                <w:sz w:val="21"/>
              </w:rPr>
              <w:t>Connected Papers</w:t>
            </w:r>
          </w:p>
        </w:tc>
        <w:tc>
          <w:tcPr>
            <w:tcW w:type="dxa" w:w="2160"/>
          </w:tcPr>
          <w:p>
            <w:pPr>
              <w:spacing w:line="288" w:lineRule="auto"/>
            </w:pPr>
            <w:r>
              <w:rPr>
                <w:sz w:val="21"/>
              </w:rPr>
            </w:r>
            <w:r>
              <w:rPr>
                <w:sz w:val="21"/>
              </w:rPr>
              <w:t>相关文献的可视化发现</w:t>
            </w:r>
          </w:p>
        </w:tc>
        <w:tc>
          <w:tcPr>
            <w:tcW w:type="dxa" w:w="2160"/>
          </w:tcPr>
          <w:p>
            <w:pPr>
              <w:spacing w:line="288" w:lineRule="auto"/>
            </w:pPr>
            <w:r>
              <w:rPr>
                <w:sz w:val="21"/>
              </w:rPr>
            </w:r>
            <w:r>
              <w:rPr>
                <w:sz w:val="21"/>
              </w:rPr>
              <w:t xml:space="preserve">有免费额度 </w:t>
            </w:r>
            <w:r>
              <w:rPr>
                <w:rFonts w:ascii="Consolas" w:hAnsi="Consolas" w:eastAsia="宋体"/>
                <w:sz w:val="21"/>
              </w:rPr>
              <w:t>[待核实]</w:t>
            </w:r>
          </w:p>
        </w:tc>
        <w:tc>
          <w:tcPr>
            <w:tcW w:type="dxa" w:w="2160"/>
          </w:tcPr>
          <w:p>
            <w:pPr>
              <w:spacing w:line="288" w:lineRule="auto"/>
            </w:pPr>
            <w:r>
              <w:rPr>
                <w:sz w:val="21"/>
              </w:rPr>
            </w:r>
            <w:r>
              <w:rPr>
                <w:sz w:val="21"/>
              </w:rPr>
              <w:t>依赖 Semantic Scholar 数据，覆盖有缺口</w:t>
            </w:r>
          </w:p>
        </w:tc>
      </w:tr>
      <w:tr>
        <w:tc>
          <w:tcPr>
            <w:tcW w:type="dxa" w:w="2160"/>
          </w:tcPr>
          <w:p>
            <w:pPr>
              <w:spacing w:line="288" w:lineRule="auto"/>
            </w:pPr>
            <w:r>
              <w:rPr>
                <w:sz w:val="21"/>
              </w:rPr>
            </w:r>
            <w:r>
              <w:rPr>
                <w:sz w:val="21"/>
              </w:rPr>
              <w:t>Elicit</w:t>
            </w:r>
          </w:p>
        </w:tc>
        <w:tc>
          <w:tcPr>
            <w:tcW w:type="dxa" w:w="2160"/>
          </w:tcPr>
          <w:p>
            <w:pPr>
              <w:spacing w:line="288" w:lineRule="auto"/>
            </w:pPr>
            <w:r>
              <w:rPr>
                <w:sz w:val="21"/>
              </w:rPr>
            </w:r>
            <w:r>
              <w:rPr>
                <w:sz w:val="21"/>
              </w:rPr>
              <w:t>文献筛选、研究问题拆解</w:t>
            </w:r>
          </w:p>
        </w:tc>
        <w:tc>
          <w:tcPr>
            <w:tcW w:type="dxa" w:w="2160"/>
          </w:tcPr>
          <w:p>
            <w:pPr>
              <w:spacing w:line="288" w:lineRule="auto"/>
            </w:pPr>
            <w:r>
              <w:rPr>
                <w:sz w:val="21"/>
              </w:rPr>
            </w:r>
            <w:r>
              <w:rPr>
                <w:sz w:val="21"/>
              </w:rPr>
              <w:t xml:space="preserve">有免费额度 </w:t>
            </w:r>
            <w:r>
              <w:rPr>
                <w:rFonts w:ascii="Consolas" w:hAnsi="Consolas" w:eastAsia="宋体"/>
                <w:sz w:val="21"/>
              </w:rPr>
              <w:t>[待核实]</w:t>
            </w:r>
          </w:p>
        </w:tc>
        <w:tc>
          <w:tcPr>
            <w:tcW w:type="dxa" w:w="2160"/>
          </w:tcPr>
          <w:p>
            <w:pPr>
              <w:spacing w:line="288" w:lineRule="auto"/>
            </w:pPr>
            <w:r>
              <w:rPr>
                <w:sz w:val="21"/>
              </w:rPr>
            </w:r>
            <w:r>
              <w:rPr>
                <w:sz w:val="21"/>
              </w:rPr>
              <w:t>对文献内容的概括存在失真风险，须回读原文</w:t>
            </w:r>
          </w:p>
        </w:tc>
      </w:tr>
      <w:tr>
        <w:tc>
          <w:tcPr>
            <w:tcW w:type="dxa" w:w="2160"/>
          </w:tcPr>
          <w:p>
            <w:pPr>
              <w:spacing w:line="288" w:lineRule="auto"/>
            </w:pPr>
            <w:r>
              <w:rPr>
                <w:sz w:val="21"/>
              </w:rPr>
            </w:r>
            <w:r>
              <w:rPr>
                <w:sz w:val="21"/>
              </w:rPr>
              <w:t>Consensus</w:t>
            </w:r>
          </w:p>
        </w:tc>
        <w:tc>
          <w:tcPr>
            <w:tcW w:type="dxa" w:w="2160"/>
          </w:tcPr>
          <w:p>
            <w:pPr>
              <w:spacing w:line="288" w:lineRule="auto"/>
            </w:pPr>
            <w:r>
              <w:rPr>
                <w:sz w:val="21"/>
              </w:rPr>
            </w:r>
            <w:r>
              <w:rPr>
                <w:sz w:val="21"/>
              </w:rPr>
              <w:t>基于论文摘要回答实证问题</w:t>
            </w:r>
          </w:p>
        </w:tc>
        <w:tc>
          <w:tcPr>
            <w:tcW w:type="dxa" w:w="2160"/>
          </w:tcPr>
          <w:p>
            <w:pPr>
              <w:spacing w:line="288" w:lineRule="auto"/>
            </w:pPr>
            <w:r>
              <w:rPr>
                <w:sz w:val="21"/>
              </w:rPr>
            </w:r>
            <w:r>
              <w:rPr>
                <w:sz w:val="21"/>
              </w:rPr>
              <w:t xml:space="preserve">有免费额度 </w:t>
            </w:r>
            <w:r>
              <w:rPr>
                <w:rFonts w:ascii="Consolas" w:hAnsi="Consolas" w:eastAsia="宋体"/>
                <w:sz w:val="21"/>
              </w:rPr>
              <w:t>[待核实]</w:t>
            </w:r>
          </w:p>
        </w:tc>
        <w:tc>
          <w:tcPr>
            <w:tcW w:type="dxa" w:w="2160"/>
          </w:tcPr>
          <w:p>
            <w:pPr>
              <w:spacing w:line="288" w:lineRule="auto"/>
            </w:pPr>
            <w:r>
              <w:rPr>
                <w:sz w:val="21"/>
              </w:rPr>
            </w:r>
            <w:r>
              <w:rPr>
                <w:sz w:val="21"/>
              </w:rPr>
              <w:t>仅覆盖部分学科与摘要信息，结论不能直接引用</w:t>
            </w:r>
          </w:p>
        </w:tc>
      </w:tr>
      <w:tr>
        <w:tc>
          <w:tcPr>
            <w:tcW w:type="dxa" w:w="2160"/>
          </w:tcPr>
          <w:p>
            <w:pPr>
              <w:spacing w:line="288" w:lineRule="auto"/>
            </w:pPr>
            <w:r>
              <w:rPr>
                <w:sz w:val="21"/>
              </w:rPr>
            </w:r>
            <w:r>
              <w:rPr>
                <w:sz w:val="21"/>
              </w:rPr>
              <w:t>Zotero</w:t>
            </w:r>
          </w:p>
        </w:tc>
        <w:tc>
          <w:tcPr>
            <w:tcW w:type="dxa" w:w="2160"/>
          </w:tcPr>
          <w:p>
            <w:pPr>
              <w:spacing w:line="288" w:lineRule="auto"/>
            </w:pPr>
            <w:r>
              <w:rPr>
                <w:sz w:val="21"/>
              </w:rPr>
            </w:r>
            <w:r>
              <w:rPr>
                <w:sz w:val="21"/>
              </w:rPr>
              <w:t>文献管理与引用（配合 AI 插件使用）</w:t>
            </w:r>
          </w:p>
        </w:tc>
        <w:tc>
          <w:tcPr>
            <w:tcW w:type="dxa" w:w="2160"/>
          </w:tcPr>
          <w:p>
            <w:pPr>
              <w:spacing w:line="288" w:lineRule="auto"/>
            </w:pPr>
            <w:r>
              <w:rPr>
                <w:sz w:val="21"/>
              </w:rPr>
            </w:r>
            <w:r>
              <w:rPr>
                <w:sz w:val="21"/>
              </w:rPr>
              <w:t>开源免费</w:t>
            </w:r>
          </w:p>
        </w:tc>
        <w:tc>
          <w:tcPr>
            <w:tcW w:type="dxa" w:w="2160"/>
          </w:tcPr>
          <w:p>
            <w:pPr>
              <w:spacing w:line="288" w:lineRule="auto"/>
            </w:pPr>
            <w:r>
              <w:rPr>
                <w:sz w:val="21"/>
              </w:rPr>
            </w:r>
            <w:r>
              <w:rPr>
                <w:sz w:val="21"/>
              </w:rPr>
              <w:t>AI 插件由第三方开发，稳定性与隐私需自查</w:t>
            </w:r>
          </w:p>
        </w:tc>
      </w:tr>
    </w:tbl>
    <w:p/>
    <w:p>
      <w:pPr>
        <w:pStyle w:val="Heading2"/>
      </w:pPr>
      <w:r>
        <w:t>六、多模态场景</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line="288" w:lineRule="auto"/>
            </w:pPr>
            <w:r>
              <w:rPr>
                <w:b/>
                <w:sz w:val="21"/>
              </w:rPr>
            </w:r>
            <w:r>
              <w:rPr>
                <w:b/>
                <w:sz w:val="21"/>
              </w:rPr>
              <w:t>代表工具</w:t>
            </w:r>
          </w:p>
        </w:tc>
        <w:tc>
          <w:tcPr>
            <w:tcW w:type="dxa" w:w="2160"/>
          </w:tcPr>
          <w:p>
            <w:pPr>
              <w:spacing w:line="288" w:lineRule="auto"/>
            </w:pPr>
            <w:r>
              <w:rPr>
                <w:b/>
                <w:sz w:val="21"/>
              </w:rPr>
            </w:r>
            <w:r>
              <w:rPr>
                <w:b/>
                <w:sz w:val="21"/>
              </w:rPr>
              <w:t>适用场景</w:t>
            </w:r>
          </w:p>
        </w:tc>
        <w:tc>
          <w:tcPr>
            <w:tcW w:type="dxa" w:w="2160"/>
          </w:tcPr>
          <w:p>
            <w:pPr>
              <w:spacing w:line="288" w:lineRule="auto"/>
            </w:pPr>
            <w:r>
              <w:rPr>
                <w:b/>
                <w:sz w:val="21"/>
              </w:rPr>
            </w:r>
            <w:r>
              <w:rPr>
                <w:b/>
                <w:sz w:val="21"/>
              </w:rPr>
              <w:t>免费策略</w:t>
            </w:r>
          </w:p>
        </w:tc>
        <w:tc>
          <w:tcPr>
            <w:tcW w:type="dxa" w:w="2160"/>
          </w:tcPr>
          <w:p>
            <w:pPr>
              <w:spacing w:line="288" w:lineRule="auto"/>
            </w:pPr>
            <w:r>
              <w:rPr>
                <w:b/>
                <w:sz w:val="21"/>
              </w:rPr>
            </w:r>
            <w:r>
              <w:rPr>
                <w:b/>
                <w:sz w:val="21"/>
              </w:rPr>
              <w:t>时效性风险</w:t>
            </w:r>
          </w:p>
        </w:tc>
      </w:tr>
      <w:tr>
        <w:tc>
          <w:tcPr>
            <w:tcW w:type="dxa" w:w="2160"/>
          </w:tcPr>
          <w:p>
            <w:pPr>
              <w:spacing w:line="288" w:lineRule="auto"/>
            </w:pPr>
            <w:r>
              <w:rPr>
                <w:sz w:val="21"/>
              </w:rPr>
            </w:r>
            <w:r>
              <w:rPr>
                <w:sz w:val="21"/>
              </w:rPr>
              <w:t>Gemini（Google）</w:t>
            </w:r>
          </w:p>
        </w:tc>
        <w:tc>
          <w:tcPr>
            <w:tcW w:type="dxa" w:w="2160"/>
          </w:tcPr>
          <w:p>
            <w:pPr>
              <w:spacing w:line="288" w:lineRule="auto"/>
            </w:pPr>
            <w:r>
              <w:rPr>
                <w:sz w:val="21"/>
              </w:rPr>
            </w:r>
            <w:r>
              <w:rPr>
                <w:sz w:val="21"/>
              </w:rPr>
              <w:t>原生多模态输入（文本、图像、音视频）</w:t>
            </w:r>
          </w:p>
        </w:tc>
        <w:tc>
          <w:tcPr>
            <w:tcW w:type="dxa" w:w="2160"/>
          </w:tcPr>
          <w:p>
            <w:pPr>
              <w:spacing w:line="288" w:lineRule="auto"/>
            </w:pPr>
            <w:r>
              <w:rPr>
                <w:sz w:val="21"/>
              </w:rPr>
            </w:r>
            <w:r>
              <w:rPr>
                <w:sz w:val="21"/>
              </w:rPr>
              <w:t xml:space="preserve">有免费档位 </w:t>
            </w:r>
            <w:r>
              <w:rPr>
                <w:rFonts w:ascii="Consolas" w:hAnsi="Consolas" w:eastAsia="宋体"/>
                <w:sz w:val="21"/>
              </w:rPr>
              <w:t>[待核实]</w:t>
            </w:r>
          </w:p>
        </w:tc>
        <w:tc>
          <w:tcPr>
            <w:tcW w:type="dxa" w:w="2160"/>
          </w:tcPr>
          <w:p>
            <w:pPr>
              <w:spacing w:line="288" w:lineRule="auto"/>
            </w:pPr>
            <w:r>
              <w:rPr>
                <w:sz w:val="21"/>
              </w:rPr>
            </w:r>
            <w:r>
              <w:rPr>
                <w:sz w:val="21"/>
              </w:rPr>
              <w:t xml:space="preserve">多模态能力随版本快速变动 </w:t>
            </w:r>
            <w:r>
              <w:rPr>
                <w:rFonts w:ascii="Consolas" w:hAnsi="Consolas" w:eastAsia="宋体"/>
                <w:sz w:val="21"/>
              </w:rPr>
              <w:t>[待核实]</w:t>
            </w:r>
          </w:p>
        </w:tc>
      </w:tr>
      <w:tr>
        <w:tc>
          <w:tcPr>
            <w:tcW w:type="dxa" w:w="2160"/>
          </w:tcPr>
          <w:p>
            <w:pPr>
              <w:spacing w:line="288" w:lineRule="auto"/>
            </w:pPr>
            <w:r>
              <w:rPr>
                <w:sz w:val="21"/>
              </w:rPr>
            </w:r>
            <w:r>
              <w:rPr>
                <w:sz w:val="21"/>
              </w:rPr>
              <w:t>Suno</w:t>
            </w:r>
          </w:p>
        </w:tc>
        <w:tc>
          <w:tcPr>
            <w:tcW w:type="dxa" w:w="2160"/>
          </w:tcPr>
          <w:p>
            <w:pPr>
              <w:spacing w:line="288" w:lineRule="auto"/>
            </w:pPr>
            <w:r>
              <w:rPr>
                <w:sz w:val="21"/>
              </w:rPr>
            </w:r>
            <w:r>
              <w:rPr>
                <w:sz w:val="21"/>
              </w:rPr>
              <w:t>音乐与歌曲生成</w:t>
            </w:r>
          </w:p>
        </w:tc>
        <w:tc>
          <w:tcPr>
            <w:tcW w:type="dxa" w:w="2160"/>
          </w:tcPr>
          <w:p>
            <w:pPr>
              <w:spacing w:line="288" w:lineRule="auto"/>
            </w:pPr>
            <w:r>
              <w:rPr>
                <w:sz w:val="21"/>
              </w:rPr>
            </w:r>
            <w:r>
              <w:rPr>
                <w:sz w:val="21"/>
              </w:rPr>
              <w:t xml:space="preserve">有免费额度 </w:t>
            </w:r>
            <w:r>
              <w:rPr>
                <w:rFonts w:ascii="Consolas" w:hAnsi="Consolas" w:eastAsia="宋体"/>
                <w:sz w:val="21"/>
              </w:rPr>
              <w:t>[待核实]</w:t>
            </w:r>
          </w:p>
        </w:tc>
        <w:tc>
          <w:tcPr>
            <w:tcW w:type="dxa" w:w="2160"/>
          </w:tcPr>
          <w:p>
            <w:pPr>
              <w:spacing w:line="288" w:lineRule="auto"/>
            </w:pPr>
            <w:r>
              <w:rPr>
                <w:sz w:val="21"/>
              </w:rPr>
            </w:r>
            <w:r>
              <w:rPr>
                <w:sz w:val="21"/>
              </w:rPr>
              <w:t xml:space="preserve">商用授权与训练数据版权争议未决 </w:t>
            </w:r>
            <w:r>
              <w:rPr>
                <w:rFonts w:ascii="Consolas" w:hAnsi="Consolas" w:eastAsia="宋体"/>
                <w:sz w:val="21"/>
              </w:rPr>
              <w:t>[待核实]</w:t>
            </w:r>
          </w:p>
        </w:tc>
      </w:tr>
      <w:tr>
        <w:tc>
          <w:tcPr>
            <w:tcW w:type="dxa" w:w="2160"/>
          </w:tcPr>
          <w:p>
            <w:pPr>
              <w:spacing w:line="288" w:lineRule="auto"/>
            </w:pPr>
            <w:r>
              <w:rPr>
                <w:sz w:val="21"/>
              </w:rPr>
            </w:r>
            <w:r>
              <w:rPr>
                <w:sz w:val="21"/>
              </w:rPr>
              <w:t>Runway</w:t>
            </w:r>
          </w:p>
        </w:tc>
        <w:tc>
          <w:tcPr>
            <w:tcW w:type="dxa" w:w="2160"/>
          </w:tcPr>
          <w:p>
            <w:pPr>
              <w:spacing w:line="288" w:lineRule="auto"/>
            </w:pPr>
            <w:r>
              <w:rPr>
                <w:sz w:val="21"/>
              </w:rPr>
            </w:r>
            <w:r>
              <w:rPr>
                <w:sz w:val="21"/>
              </w:rPr>
              <w:t>视频生成与编辑</w:t>
            </w:r>
          </w:p>
        </w:tc>
        <w:tc>
          <w:tcPr>
            <w:tcW w:type="dxa" w:w="2160"/>
          </w:tcPr>
          <w:p>
            <w:pPr>
              <w:spacing w:line="288" w:lineRule="auto"/>
            </w:pPr>
            <w:r>
              <w:rPr>
                <w:sz w:val="21"/>
              </w:rPr>
            </w:r>
            <w:r>
              <w:rPr>
                <w:sz w:val="21"/>
              </w:rPr>
              <w:t xml:space="preserve">有免费额度 </w:t>
            </w:r>
            <w:r>
              <w:rPr>
                <w:rFonts w:ascii="Consolas" w:hAnsi="Consolas" w:eastAsia="宋体"/>
                <w:sz w:val="21"/>
              </w:rPr>
              <w:t>[待核实]</w:t>
            </w:r>
          </w:p>
        </w:tc>
        <w:tc>
          <w:tcPr>
            <w:tcW w:type="dxa" w:w="2160"/>
          </w:tcPr>
          <w:p>
            <w:pPr>
              <w:spacing w:line="288" w:lineRule="auto"/>
            </w:pPr>
            <w:r>
              <w:rPr>
                <w:sz w:val="21"/>
              </w:rPr>
            </w:r>
            <w:r>
              <w:rPr>
                <w:sz w:val="21"/>
              </w:rPr>
              <w:t>生成时长与分辨率受限，成本高</w:t>
            </w:r>
          </w:p>
        </w:tc>
      </w:tr>
      <w:tr>
        <w:tc>
          <w:tcPr>
            <w:tcW w:type="dxa" w:w="2160"/>
          </w:tcPr>
          <w:p>
            <w:pPr>
              <w:spacing w:line="288" w:lineRule="auto"/>
            </w:pPr>
            <w:r>
              <w:rPr>
                <w:sz w:val="21"/>
              </w:rPr>
            </w:r>
            <w:r>
              <w:rPr>
                <w:sz w:val="21"/>
              </w:rPr>
              <w:t>可灵（快手）</w:t>
            </w:r>
          </w:p>
        </w:tc>
        <w:tc>
          <w:tcPr>
            <w:tcW w:type="dxa" w:w="2160"/>
          </w:tcPr>
          <w:p>
            <w:pPr>
              <w:spacing w:line="288" w:lineRule="auto"/>
            </w:pPr>
            <w:r>
              <w:rPr>
                <w:sz w:val="21"/>
              </w:rPr>
            </w:r>
            <w:r>
              <w:rPr>
                <w:sz w:val="21"/>
              </w:rPr>
              <w:t>中文短视频生成</w:t>
            </w:r>
          </w:p>
        </w:tc>
        <w:tc>
          <w:tcPr>
            <w:tcW w:type="dxa" w:w="2160"/>
          </w:tcPr>
          <w:p>
            <w:pPr>
              <w:spacing w:line="288" w:lineRule="auto"/>
            </w:pPr>
            <w:r>
              <w:rPr>
                <w:sz w:val="21"/>
              </w:rPr>
            </w:r>
            <w:r>
              <w:rPr>
                <w:sz w:val="21"/>
              </w:rPr>
              <w:t xml:space="preserve">有免费额度 </w:t>
            </w:r>
            <w:r>
              <w:rPr>
                <w:rFonts w:ascii="Consolas" w:hAnsi="Consolas" w:eastAsia="宋体"/>
                <w:sz w:val="21"/>
              </w:rPr>
              <w:t>[待核实]</w:t>
            </w:r>
          </w:p>
        </w:tc>
        <w:tc>
          <w:tcPr>
            <w:tcW w:type="dxa" w:w="2160"/>
          </w:tcPr>
          <w:p>
            <w:pPr>
              <w:spacing w:line="288" w:lineRule="auto"/>
            </w:pPr>
            <w:r>
              <w:rPr>
                <w:sz w:val="21"/>
              </w:rPr>
            </w:r>
            <w:r>
              <w:rPr>
                <w:sz w:val="21"/>
              </w:rPr>
              <w:t>视频生成的可控性仍属早期阶段</w:t>
            </w:r>
          </w:p>
        </w:tc>
      </w:tr>
      <w:tr>
        <w:tc>
          <w:tcPr>
            <w:tcW w:type="dxa" w:w="2160"/>
          </w:tcPr>
          <w:p>
            <w:pPr>
              <w:spacing w:line="288" w:lineRule="auto"/>
            </w:pPr>
            <w:r>
              <w:rPr>
                <w:sz w:val="21"/>
              </w:rPr>
            </w:r>
            <w:r>
              <w:rPr>
                <w:sz w:val="21"/>
              </w:rPr>
              <w:t>剪映</w:t>
            </w:r>
          </w:p>
        </w:tc>
        <w:tc>
          <w:tcPr>
            <w:tcW w:type="dxa" w:w="2160"/>
          </w:tcPr>
          <w:p>
            <w:pPr>
              <w:spacing w:line="288" w:lineRule="auto"/>
            </w:pPr>
            <w:r>
              <w:rPr>
                <w:sz w:val="21"/>
              </w:rPr>
            </w:r>
            <w:r>
              <w:rPr>
                <w:sz w:val="21"/>
              </w:rPr>
              <w:t>AI 字幕、配音、成片剪辑</w:t>
            </w:r>
          </w:p>
        </w:tc>
        <w:tc>
          <w:tcPr>
            <w:tcW w:type="dxa" w:w="2160"/>
          </w:tcPr>
          <w:p>
            <w:pPr>
              <w:spacing w:line="288" w:lineRule="auto"/>
            </w:pPr>
            <w:r>
              <w:rPr>
                <w:sz w:val="21"/>
              </w:rPr>
            </w:r>
            <w:r>
              <w:rPr>
                <w:sz w:val="21"/>
              </w:rPr>
              <w:t xml:space="preserve">基础功能免费 </w:t>
            </w:r>
            <w:r>
              <w:rPr>
                <w:rFonts w:ascii="Consolas" w:hAnsi="Consolas" w:eastAsia="宋体"/>
                <w:sz w:val="21"/>
              </w:rPr>
              <w:t>[待核实]</w:t>
            </w:r>
          </w:p>
        </w:tc>
        <w:tc>
          <w:tcPr>
            <w:tcW w:type="dxa" w:w="2160"/>
          </w:tcPr>
          <w:p>
            <w:pPr>
              <w:spacing w:line="288" w:lineRule="auto"/>
            </w:pPr>
            <w:r>
              <w:rPr>
                <w:sz w:val="21"/>
              </w:rPr>
            </w:r>
            <w:r>
              <w:rPr>
                <w:sz w:val="21"/>
              </w:rPr>
              <w:t xml:space="preserve">AI 功能逐步迁移至会员体系 </w:t>
            </w:r>
            <w:r>
              <w:rPr>
                <w:rFonts w:ascii="Consolas" w:hAnsi="Consolas" w:eastAsia="宋体"/>
                <w:sz w:val="21"/>
              </w:rPr>
              <w:t>[待核实]</w:t>
            </w:r>
          </w:p>
        </w:tc>
      </w:tr>
    </w:tbl>
    <w:p/>
    <w:p>
      <w:pPr>
        <w:pStyle w:val="Heading2"/>
      </w:pPr>
      <w:r>
        <w:t>使用本表的三条原则</w:t>
      </w:r>
    </w:p>
    <w:p>
      <w:pPr>
        <w:ind w:firstLine="480"/>
      </w:pPr>
      <w:r>
        <w:t>其一，场景优先于品牌。同一场景内的工具可互换，判断标准是"该任务的错误代价与可验证性"（见第二章人机分工框架），而非工具知名度。其二，免费策略是最不稳定的列。多数工具以免费额度获客、再逐步收缩，使用前应查看官方定价页而非依赖本表。其三，任何工具的输出在进入作业、论文或公开发布之前，都需经过第三章与第七章所述的核验程序；速查表解决"用什么"，不解决"可不可信"。</w:t>
      </w:r>
    </w:p>
    <w:p>
      <w:pPr>
        <w:ind w:firstLine="0"/>
      </w:pPr>
      <w:r>
        <w:rPr>
          <w:i/>
          <w:color w:val="808080"/>
          <w:sz w:val="21"/>
        </w:rPr>
        <w:t>（简编版。完整版将按场景扩展至每类 8–10 个工具，补充移动端适配、教育优惠与无障碍信息，并在出版前统一更新核实全部时效性标注。）</w:t>
      </w:r>
    </w:p>
    <w:p>
      <w:r>
        <w:br w:type="page"/>
      </w:r>
    </w:p>
    <w:p>
      <w:pPr>
        <w:pStyle w:val="Heading1"/>
      </w:pPr>
      <w:r>
        <w:t>附录B　提示词模板库（简编版，20例）</w:t>
      </w:r>
    </w:p>
    <w:p>
      <w:pPr>
        <w:ind w:left="480" w:firstLine="0"/>
      </w:pPr>
      <w:r>
        <w:rPr>
          <w:b/>
        </w:rPr>
        <w:t>说明</w:t>
      </w:r>
      <w:r>
        <w:t>：完整版计划收录 100 例，本简编版按学习、写作、求职、生活、创作五类各选 4 例，覆盖第三章"结构化五要素"（角色、任务、背景、格式、约束）的主要用法。每个模板含三项：场景说明、模板全文（可直接复制使用，方括号为需替换的变量）、机制说明（该写法为什么有效）。模板不是咒语——理解机制比收藏模板重要，这与全书"方法论优先于工具"的立场一致。</w:t>
      </w:r>
    </w:p>
    <w:p>
      <w:pPr>
        <w:pStyle w:val="Heading2"/>
      </w:pPr>
      <w:r>
        <w:t>一、学习类</w:t>
      </w:r>
    </w:p>
    <w:p>
      <w:pPr>
        <w:pStyle w:val="Heading3"/>
      </w:pPr>
      <w:r>
        <w:t>模板1　费曼式讲解</w:t>
      </w:r>
    </w:p>
    <w:p>
      <w:pPr>
        <w:ind w:firstLine="480"/>
      </w:pPr>
      <w:r>
        <w:rPr>
          <w:b/>
        </w:rPr>
        <w:t>场景</w:t>
      </w:r>
      <w:r>
        <w:t>：自认为读懂了一个概念，需要检验是真懂还是熟悉感。</w:t>
      </w:r>
    </w:p>
    <w:p>
      <w:pPr>
        <w:ind w:firstLine="480"/>
      </w:pPr>
      <w:r>
        <w:rPr>
          <w:b/>
        </w:rPr>
        <w:t>模板</w:t>
      </w:r>
      <w:r>
        <w:t>：</w:t>
      </w:r>
    </w:p>
    <w:p>
      <w:pPr>
        <w:ind w:left="480" w:firstLine="0"/>
      </w:pPr>
      <w:r>
        <w:t>你是一个完全不了解[概念名]的大一学生，数学基础一般。请允许我给你讲解这个概念，我讲完后你指出讲不清楚或讲错的地方，并追问三个我可能答不上来的问题。在你确认我讲懂之前，不要给出你自己的完整解释。</w:t>
      </w:r>
    </w:p>
    <w:p>
      <w:pPr>
        <w:ind w:firstLine="480"/>
      </w:pPr>
      <w:r>
        <w:rPr>
          <w:b/>
        </w:rPr>
        <w:t>机制</w:t>
      </w:r>
      <w:r>
        <w:t>：把模型放到"学生"位置，输出即检验——讲不清楚的地方就是理解的缺口；"不要给出解释"的约束防止模型代替你完成理解。</w:t>
      </w:r>
    </w:p>
    <w:p>
      <w:pPr>
        <w:pStyle w:val="Heading3"/>
      </w:pPr>
      <w:r>
        <w:t>模板2　苏格拉底式追问</w:t>
      </w:r>
    </w:p>
    <w:p>
      <w:pPr>
        <w:ind w:firstLine="480"/>
      </w:pPr>
      <w:r>
        <w:rPr>
          <w:b/>
        </w:rPr>
        <w:t>场景</w:t>
      </w:r>
      <w:r>
        <w:t>：准备论述题或面试，需要暴露自己论证中的薄弱环节。</w:t>
      </w:r>
    </w:p>
    <w:p>
      <w:pPr>
        <w:ind w:firstLine="480"/>
      </w:pPr>
      <w:r>
        <w:rPr>
          <w:b/>
        </w:rPr>
        <w:t>模板</w:t>
      </w:r>
      <w:r>
        <w:t>：</w:t>
      </w:r>
    </w:p>
    <w:p>
      <w:pPr>
        <w:ind w:left="480" w:firstLine="0"/>
      </w:pPr>
      <w:r>
        <w:t>接下来你只用提问的方式帮我思考[主题]，每次只问一个问题，问题要针对我上一轮回答中未经论证就接受的假设。我回答"我不知道"时，你才给出提示而不给答案。持续十轮。</w:t>
      </w:r>
    </w:p>
    <w:p>
      <w:pPr>
        <w:ind w:firstLine="480"/>
      </w:pPr>
      <w:r>
        <w:rPr>
          <w:b/>
        </w:rPr>
        <w:t>机制</w:t>
      </w:r>
      <w:r>
        <w:t>：约束模型只提问不给答案，把对话从"获取结论"转为"检验前提"；逐轮追问使薄弱假设无处隐藏。</w:t>
      </w:r>
    </w:p>
    <w:p>
      <w:pPr>
        <w:pStyle w:val="Heading3"/>
      </w:pPr>
      <w:r>
        <w:t>模板3　错题复盘</w:t>
      </w:r>
    </w:p>
    <w:p>
      <w:pPr>
        <w:ind w:firstLine="480"/>
      </w:pPr>
      <w:r>
        <w:rPr>
          <w:b/>
        </w:rPr>
        <w:t>场景</w:t>
      </w:r>
      <w:r>
        <w:t>：订正了错题但不确定错误根源是概念、计算还是读题。</w:t>
      </w:r>
    </w:p>
    <w:p>
      <w:pPr>
        <w:ind w:firstLine="480"/>
      </w:pPr>
      <w:r>
        <w:rPr>
          <w:b/>
        </w:rPr>
        <w:t>模板</w:t>
      </w:r>
      <w:r>
        <w:t>：</w:t>
      </w:r>
    </w:p>
    <w:p>
      <w:pPr>
        <w:ind w:left="480" w:firstLine="0"/>
      </w:pPr>
      <w:r>
        <w:t>我做错了一道[科目]题，题目是：[题目]，我的答案是：[原答案]，正确答案是：[正确答案]。请先不要解释，先列出这道题可能的错误类型清单（概念混淆、公式误用、条件遗漏、计算失误、审题偏差），然后逐项问我问题，帮我定位我属于哪一种。</w:t>
      </w:r>
    </w:p>
    <w:p>
      <w:pPr>
        <w:ind w:firstLine="480"/>
      </w:pPr>
      <w:r>
        <w:rPr>
          <w:b/>
        </w:rPr>
        <w:t>机制</w:t>
      </w:r>
      <w:r>
        <w:t>：先给错误分类再归因，防止模型直接给一个"看似合理"的解释；用提问定位代替直接诊断，结论由你的回答支撑而非模型猜测。</w:t>
      </w:r>
    </w:p>
    <w:p>
      <w:pPr>
        <w:pStyle w:val="Heading3"/>
      </w:pPr>
      <w:r>
        <w:t>模板4　考前自测出题</w:t>
      </w:r>
    </w:p>
    <w:p>
      <w:pPr>
        <w:ind w:firstLine="480"/>
      </w:pPr>
      <w:r>
        <w:rPr>
          <w:b/>
        </w:rPr>
        <w:t>场景</w:t>
      </w:r>
      <w:r>
        <w:t>：复习后期，需要比"重看笔记"更有效的检验方式。</w:t>
      </w:r>
    </w:p>
    <w:p>
      <w:pPr>
        <w:ind w:firstLine="480"/>
      </w:pPr>
      <w:r>
        <w:rPr>
          <w:b/>
        </w:rPr>
        <w:t>模板</w:t>
      </w:r>
      <w:r>
        <w:t>：</w:t>
      </w:r>
    </w:p>
    <w:p>
      <w:pPr>
        <w:ind w:left="480" w:firstLine="0"/>
      </w:pPr>
      <w:r>
        <w:t>你是[课程名]的出题老师。我给你课程大纲的知识点清单：[清单]。请先出 5 道覆盖不同知识点的中等难度题目，等我全部作答后，再逐题批改：指出错误、说明考查的知识点、给我的整体薄弱环节排一个优先级。</w:t>
      </w:r>
    </w:p>
    <w:p>
      <w:pPr>
        <w:ind w:firstLine="480"/>
      </w:pPr>
      <w:r>
        <w:rPr>
          <w:b/>
        </w:rPr>
        <w:t>机制</w:t>
      </w:r>
      <w:r>
        <w:t>：提取（主动作答）比重读的记忆效果更好；"先出题后批改"的两段式设计防止你看到答案后高估自己的水平。</w:t>
      </w:r>
    </w:p>
    <w:p>
      <w:pPr>
        <w:pStyle w:val="Heading2"/>
      </w:pPr>
      <w:r>
        <w:t>二、写作类</w:t>
      </w:r>
    </w:p>
    <w:p>
      <w:pPr>
        <w:pStyle w:val="Heading3"/>
      </w:pPr>
      <w:r>
        <w:t>模板5　文献综述梳结构</w:t>
      </w:r>
    </w:p>
    <w:p>
      <w:pPr>
        <w:ind w:firstLine="480"/>
      </w:pPr>
      <w:r>
        <w:rPr>
          <w:b/>
        </w:rPr>
        <w:t>场景</w:t>
      </w:r>
      <w:r>
        <w:t>：读了一批文献，材料零散，需要梳理论证结构而非代写综述。</w:t>
      </w:r>
    </w:p>
    <w:p>
      <w:pPr>
        <w:ind w:firstLine="480"/>
      </w:pPr>
      <w:r>
        <w:rPr>
          <w:b/>
        </w:rPr>
        <w:t>模板</w:t>
      </w:r>
      <w:r>
        <w:t>：</w:t>
      </w:r>
    </w:p>
    <w:p>
      <w:pPr>
        <w:ind w:left="480" w:firstLine="0"/>
      </w:pPr>
      <w:r>
        <w:t>我研究的问题是[问题]。以下是我读过的文献摘要：[粘贴摘要]。请帮我做三件事：一、把这些文献按"支持/反对/复杂化我的问题假设"分组；二、指出它们之间存在哪些真正的分歧点，分歧点是证据不同还是立场不同；三、指出我的问题中还有哪些部分没有任何文献覆盖。不要替我写综述正文。</w:t>
      </w:r>
    </w:p>
    <w:p>
      <w:pPr>
        <w:ind w:firstLine="480"/>
      </w:pPr>
      <w:r>
        <w:rPr>
          <w:b/>
        </w:rPr>
        <w:t>机制</w:t>
      </w:r>
      <w:r>
        <w:t>：把模型用于材料的组织与对照，保留观点综合这一核心学术动作在人手里；"证据不同还是立场不同"的区分帮助识别文献对话的真实结构。</w:t>
      </w:r>
    </w:p>
    <w:p>
      <w:pPr>
        <w:pStyle w:val="Heading3"/>
      </w:pPr>
      <w:r>
        <w:t>模板6　大纲推演与压力测试</w:t>
      </w:r>
    </w:p>
    <w:p>
      <w:pPr>
        <w:ind w:firstLine="480"/>
      </w:pPr>
      <w:r>
        <w:rPr>
          <w:b/>
        </w:rPr>
        <w:t>场景</w:t>
      </w:r>
      <w:r>
        <w:t>：已有写作大纲，想在大规模动笔前发现结构问题。</w:t>
      </w:r>
    </w:p>
    <w:p>
      <w:pPr>
        <w:ind w:firstLine="480"/>
      </w:pPr>
      <w:r>
        <w:rPr>
          <w:b/>
        </w:rPr>
        <w:t>模板</w:t>
      </w:r>
      <w:r>
        <w:t>：</w:t>
      </w:r>
    </w:p>
    <w:p>
      <w:pPr>
        <w:ind w:left="480" w:firstLine="0"/>
      </w:pPr>
      <w:r>
        <w:t>这是我一篇[文体]的大纲：[粘贴大纲]。目标读者是[读者]。请你扮演一个挑剔但讲理的审稿人：第一，指出大纲中每部分对全文论点的贡献，哪部分贡献最弱；第二，设想读者读完后最可能提出的两个反驳；第三，判断哪些段落可以合并、哪些缺失了过渡。不要重写我的大纲。</w:t>
      </w:r>
    </w:p>
    <w:p>
      <w:pPr>
        <w:ind w:firstLine="480"/>
      </w:pPr>
      <w:r>
        <w:rPr>
          <w:b/>
        </w:rPr>
        <w:t>机制</w:t>
      </w:r>
      <w:r>
        <w:t>："贡献最弱"的提问方式把泛泛建议转为结构性诊断；审稿人角色激活模型对论证完整性的检查，而"不要重写"保住修改权。</w:t>
      </w:r>
    </w:p>
    <w:p>
      <w:pPr>
        <w:pStyle w:val="Heading3"/>
      </w:pPr>
      <w:r>
        <w:t>模板7　摘要润色（保留判断）</w:t>
      </w:r>
    </w:p>
    <w:p>
      <w:pPr>
        <w:ind w:firstLine="480"/>
      </w:pPr>
      <w:r>
        <w:rPr>
          <w:b/>
        </w:rPr>
        <w:t>场景</w:t>
      </w:r>
      <w:r>
        <w:t>：摘要初稿冗长，需要压缩，但不想让模型改掉自己的判断。</w:t>
      </w:r>
    </w:p>
    <w:p>
      <w:pPr>
        <w:ind w:firstLine="480"/>
      </w:pPr>
      <w:r>
        <w:rPr>
          <w:b/>
        </w:rPr>
        <w:t>模板</w:t>
      </w:r>
      <w:r>
        <w:t>：</w:t>
      </w:r>
    </w:p>
    <w:p>
      <w:pPr>
        <w:ind w:left="480" w:firstLine="0"/>
      </w:pPr>
      <w:r>
        <w:t>请润色以下摘要，目标是从[N]字压缩到[M]字。约束：一、保留所有数据与结论性判断的原意，不许新增任何原文没有的信息；二、不改变我的表述顺序，除非你能说明调整的理由；三、修改处用对比列出。原文：[粘贴摘要]。</w:t>
      </w:r>
    </w:p>
    <w:p>
      <w:pPr>
        <w:ind w:firstLine="480"/>
      </w:pPr>
      <w:r>
        <w:rPr>
          <w:b/>
        </w:rPr>
        <w:t>机制</w:t>
      </w:r>
      <w:r>
        <w:t>：润色任务的默认风险是模型"顺手加戏"，三重约束把它的权限限定在语言层；对比列出使每处修改可审、可拒。</w:t>
      </w:r>
    </w:p>
    <w:p>
      <w:pPr>
        <w:pStyle w:val="Heading3"/>
      </w:pPr>
      <w:r>
        <w:t>模板8　陪练辩友</w:t>
      </w:r>
    </w:p>
    <w:p>
      <w:pPr>
        <w:ind w:firstLine="480"/>
      </w:pPr>
      <w:r>
        <w:rPr>
          <w:b/>
        </w:rPr>
        <w:t>场景</w:t>
      </w:r>
      <w:r>
        <w:t>：论文或辩论准备，需要一个认真的反对者。</w:t>
      </w:r>
    </w:p>
    <w:p>
      <w:pPr>
        <w:ind w:firstLine="480"/>
      </w:pPr>
      <w:r>
        <w:rPr>
          <w:b/>
        </w:rPr>
        <w:t>模板</w:t>
      </w:r>
      <w:r>
        <w:t>：</w:t>
      </w:r>
    </w:p>
    <w:p>
      <w:pPr>
        <w:ind w:left="480" w:firstLine="0"/>
      </w:pPr>
      <w:r>
        <w:t>我的核心论点是：[论点]。请扮演一个立场与我相反的学者，提出三条最强的反驳，每条反驳要指出我论证链条中具体哪一环不成立。我回应之后，你再评估我的回应是否成立，成立程度用"完全/部分/没有"三档给出，并说明理由。</w:t>
      </w:r>
    </w:p>
    <w:p>
      <w:pPr>
        <w:ind w:firstLine="480"/>
      </w:pPr>
      <w:r>
        <w:rPr>
          <w:b/>
        </w:rPr>
        <w:t>机制</w:t>
      </w:r>
      <w:r>
        <w:t>："最强反驳"的指令抑制模型给出稻草人式弱反驳；三档评估的量化设计迫使模型给出理由而非含糊鼓励。</w:t>
      </w:r>
    </w:p>
    <w:p>
      <w:pPr>
        <w:pStyle w:val="Heading2"/>
      </w:pPr>
      <w:r>
        <w:t>三、求职类</w:t>
      </w:r>
    </w:p>
    <w:p>
      <w:pPr>
        <w:pStyle w:val="Heading3"/>
      </w:pPr>
      <w:r>
        <w:t>模板9　职位描述拆解</w:t>
      </w:r>
    </w:p>
    <w:p>
      <w:pPr>
        <w:ind w:firstLine="480"/>
      </w:pPr>
      <w:r>
        <w:rPr>
          <w:b/>
        </w:rPr>
        <w:t>场景</w:t>
      </w:r>
      <w:r>
        <w:t>：投递前判断自己与某岗位的真实匹配度。</w:t>
      </w:r>
    </w:p>
    <w:p>
      <w:pPr>
        <w:ind w:firstLine="480"/>
      </w:pPr>
      <w:r>
        <w:rPr>
          <w:b/>
        </w:rPr>
        <w:t>模板</w:t>
      </w:r>
      <w:r>
        <w:t>：</w:t>
      </w:r>
    </w:p>
    <w:p>
      <w:pPr>
        <w:ind w:left="480" w:firstLine="0"/>
      </w:pPr>
      <w:r>
        <w:t>这是一份职位描述：[粘贴JD]。请做四件事：一、把要求分为"硬性门槛"与"优先项"；二、指出 JD 中没有明说但实际存在的要求；三、逐条评估我的简历：[粘贴简历]与之匹配、部分匹配、不匹配；四、对不匹配项，判断哪些可以在求职周期内补足，哪些不能。</w:t>
      </w:r>
    </w:p>
    <w:p>
      <w:pPr>
        <w:ind w:firstLine="480"/>
      </w:pPr>
      <w:r>
        <w:rPr>
          <w:b/>
        </w:rPr>
        <w:t>机制</w:t>
      </w:r>
      <w:r>
        <w:t>：显性/隐性要求的区分还原了招聘的真实筛选逻辑；匹配度分级防止"整体感觉良好"式的误判。</w:t>
      </w:r>
    </w:p>
    <w:p>
      <w:pPr>
        <w:pStyle w:val="Heading3"/>
      </w:pPr>
      <w:r>
        <w:t>模板10　经历 STAR 化改写</w:t>
      </w:r>
    </w:p>
    <w:p>
      <w:pPr>
        <w:ind w:firstLine="480"/>
      </w:pPr>
      <w:r>
        <w:rPr>
          <w:b/>
        </w:rPr>
        <w:t>场景</w:t>
      </w:r>
      <w:r>
        <w:t>：把流水账式的经历描述改写为结构化表达。</w:t>
      </w:r>
    </w:p>
    <w:p>
      <w:pPr>
        <w:ind w:firstLine="480"/>
      </w:pPr>
      <w:r>
        <w:rPr>
          <w:b/>
        </w:rPr>
        <w:t>模板</w:t>
      </w:r>
      <w:r>
        <w:t>：</w:t>
      </w:r>
    </w:p>
    <w:p>
      <w:pPr>
        <w:ind w:left="480" w:firstLine="0"/>
      </w:pPr>
      <w:r>
        <w:t>把以下经历改写成 STAR 结构（情境—任务—行动—结果）：[粘贴经历]。约束：一、不虚构任何细节，信息不足的地方标注[待补充]而不是编造；二、"结果"部分尽量使用可量化的表述，没有数据就保留定性描述；三、突出"我"的具体行动而非团队整体。</w:t>
      </w:r>
    </w:p>
    <w:p>
      <w:pPr>
        <w:ind w:firstLine="480"/>
      </w:pPr>
      <w:r>
        <w:rPr>
          <w:b/>
        </w:rPr>
        <w:t>机制</w:t>
      </w:r>
      <w:r>
        <w:t>：禁止虚构的约束使模型只做结构重组而不做内容生产；"我的行动"的强调对齐面试官对个人贡献的关注点。</w:t>
      </w:r>
    </w:p>
    <w:p>
      <w:pPr>
        <w:pStyle w:val="Heading3"/>
      </w:pPr>
      <w:r>
        <w:t>模板11　模拟面试（含追问）</w:t>
      </w:r>
    </w:p>
    <w:p>
      <w:pPr>
        <w:ind w:firstLine="480"/>
      </w:pPr>
      <w:r>
        <w:rPr>
          <w:b/>
        </w:rPr>
        <w:t>场景</w:t>
      </w:r>
      <w:r>
        <w:t>：面试前练习，尤其是行为面与技术面。</w:t>
      </w:r>
    </w:p>
    <w:p>
      <w:pPr>
        <w:ind w:firstLine="480"/>
      </w:pPr>
      <w:r>
        <w:rPr>
          <w:b/>
        </w:rPr>
        <w:t>模板</w:t>
      </w:r>
      <w:r>
        <w:t>：</w:t>
      </w:r>
    </w:p>
    <w:p>
      <w:pPr>
        <w:ind w:left="480" w:firstLine="0"/>
      </w:pPr>
      <w:r>
        <w:t>你是[公司类型/岗位]的面试官，面试风格是会持续追问细节。请针对我的简历：[粘贴简历]提第一个问题。规则：我每次回答后，你针对回答中含糊或可疑的部分追问一次，最多两轮追问后换新问题；共进行五轮；结束后给我的回答一致性（简历与口头表述是否冲突）与具体性打分并举例说明。</w:t>
      </w:r>
    </w:p>
    <w:p>
      <w:pPr>
        <w:ind w:firstLine="480"/>
      </w:pPr>
      <w:r>
        <w:rPr>
          <w:b/>
        </w:rPr>
        <w:t>机制</w:t>
      </w:r>
      <w:r>
        <w:t>：追问设计复现真实面试的压力源——含糊表述；一致性检查利用了模型"冷读"简历与对话的能力。</w:t>
      </w:r>
    </w:p>
    <w:p>
      <w:pPr>
        <w:pStyle w:val="Heading3"/>
      </w:pPr>
      <w:r>
        <w:t>模板12　行业速览与问题清单</w:t>
      </w:r>
    </w:p>
    <w:p>
      <w:pPr>
        <w:ind w:firstLine="480"/>
      </w:pPr>
      <w:r>
        <w:rPr>
          <w:b/>
        </w:rPr>
        <w:t>场景</w:t>
      </w:r>
      <w:r>
        <w:t>：面试或行业调研前，快速建立基本认知框架。</w:t>
      </w:r>
    </w:p>
    <w:p>
      <w:pPr>
        <w:ind w:firstLine="480"/>
      </w:pPr>
      <w:r>
        <w:rPr>
          <w:b/>
        </w:rPr>
        <w:t>模板</w:t>
      </w:r>
      <w:r>
        <w:t>：</w:t>
      </w:r>
    </w:p>
    <w:p>
      <w:pPr>
        <w:ind w:left="480" w:firstLine="0"/>
      </w:pPr>
      <w:r>
        <w:t>我要在[时长]内了解[行业]的基本面，用于[目的，如面试/选课决策]。请提供：一、该行业的价值链与主要角色；二、近三年最重要的三个变化及原因；三、目前公认的两个未解难题；四、五个外行容易误解的常识。所有具体数据标注不确定度，我不需要精确数字。最后列出三个值得我向从业者求证的问题。</w:t>
      </w:r>
    </w:p>
    <w:p>
      <w:pPr>
        <w:ind w:firstLine="480"/>
      </w:pPr>
      <w:r>
        <w:rPr>
          <w:b/>
        </w:rPr>
        <w:t>机制</w:t>
      </w:r>
      <w:r>
        <w:t>："标注不确定度"的指令抑制幻觉数字；要求"向从业者求证的问题"把模型输出定位为待验证的假设而非结论。</w:t>
      </w:r>
    </w:p>
    <w:p>
      <w:pPr>
        <w:pStyle w:val="Heading2"/>
      </w:pPr>
      <w:r>
        <w:t>四、生活类</w:t>
      </w:r>
    </w:p>
    <w:p>
      <w:pPr>
        <w:pStyle w:val="Heading3"/>
      </w:pPr>
      <w:r>
        <w:t>模板13　合同与条款审查</w:t>
      </w:r>
    </w:p>
    <w:p>
      <w:pPr>
        <w:ind w:firstLine="480"/>
      </w:pPr>
      <w:r>
        <w:rPr>
          <w:b/>
        </w:rPr>
        <w:t>场景</w:t>
      </w:r>
      <w:r>
        <w:t>：签约租房、实习或服务协议前，识别不利条款。</w:t>
      </w:r>
    </w:p>
    <w:p>
      <w:pPr>
        <w:ind w:firstLine="480"/>
      </w:pPr>
      <w:r>
        <w:rPr>
          <w:b/>
        </w:rPr>
        <w:t>模板</w:t>
      </w:r>
      <w:r>
        <w:t>：</w:t>
      </w:r>
    </w:p>
    <w:p>
      <w:pPr>
        <w:ind w:left="480" w:firstLine="0"/>
      </w:pPr>
      <w:r>
        <w:t>以下是一份[合同类型]合同：[粘贴文本]。请逐条审查：一、列出对我方（乙方）明显不利或责任不对等的条款；二、指出措辞模糊、可能产生两种解释的条款；三、列出这份合同缺少的常见保护性条款；四、对每一条给出"建议要求修改的措辞"。你的分析不构成法律意见，我最终会咨询专业人士。</w:t>
      </w:r>
    </w:p>
    <w:p>
      <w:pPr>
        <w:ind w:firstLine="480"/>
      </w:pPr>
      <w:r>
        <w:rPr>
          <w:b/>
        </w:rPr>
        <w:t>机制</w:t>
      </w:r>
      <w:r>
        <w:t>：逐条审查的结构防止遗漏长合同中间的条款；免责声明不是客套，而是把模型输出正确定位为"咨询前的预处理"。</w:t>
      </w:r>
    </w:p>
    <w:p>
      <w:pPr>
        <w:pStyle w:val="Heading3"/>
      </w:pPr>
      <w:r>
        <w:t>模板14　旅行规划（含取舍）</w:t>
      </w:r>
    </w:p>
    <w:p>
      <w:pPr>
        <w:ind w:firstLine="480"/>
      </w:pPr>
      <w:r>
        <w:rPr>
          <w:b/>
        </w:rPr>
        <w:t>场景</w:t>
      </w:r>
      <w:r>
        <w:t>：制定行程，需要在时间与预算约束下做取舍。</w:t>
      </w:r>
    </w:p>
    <w:p>
      <w:pPr>
        <w:ind w:firstLine="480"/>
      </w:pPr>
      <w:r>
        <w:rPr>
          <w:b/>
        </w:rPr>
        <w:t>模板</w:t>
      </w:r>
      <w:r>
        <w:t>：</w:t>
      </w:r>
    </w:p>
    <w:p>
      <w:pPr>
        <w:ind w:left="480" w:firstLine="0"/>
      </w:pPr>
      <w:r>
        <w:t>我计划[天数]天的[目的地]旅行，人数[N]，预算[金额]，同行者中有[特殊情况，如老人/小孩]。请给出两个方案：一个紧凑型、一个松弛型。每个方案标注每日步行量与交通耗时估计，并明确指出该方案牺牲了什么。需要提前预约的项目单独列出，并注明信息可能过期，需要我自行核实。</w:t>
      </w:r>
    </w:p>
    <w:p>
      <w:pPr>
        <w:ind w:firstLine="480"/>
      </w:pPr>
      <w:r>
        <w:rPr>
          <w:b/>
        </w:rPr>
        <w:t>机制</w:t>
      </w:r>
      <w:r>
        <w:t>："牺牲了什么"的强制披露把隐性代价显性化；预约信息的核实提醒防止依赖过期信息。</w:t>
      </w:r>
    </w:p>
    <w:p>
      <w:pPr>
        <w:pStyle w:val="Heading3"/>
      </w:pPr>
      <w:r>
        <w:t>模板15　就医前问题清单</w:t>
      </w:r>
    </w:p>
    <w:p>
      <w:pPr>
        <w:ind w:firstLine="480"/>
      </w:pPr>
      <w:r>
        <w:rPr>
          <w:b/>
        </w:rPr>
        <w:t>场景</w:t>
      </w:r>
      <w:r>
        <w:t>：就诊时间有限，需要高效利用与医生的沟通时间。</w:t>
      </w:r>
    </w:p>
    <w:p>
      <w:pPr>
        <w:ind w:firstLine="480"/>
      </w:pPr>
      <w:r>
        <w:rPr>
          <w:b/>
        </w:rPr>
        <w:t>模板</w:t>
      </w:r>
      <w:r>
        <w:t>：</w:t>
      </w:r>
    </w:p>
    <w:p>
      <w:pPr>
        <w:ind w:left="480" w:firstLine="0"/>
      </w:pPr>
      <w:r>
        <w:t>我（或家人）的症状与基本情况是：[描述]，持续[时长]，既往[相关病史]。我不是要诊断。请帮我：一、整理症状描述的清晰顺序；二、列出就诊时应该主动告诉医生的信息清单；三、列出我应该问医生的 5–8 个问题；四、列出哪些情况属于应当立即就医的信号。不要给出任何疾病名称的猜测。</w:t>
      </w:r>
    </w:p>
    <w:p>
      <w:pPr>
        <w:ind w:firstLine="480"/>
      </w:pPr>
      <w:r>
        <w:rPr>
          <w:b/>
        </w:rPr>
        <w:t>机制</w:t>
      </w:r>
      <w:r>
        <w:t>：禁止猜测诊断的约束规避了模型越界行医的风险；"问医生的问题"重新分配了人机分工——模型做信息组织，判断留给专业人士。</w:t>
      </w:r>
    </w:p>
    <w:p>
      <w:pPr>
        <w:pStyle w:val="Heading3"/>
      </w:pPr>
      <w:r>
        <w:t>模板16　决策复盘</w:t>
      </w:r>
    </w:p>
    <w:p>
      <w:pPr>
        <w:ind w:firstLine="480"/>
      </w:pPr>
      <w:r>
        <w:rPr>
          <w:b/>
        </w:rPr>
        <w:t>场景</w:t>
      </w:r>
      <w:r>
        <w:t>：做完一个重要决定后，想系统复盘而非只凭感觉。</w:t>
      </w:r>
    </w:p>
    <w:p>
      <w:pPr>
        <w:ind w:firstLine="480"/>
      </w:pPr>
      <w:r>
        <w:rPr>
          <w:b/>
        </w:rPr>
        <w:t>模板</w:t>
      </w:r>
      <w:r>
        <w:t>：</w:t>
      </w:r>
    </w:p>
    <w:p>
      <w:pPr>
        <w:ind w:left="480" w:firstLine="0"/>
      </w:pPr>
      <w:r>
        <w:t>我最近做了一个决定：[描述决定、当时的理由与信息条件]。请帮我复盘：一、区分哪些部分是"决策质量问题"，哪些是"运气问题"；二、在当时的信息条件下，这个决定是否合理；三、我的理由中哪些是事后看来站不住的；四、总结一条可迁移的原则。请直接指出问题，不需要安慰我。</w:t>
      </w:r>
    </w:p>
    <w:p>
      <w:pPr>
        <w:ind w:firstLine="480"/>
      </w:pPr>
      <w:r>
        <w:rPr>
          <w:b/>
        </w:rPr>
        <w:t>机制</w:t>
      </w:r>
      <w:r>
        <w:t>：决策质量与运气的区分是决策学的经典工具，防止把好决策的坏结果误判为决策失误（或相反）；"不需要安慰"抑制模型的迎合倾向。</w:t>
      </w:r>
    </w:p>
    <w:p>
      <w:pPr>
        <w:pStyle w:val="Heading2"/>
      </w:pPr>
      <w:r>
        <w:t>五、创作类</w:t>
      </w:r>
    </w:p>
    <w:p>
      <w:pPr>
        <w:pStyle w:val="Heading3"/>
      </w:pPr>
      <w:r>
        <w:t>模板17　故事核心设定推演</w:t>
      </w:r>
    </w:p>
    <w:p>
      <w:pPr>
        <w:ind w:firstLine="480"/>
      </w:pPr>
      <w:r>
        <w:rPr>
          <w:b/>
        </w:rPr>
        <w:t>场景</w:t>
      </w:r>
      <w:r>
        <w:t>：有了故事核心概念，需要推演其逻辑后果而非直接要成品。</w:t>
      </w:r>
    </w:p>
    <w:p>
      <w:pPr>
        <w:ind w:firstLine="480"/>
      </w:pPr>
      <w:r>
        <w:rPr>
          <w:b/>
        </w:rPr>
        <w:t>模板</w:t>
      </w:r>
      <w:r>
        <w:t>：</w:t>
      </w:r>
    </w:p>
    <w:p>
      <w:pPr>
        <w:ind w:left="480" w:firstLine="0"/>
      </w:pPr>
      <w:r>
        <w:t>我的故事核心设定是：[一句话设定]。请做设定推演：一、这个设定成立的前提下，社会运行会出现哪五个必然变化；二、哪些常见情节在设定下不再成立；三、这个设定最有张力的三个矛盾冲突点。只要分析，不要替我写任何情节。</w:t>
      </w:r>
    </w:p>
    <w:p>
      <w:pPr>
        <w:ind w:firstLine="480"/>
      </w:pPr>
      <w:r>
        <w:rPr>
          <w:b/>
        </w:rPr>
        <w:t>机制</w:t>
      </w:r>
      <w:r>
        <w:t>：世界观的深度来自设定的逻辑后果，推演清单比直接生成情节更能保留作者的主导权。</w:t>
      </w:r>
    </w:p>
    <w:p>
      <w:pPr>
        <w:pStyle w:val="Heading3"/>
      </w:pPr>
      <w:r>
        <w:t>模板18　选题对谈</w:t>
      </w:r>
    </w:p>
    <w:p>
      <w:pPr>
        <w:ind w:firstLine="480"/>
      </w:pPr>
      <w:r>
        <w:rPr>
          <w:b/>
        </w:rPr>
        <w:t>场景</w:t>
      </w:r>
      <w:r>
        <w:t>：公众号或视频栏目选题枯竭，需要系统性而非灵感式的产出。</w:t>
      </w:r>
    </w:p>
    <w:p>
      <w:pPr>
        <w:ind w:firstLine="480"/>
      </w:pPr>
      <w:r>
        <w:rPr>
          <w:b/>
        </w:rPr>
        <w:t>模板</w:t>
      </w:r>
      <w:r>
        <w:t>：</w:t>
      </w:r>
    </w:p>
    <w:p>
      <w:pPr>
        <w:ind w:left="480" w:firstLine="0"/>
      </w:pPr>
      <w:r>
        <w:t>我的栏目定位是[定位]，读者是[读者画像]，已有的三个表现最好的选题是：[列举]。请分析这三个选题共同命中了读者的什么需求，然后基于同一需求提出十个新选题，每个选题附一句"为什么读者会点开"。不要提出与我的定位无关的热点蹭流量型选题。</w:t>
      </w:r>
    </w:p>
    <w:p>
      <w:pPr>
        <w:ind w:firstLine="480"/>
      </w:pPr>
      <w:r>
        <w:rPr>
          <w:b/>
        </w:rPr>
        <w:t>机制</w:t>
      </w:r>
      <w:r>
        <w:t>：从已有成功案例反推需求结构，把选题从灵感问题转为机制问题；排除蹭流量的约束保持了定位的一致性。</w:t>
      </w:r>
    </w:p>
    <w:p>
      <w:pPr>
        <w:pStyle w:val="Heading3"/>
      </w:pPr>
      <w:r>
        <w:t>模板19　图像生成提示词（中文场景）</w:t>
      </w:r>
    </w:p>
    <w:p>
      <w:pPr>
        <w:ind w:firstLine="480"/>
      </w:pPr>
      <w:r>
        <w:rPr>
          <w:b/>
        </w:rPr>
        <w:t>场景</w:t>
      </w:r>
      <w:r>
        <w:t>：为课程展示或自媒体配图，需要可控的图像生成。</w:t>
      </w:r>
    </w:p>
    <w:p>
      <w:pPr>
        <w:ind w:firstLine="480"/>
      </w:pPr>
      <w:r>
        <w:rPr>
          <w:b/>
        </w:rPr>
        <w:t>模板</w:t>
      </w:r>
      <w:r>
        <w:t>：</w:t>
      </w:r>
    </w:p>
    <w:p>
      <w:pPr>
        <w:ind w:left="480" w:firstLine="0"/>
      </w:pPr>
      <w:r>
        <w:t>一张[用途]的图片：主体是[主体描述]，风格是[风格参考，如扁平插画/写实摄影]，色调[色调]，构图[构图方式，如中心对称/三分法]，氛围[氛围词]，画面中不要出现[排除项]。比例 [比例]。</w:t>
      </w:r>
    </w:p>
    <w:p>
      <w:pPr>
        <w:ind w:firstLine="480"/>
      </w:pPr>
      <w:r>
        <w:rPr>
          <w:b/>
        </w:rPr>
        <w:t>机制</w:t>
      </w:r>
      <w:r>
        <w:t>：图像模型对"排除项"与"比例"等明确约束的响应远好于笼统形容；分维度的提示结构便于失败后逐项调整，而不是整句重写。</w:t>
      </w:r>
    </w:p>
    <w:p>
      <w:pPr>
        <w:pStyle w:val="Heading3"/>
      </w:pPr>
      <w:r>
        <w:t>模板20　视频脚本分镜</w:t>
      </w:r>
    </w:p>
    <w:p>
      <w:pPr>
        <w:ind w:firstLine="480"/>
      </w:pPr>
      <w:r>
        <w:rPr>
          <w:b/>
        </w:rPr>
        <w:t>场景</w:t>
      </w:r>
      <w:r>
        <w:t>：把一个想法变成可拍摄/可生成的短视频脚本。</w:t>
      </w:r>
    </w:p>
    <w:p>
      <w:pPr>
        <w:ind w:firstLine="480"/>
      </w:pPr>
      <w:r>
        <w:rPr>
          <w:b/>
        </w:rPr>
        <w:t>模板</w:t>
      </w:r>
      <w:r>
        <w:t>：</w:t>
      </w:r>
    </w:p>
    <w:p>
      <w:pPr>
        <w:ind w:left="480" w:firstLine="0"/>
      </w:pPr>
      <w:r>
        <w:t>把以下内容做成[时长]秒的短视频脚本：[核心内容]。目标观众是[观众]。输出分镜表，列为：镜号、画面内容、台词/字幕、时长、备注。约束：前三秒必须完成钩子；全片只保留一个核心信息点；台词总量不超过[N]字。生成后，指出你认为最可能被观众跳过的一个镜头。</w:t>
      </w:r>
    </w:p>
    <w:p>
      <w:pPr>
        <w:ind w:firstLine="480"/>
      </w:pPr>
      <w:r>
        <w:rPr>
          <w:b/>
        </w:rPr>
        <w:t>机制</w:t>
      </w:r>
      <w:r>
        <w:t>：分镜表的结构强制模型在"画面—声音—时长"三轨上同时思考；"指出最可能被跳过的镜头"利用模型的读者视角做了一次内置质检。</w:t>
      </w:r>
    </w:p>
    <w:p>
      <w:pPr>
        <w:ind w:firstLine="0"/>
      </w:pPr>
      <w:r>
        <w:rPr>
          <w:i/>
          <w:color w:val="808080"/>
          <w:sz w:val="21"/>
        </w:rPr>
        <w:t>（简编版，完整版 100 例待扩写：学习、写作、求职、生活、创作五类各 20 例，并增加"反模式"对照示例——即同一场景下失效的写法及其原因。所有模板在扩写时需逐条实测并更新。）</w:t>
      </w:r>
    </w:p>
    <w:p>
      <w:r>
        <w:br w:type="page"/>
      </w:r>
    </w:p>
    <w:p>
      <w:pPr>
        <w:pStyle w:val="Heading1"/>
      </w:pPr>
      <w:r>
        <w:t>附录C　如何查询你所在学校的AI使用政策</w:t>
      </w:r>
    </w:p>
    <w:p>
      <w:pPr>
        <w:ind w:firstLine="480"/>
      </w:pPr>
      <w:r>
        <w:t xml:space="preserve">高校的AI使用政策不是一份统一文件，而是散落在不同层级、不同效力的通知、大纲与细则中的规则集合；且多数学校的规定仍在快速变动之中。因此本附录不罗列任何具体政策（涉及具体表述一律 </w:t>
      </w:r>
      <w:r>
        <w:rPr>
          <w:rFonts w:ascii="Consolas" w:hAnsi="Consolas" w:eastAsia="宋体"/>
          <w:sz w:val="21"/>
        </w:rPr>
        <w:t>[待核实]</w:t>
      </w:r>
      <w:r>
        <w:t>），只提供一套查询与判断的方法。方法的前提认识是：规则的不确定性本身是大学生活的一部分制度现实，学会在不确定中找到可执行的答案，比记住任何一条现行规定都更有用，因为规定会改，查询的方法不会。</w:t>
      </w:r>
    </w:p>
    <w:p>
      <w:pPr>
        <w:pStyle w:val="Heading2"/>
      </w:pPr>
      <w:r>
        <w:t>一、政策散落在哪里：四条查询路径</w:t>
      </w:r>
    </w:p>
    <w:p>
      <w:pPr>
        <w:ind w:firstLine="480"/>
      </w:pPr>
      <w:r>
        <w:rPr>
          <w:b/>
        </w:rPr>
        <w:t>路径一：教务处的通知与文件。</w:t>
      </w:r>
      <w:r>
        <w:t xml:space="preserve"> 校级层面的规定通常以教务处通知的形式发布，常见主题包括课程考核纪律、作业与考试规范、AI工具使用的总体立场。查询时优先使用学校官网的站内搜索，检索关键词建议组合使用："人工智能""生成式""AI""大语言模型""学术诚信""课程考核"。需要注意，教务处文件只给出校级底线，具体课程的宽松程度通常高于校级规定。</w:t>
      </w:r>
    </w:p>
    <w:p>
      <w:pPr>
        <w:ind w:firstLine="480"/>
      </w:pPr>
      <w:r>
        <w:rPr>
          <w:b/>
        </w:rPr>
        <w:t>路径二：课程大纲与第一节课的说明。</w:t>
      </w:r>
      <w:r>
        <w:t xml:space="preserve"> 对日常作业真正有约束力的，往往是任课教师在课程大纲（syllabus）或第一节课上给出的规则。这层规则可能与校级口径不同——同一所学校里，一门课完全禁止AI、另一门课要求必须使用AI，都是正常现象。若课程大纲没有提及AI，不应默认为"允许"；见下文第四节的询问方法。</w:t>
      </w:r>
    </w:p>
    <w:p>
      <w:pPr>
        <w:ind w:firstLine="480"/>
      </w:pPr>
      <w:r>
        <w:rPr>
          <w:b/>
        </w:rPr>
        <w:t>路径三：学院网站与专业细则。</w:t>
      </w:r>
      <w:r>
        <w:t xml:space="preserve"> 部分学院会在本院网站发布补充规定，尤其在实验数据、临床实习、设计作品等有专业特殊性的领域。理工科院系可能对代码查重与AI生成代码有专门说明，人文社科院系可能对论文写作的规定更细 </w:t>
      </w:r>
      <w:r>
        <w:rPr>
          <w:rFonts w:ascii="Consolas" w:hAnsi="Consolas" w:eastAsia="宋体"/>
          <w:sz w:val="21"/>
        </w:rPr>
        <w:t>[待核实]</w:t>
      </w:r>
      <w:r>
        <w:t>。</w:t>
      </w:r>
    </w:p>
    <w:p>
      <w:pPr>
        <w:ind w:firstLine="480"/>
      </w:pPr>
      <w:r>
        <w:rPr>
          <w:b/>
        </w:rPr>
        <w:t>路径四：研究生院与学位办公室。</w:t>
      </w:r>
      <w:r>
        <w:t xml:space="preserve"> 涉及学位论文的规则与课程作业的规则分属不同体系。研究生院发布的学位论文规范、开题与答辩文件中，可能包含对AI使用的专门条款（如检测要求、披露要求、禁止范围）</w:t>
      </w:r>
      <w:r>
        <w:rPr>
          <w:rFonts w:ascii="Consolas" w:hAnsi="Consolas" w:eastAsia="宋体"/>
          <w:sz w:val="21"/>
        </w:rPr>
        <w:t>[待核实]</w:t>
      </w:r>
      <w:r>
        <w:t>。本科生则应查询教务处关于毕业论文（设计）的专项通知。</w:t>
      </w:r>
    </w:p>
    <w:p>
      <w:pPr>
        <w:ind w:firstLine="480"/>
      </w:pPr>
      <w:r>
        <w:t xml:space="preserve">四条路径的效力层级大致是：学位论文规范严于校级考核纪律，校级纪律是底线，课程规则决定日常作业的实际边界，但课程规则不得突破校级底线之上再放开的幅度由学校自己界定 </w:t>
      </w:r>
      <w:r>
        <w:rPr>
          <w:rFonts w:ascii="Consolas" w:hAnsi="Consolas" w:eastAsia="宋体"/>
          <w:sz w:val="21"/>
        </w:rPr>
        <w:t>[待核实]</w:t>
      </w:r>
      <w:r>
        <w:t>。查询时从最具体的层级（本课程）开始，向上核对是否有更严格的校级与学位层要求。</w:t>
      </w:r>
    </w:p>
    <w:p>
      <w:pPr>
        <w:pStyle w:val="Heading2"/>
      </w:pPr>
      <w:r>
        <w:t>二、识别政策的三种类型</w:t>
      </w:r>
    </w:p>
    <w:p>
      <w:pPr>
        <w:ind w:firstLine="480"/>
      </w:pPr>
      <w:r>
        <w:t>拿到一份规定后，先判断它属于哪种类型，再判断自己在该类型下的义务。高校与期刊的AI政策大体可归为三种规制类型（第七章对此有详细分析）：</w:t>
      </w:r>
    </w:p>
    <w:p>
      <w:pPr>
        <w:ind w:firstLine="480"/>
      </w:pPr>
      <w:r>
        <w:t xml:space="preserve">- </w:t>
      </w:r>
      <w:r>
        <w:rPr>
          <w:b/>
        </w:rPr>
        <w:t>禁止型</w:t>
      </w:r>
      <w:r>
        <w:t>：不允许在特定环节使用AI，或仅允许在明确规定之外的场景使用。识别标志是"不得""禁止""一经发现按学术不端处理"等表述。注意禁止的范围——是禁止全部使用，还是仅禁止特定环节（如禁止生成正文、但允许检查语法）。</w:t>
      </w:r>
    </w:p>
    <w:p>
      <w:pPr>
        <w:ind w:firstLine="480"/>
      </w:pPr>
      <w:r>
        <w:t xml:space="preserve">- </w:t>
      </w:r>
      <w:r>
        <w:rPr>
          <w:b/>
        </w:rPr>
        <w:t>披露型</w:t>
      </w:r>
      <w:r>
        <w:t>：允许使用，但要求申报与说明。识别标志是"披露""声明""注明使用方式"等表述。此时你的义务不是不用，而是如实记录用了什么、在哪一步用、做了哪些人工核验——这恰好也是第七章建议的自律标准。</w:t>
      </w:r>
    </w:p>
    <w:p>
      <w:pPr>
        <w:ind w:firstLine="480"/>
      </w:pPr>
      <w:r>
        <w:t xml:space="preserve">- </w:t>
      </w:r>
      <w:r>
        <w:rPr>
          <w:b/>
        </w:rPr>
        <w:t>开放型</w:t>
      </w:r>
      <w:r>
        <w:t>：明文鼓励使用，或将AI纳入考核方式本身（如允许用AI完成初稿、考核重点转为答辩或现场展示）。开放型不等于无义务，通常伴随评价重心的转移。</w:t>
      </w:r>
    </w:p>
    <w:p>
      <w:pPr>
        <w:ind w:firstLine="480"/>
      </w:pPr>
      <w:r>
        <w:t>现实中的多数文件是混合体：对课程作业偏披露或开放，对学位论文偏严格。同一份文件内部也可能分层级规定，逐段阅读比抓住一个总括句更重要。</w:t>
      </w:r>
    </w:p>
    <w:p>
      <w:pPr>
        <w:pStyle w:val="Heading2"/>
      </w:pPr>
      <w:r>
        <w:t>三、阅读要点：哪些条款真正约束你</w:t>
      </w:r>
    </w:p>
    <w:p>
      <w:pPr>
        <w:ind w:firstLine="480"/>
      </w:pPr>
      <w:r>
        <w:t>阅读一份政策文件时，按以下四个问题提取有效信息：</w:t>
      </w:r>
    </w:p>
    <w:p>
      <w:pPr>
        <w:ind w:firstLine="480"/>
      </w:pPr>
      <w:r>
        <w:t xml:space="preserve">1. </w:t>
      </w:r>
      <w:r>
        <w:rPr>
          <w:b/>
        </w:rPr>
        <w:t>适用对象与范围</w:t>
      </w:r>
      <w:r>
        <w:t>。条款约束的是"课程作业"还是"学位论文"？是"正式提交的成果"还是"学习过程"？过程性使用（用AI理解文献）与成果性使用（AI生成提交文本）通常被区别对待。</w:t>
      </w:r>
    </w:p>
    <w:p>
      <w:pPr>
        <w:ind w:firstLine="480"/>
      </w:pPr>
      <w:r>
        <w:t xml:space="preserve">2. </w:t>
      </w:r>
      <w:r>
        <w:rPr>
          <w:b/>
        </w:rPr>
        <w:t>约束的行为类型</w:t>
      </w:r>
      <w:r>
        <w:t>。是禁止生成内容本身，还是禁止未披露的使用，或是禁止特定工具（如规定不得使用能联网检索的工具）？行为类型的划分决定了你的哪种用法落入条款。</w:t>
      </w:r>
    </w:p>
    <w:p>
      <w:pPr>
        <w:ind w:firstLine="480"/>
      </w:pPr>
      <w:r>
        <w:t xml:space="preserve">3. </w:t>
      </w:r>
      <w:r>
        <w:rPr>
          <w:b/>
        </w:rPr>
        <w:t>检测与认定程序</w:t>
      </w:r>
      <w:r>
        <w:t xml:space="preserve">。文件是否提到AI生成内容的检测？认定的程序是什么、谁有认定权、有无申诉渠道？检测工具的可靠性在学界仍有争议 </w:t>
      </w:r>
      <w:r>
        <w:rPr>
          <w:rFonts w:ascii="Consolas" w:hAnsi="Consolas" w:eastAsia="宋体"/>
          <w:sz w:val="21"/>
        </w:rPr>
        <w:t>[待核实]</w:t>
      </w:r>
      <w:r>
        <w:t>，但程序性条款决定了你被误判时的救济路径。</w:t>
      </w:r>
    </w:p>
    <w:p>
      <w:pPr>
        <w:ind w:firstLine="480"/>
      </w:pPr>
      <w:r>
        <w:t xml:space="preserve">4. </w:t>
      </w:r>
      <w:r>
        <w:rPr>
          <w:b/>
        </w:rPr>
        <w:t>后果与责任</w:t>
      </w:r>
      <w:r>
        <w:t>。违规的后果按什么标准执行（学术不端处理办法，还是课程成绩处理）？这一条决定了风险的实际量级。</w:t>
      </w:r>
    </w:p>
    <w:p>
      <w:pPr>
        <w:pStyle w:val="Heading2"/>
      </w:pPr>
      <w:r>
        <w:t>四、不确定时如何询问老师</w:t>
      </w:r>
    </w:p>
    <w:p>
      <w:pPr>
        <w:ind w:firstLine="480"/>
      </w:pPr>
      <w:r>
        <w:t>当课程大纲没有规定、或规定模糊到你无法判断自己的用法是否合规时，应当询问，而不是在沉默中使用。询问本身就是一种低成本的风险管理，也是对教师规则制定权的尊重——未经确认的"应该没事"不是依据。</w:t>
      </w:r>
    </w:p>
    <w:p>
      <w:pPr>
        <w:ind w:firstLine="480"/>
      </w:pPr>
      <w:r>
        <w:t>询问的方式建议使用电子邮件而非课间口头询问，因为书面答复可以留存。邮件要点有三：说明具体场景（哪门课、什么环节、打算怎么用）、给出你的理解供确认（而非开放式提问）、请求明确边界。一封可用的示例邮件如下：</w:t>
      </w:r>
    </w:p>
    <w:p>
      <w:pPr>
        <w:ind w:left="480" w:firstLine="0"/>
      </w:pPr>
      <w:r>
        <w:t>老师您好。我在准备您课程《XX》的期末论文，想使用AI工具辅助整理文献笔记并对我的英文摘要做语法检查，正文论证由我自己完成。请问这种用法是否符合您对这门课的要求？如果需要，我可以在提交时附上使用说明。谢谢您。</w:t>
      </w:r>
    </w:p>
    <w:p>
      <w:pPr>
        <w:ind w:firstLine="480"/>
      </w:pPr>
      <w:r>
        <w:t>这类询问通常比想象中更容易得到回应，因为教师同样面临规则不明的处境，一个具体的问题比一个抽象的"能不能用AI"更容易回答。若答复仍然是模糊的，按较严格的解释执行，并在提交时主动附使用说明——披露在最坏的情况下是无害的，沉默在最坏的情况下是被认定为隐瞒。</w:t>
      </w:r>
    </w:p>
    <w:p>
      <w:pPr>
        <w:pStyle w:val="Heading2"/>
      </w:pPr>
      <w:r>
        <w:t>五、一个务实的默认立场</w:t>
      </w:r>
    </w:p>
    <w:p>
      <w:pPr>
        <w:ind w:firstLine="480"/>
      </w:pPr>
      <w:r>
        <w:t>在完成查询之前，可以采用第七章的默认立场：把AI用于理解、检索、组织与自查，不用于生成直接提交的内容；凡拿不准的环节，按披露处理。这个立场在三种政策类型下都不构成违规，其代价只是多花一些写说明的时间。查询清楚本校、本院、本课程的规则之后，再根据实际政策放宽或收紧——规则是别人定的，但对规则的理解与执行方式，是你自己的判断领域。</w:t>
      </w:r>
    </w:p>
    <w:p>
      <w:r>
        <w:br w:type="page"/>
      </w:r>
    </w:p>
    <w:p>
      <w:pPr>
        <w:pStyle w:val="Heading1"/>
      </w:pPr>
      <w:r>
        <w:t>附录D　延伸阅读</w:t>
      </w:r>
    </w:p>
    <w:p>
      <w:pPr>
        <w:ind w:firstLine="480"/>
      </w:pPr>
      <w:r>
        <w:t>本附录只收录确实存在、且经过较长时间检验的书籍与公开课程。判断标准有三：作者或讲者是该领域可查证的从业者或研究者；内容以理解机制为目标而非工具操作教学；中文读者可以通过出版中译本、开源版本或公开视频获取。AI领域变化快，但凡涉及具体技术细节的表述都可能过时，但下列作品处理的多是不随版本变动的问题——机器如何学习、智能的边界在哪里、人应当如何自处。分入门、进阶、专业三档，读者可按自己的位置选择起点，跳档阅读没有障碍，但从前一档读起可以少走弯路。</w:t>
      </w:r>
    </w:p>
    <w:p>
      <w:pPr>
        <w:pStyle w:val="Heading2"/>
      </w:pPr>
      <w:r>
        <w:t>入门：建立基本图景</w:t>
      </w:r>
    </w:p>
    <w:p>
      <w:pPr>
        <w:ind w:firstLine="480"/>
      </w:pPr>
      <w:r>
        <w:t xml:space="preserve">- </w:t>
      </w:r>
      <w:r>
        <w:rPr>
          <w:b/>
        </w:rPr>
        <w:t>梅拉妮·米歇尔《AI 3.0》</w:t>
      </w:r>
      <w:r>
        <w:t xml:space="preserve">（Melanie Mitchell, </w:t>
      </w:r>
      <w:r>
        <w:rPr>
          <w:i/>
        </w:rPr>
        <w:t>Artificial Intelligence: A Guide for Thinking Humans</w:t>
      </w:r>
      <w:r>
        <w:t>）：一位复杂系统研究者对AI能力边界的清醒描述，适合用来校准"AI能做什么"的直觉，避免高估与低估。</w:t>
      </w:r>
    </w:p>
    <w:p>
      <w:pPr>
        <w:ind w:firstLine="480"/>
      </w:pPr>
      <w:r>
        <w:t xml:space="preserve">- </w:t>
      </w:r>
      <w:r>
        <w:rPr>
          <w:b/>
        </w:rPr>
        <w:t>斯蒂芬·沃尔弗拉姆《这就是ChatGPT》</w:t>
      </w:r>
      <w:r>
        <w:t>（</w:t>
      </w:r>
      <w:r>
        <w:rPr>
          <w:i/>
        </w:rPr>
        <w:t>What Is ChatGPT Doing... and Why Does It Work?</w:t>
      </w:r>
      <w:r>
        <w:t>）：以最少的数学讲清大语言模型"预测下一个词"的运作原理，篇幅短小，是理解本书多处机制讨论的最好入口。</w:t>
      </w:r>
    </w:p>
    <w:p>
      <w:pPr>
        <w:ind w:firstLine="480"/>
      </w:pPr>
      <w:r>
        <w:t xml:space="preserve">- </w:t>
      </w:r>
      <w:r>
        <w:rPr>
          <w:b/>
        </w:rPr>
        <w:t>吴军《智能时代》</w:t>
      </w:r>
      <w:r>
        <w:t>：从数据与机器智能的历史脉络讲起，中文写作中对"技术如何重构社会分工"这一问题讲得系统的通俗读物。</w:t>
      </w:r>
    </w:p>
    <w:p>
      <w:pPr>
        <w:ind w:firstLine="480"/>
      </w:pPr>
      <w:r>
        <w:t xml:space="preserve">- </w:t>
      </w:r>
      <w:r>
        <w:rPr>
          <w:b/>
        </w:rPr>
        <w:t>尼克《人工智能简史》</w:t>
      </w:r>
      <w:r>
        <w:t>：一部内行的学科史，帮助读者理解今天的AI是哪几条研究路线竞争与淘汰之后的幸存者，破除"AI是近年突然出现"的错觉。</w:t>
      </w:r>
    </w:p>
    <w:p>
      <w:pPr>
        <w:ind w:firstLine="480"/>
      </w:pPr>
      <w:r>
        <w:t xml:space="preserve">- </w:t>
      </w:r>
      <w:r>
        <w:rPr>
          <w:b/>
        </w:rPr>
        <w:t>吴恩达《AI for Everyone》（面向所有人的AI，Coursera 公开课程）</w:t>
      </w:r>
      <w:r>
        <w:t>：非技术背景者的标准入门课，覆盖AI的能力边界与组织应用，节奏平缓，可一至两周完成。</w:t>
      </w:r>
    </w:p>
    <w:p>
      <w:pPr>
        <w:pStyle w:val="Heading2"/>
      </w:pPr>
      <w:r>
        <w:t>进阶：理解机制与处境</w:t>
      </w:r>
    </w:p>
    <w:p>
      <w:pPr>
        <w:ind w:firstLine="480"/>
      </w:pPr>
      <w:r>
        <w:t xml:space="preserve">- </w:t>
      </w:r>
      <w:r>
        <w:rPr>
          <w:b/>
        </w:rPr>
        <w:t>斯图尔特·罗素《AI新生》</w:t>
      </w:r>
      <w:r>
        <w:t xml:space="preserve">（Stuart Russell, </w:t>
      </w:r>
      <w:r>
        <w:rPr>
          <w:i/>
        </w:rPr>
        <w:t>Human Compatible</w:t>
      </w:r>
      <w:r>
        <w:t>）：AI安全研究的代表性著作，核心论题是"我们如何让更强大的系统保持可控"，与本书第十章的伦理讨论直接相关。</w:t>
      </w:r>
    </w:p>
    <w:p>
      <w:pPr>
        <w:ind w:firstLine="480"/>
      </w:pPr>
      <w:r>
        <w:t xml:space="preserve">- </w:t>
      </w:r>
      <w:r>
        <w:rPr>
          <w:b/>
        </w:rPr>
        <w:t>杰夫·霍金斯《千脑智能》</w:t>
      </w:r>
      <w:r>
        <w:t xml:space="preserve">（Jeff Hawkins, </w:t>
      </w:r>
      <w:r>
        <w:rPr>
          <w:i/>
        </w:rPr>
        <w:t>A Thousand Brains</w:t>
      </w:r>
      <w:r>
        <w:t>）：神经科学视角对智能机制的另一种解释，适合用来对照"神经网络是否等于大脑"这一流行误读。</w:t>
      </w:r>
    </w:p>
    <w:p>
      <w:pPr>
        <w:ind w:firstLine="480"/>
      </w:pPr>
      <w:r>
        <w:t xml:space="preserve">- </w:t>
      </w:r>
      <w:r>
        <w:rPr>
          <w:b/>
        </w:rPr>
        <w:t>朱迪亚·珀尔《为什么：关于因果关系的新科学》</w:t>
      </w:r>
      <w:r>
        <w:t>（</w:t>
      </w:r>
      <w:r>
        <w:rPr>
          <w:i/>
        </w:rPr>
        <w:t>The Book of Why</w:t>
      </w:r>
      <w:r>
        <w:t>）：因果关系研究的经典著作，帮助理解为什么"从数据中找规律"与"理解原因"是两件事——这正是理解AI幻觉与统计偏见的认知基础。</w:t>
      </w:r>
    </w:p>
    <w:p>
      <w:pPr>
        <w:ind w:firstLine="480"/>
      </w:pPr>
      <w:r>
        <w:t xml:space="preserve">- </w:t>
      </w:r>
      <w:r>
        <w:rPr>
          <w:b/>
        </w:rPr>
        <w:t>李宏毅生成式AI与机器学习课程（公开视频）</w:t>
      </w:r>
      <w:r>
        <w:t>：中文世界质量最稳定的AI课程系列，讲解清晰、持续更新，适合从入门走向进阶的系统性学习。</w:t>
      </w:r>
    </w:p>
    <w:p>
      <w:pPr>
        <w:ind w:firstLine="480"/>
      </w:pPr>
      <w:r>
        <w:t xml:space="preserve">- </w:t>
      </w:r>
      <w:r>
        <w:rPr>
          <w:b/>
        </w:rPr>
        <w:t xml:space="preserve">安德烈·卡帕希"神经网络：从零到英雄"系列（Andrej Karpathy, </w:t>
      </w:r>
      <w:r>
        <w:rPr>
          <w:b/>
          <w:i/>
        </w:rPr>
        <w:t>Neural Networks: Zero to Hero</w:t>
      </w:r>
      <w:r>
        <w:rPr>
          <w:b/>
        </w:rPr>
        <w:t>，YouTube 公开）</w:t>
      </w:r>
      <w:r>
        <w:t>：以动手写代码的方式理解神经网络的内部机制，适合有一定编程基础、想"知其所以然"的读者。</w:t>
      </w:r>
    </w:p>
    <w:p>
      <w:pPr>
        <w:pStyle w:val="Heading2"/>
      </w:pPr>
      <w:r>
        <w:t>专业：深入技术内核</w:t>
      </w:r>
    </w:p>
    <w:p>
      <w:pPr>
        <w:ind w:firstLine="480"/>
      </w:pPr>
      <w:r>
        <w:t xml:space="preserve">- </w:t>
      </w:r>
      <w:r>
        <w:rPr>
          <w:b/>
        </w:rPr>
        <w:t>伊恩·古德费洛等《深度学习》</w:t>
      </w:r>
      <w:r>
        <w:t xml:space="preserve">（Ian Goodfellow et al., </w:t>
      </w:r>
      <w:r>
        <w:rPr>
          <w:i/>
        </w:rPr>
        <w:t>Deep Learning</w:t>
      </w:r>
      <w:r>
        <w:t>）：深度学习的奠基性教材，俗称"花书"，数学要求较高，是进入技术文献之前的系统性准备。</w:t>
      </w:r>
    </w:p>
    <w:p>
      <w:pPr>
        <w:ind w:firstLine="480"/>
      </w:pPr>
      <w:r>
        <w:t xml:space="preserve">- </w:t>
      </w:r>
      <w:r>
        <w:rPr>
          <w:b/>
        </w:rPr>
        <w:t>阿斯顿·张、李沐等《动手学深度学习》</w:t>
      </w:r>
      <w:r>
        <w:t>（</w:t>
      </w:r>
      <w:r>
        <w:rPr>
          <w:i/>
        </w:rPr>
        <w:t>Dive into Deep Learning</w:t>
      </w:r>
      <w:r>
        <w:t>, d2l.ai，开源中英文版）：代码与理论并重的开源教材，配套可运行的笔记本，是国内深度学习学习路径中事实上的标准资源之一。</w:t>
      </w:r>
    </w:p>
    <w:p>
      <w:pPr>
        <w:ind w:firstLine="480"/>
      </w:pPr>
      <w:r>
        <w:t xml:space="preserve">- </w:t>
      </w:r>
      <w:r>
        <w:rPr>
          <w:b/>
        </w:rPr>
        <w:t>丹尼尔·尤拉夫斯基、詹姆斯·马丁《语音与语言处理》</w:t>
      </w:r>
      <w:r>
        <w:t xml:space="preserve">（Jurafsky &amp; Martin, </w:t>
      </w:r>
      <w:r>
        <w:rPr>
          <w:i/>
        </w:rPr>
        <w:t>Speech and Language Processing</w:t>
      </w:r>
      <w:r>
        <w:t>，作者持续公开草稿版本）：自然语言处理领域的标准教科书，大语言模型相关章节可单独阅读。</w:t>
      </w:r>
    </w:p>
    <w:p>
      <w:pPr>
        <w:ind w:firstLine="480"/>
      </w:pPr>
      <w:r>
        <w:t xml:space="preserve">- </w:t>
      </w:r>
      <w:r>
        <w:rPr>
          <w:b/>
        </w:rPr>
        <w:t>斯坦福大学 CS224n（自然语言处理）与 CS231n（视觉识别）课程</w:t>
      </w:r>
      <w:r>
        <w:t>（讲义与视频公开）：研究生级技术课程的公开版本，配有完整作业，适合计划进入AI研究方向的高年级学生。</w:t>
      </w:r>
    </w:p>
    <w:p>
      <w:pPr>
        <w:ind w:firstLine="480"/>
      </w:pPr>
      <w:r>
        <w:t xml:space="preserve">- </w:t>
      </w:r>
      <w:r>
        <w:rPr>
          <w:b/>
        </w:rPr>
        <w:t>李沐"论文精读"系列（公开视频）</w:t>
      </w:r>
      <w:r>
        <w:t>：对深度学习经典论文的逐篇精读，是中文世界学习读论文方法本身的稀缺资源——对任何专业的大学生，读原始文献的能力都比结论的复述更值钱。</w:t>
      </w:r>
    </w:p>
    <w:p>
      <w:pPr>
        <w:ind w:firstLine="480"/>
      </w:pPr>
      <w:r>
        <w:t>以上书单与课程不构成任何意义上的完备清单。使用它的建议方式是：从每一档里选一本读透，而不是收集整个清单。AI领域每年都会出现新的畅销书，但值得进入一个三年后仍然成立的阅读清单的书，数量比想象中少；这正是本附录宁可收窄也不放开的理由。</w:t>
      </w:r>
    </w:p>
    <w:p>
      <w:r>
        <w:br w:type="page"/>
      </w:r>
    </w:p>
    <w:p>
      <w:pPr>
        <w:pStyle w:val="Heading1"/>
      </w:pPr>
      <w:r>
        <w:t>附录E　术语词典（简编版，60条）</w:t>
      </w:r>
    </w:p>
    <w:p>
      <w:pPr>
        <w:ind w:left="480" w:firstLine="0"/>
      </w:pPr>
      <w:r>
        <w:t>本词典收录 60 个核心术语，按主题分为六组：基础概念、架构与原理、训练与优化、使用与交互、应用与生态、社会与治理。每条解释以准确为先、通俗为辅，追求 30–80 字内说清"是什么"，不展开争议与论证（正文各章已处理）。完整版计划扩充至约 200 条，增补交叉引用与英文对照。</w:t>
      </w:r>
    </w:p>
    <w:p>
      <w:pPr>
        <w:pStyle w:val="Heading2"/>
      </w:pPr>
      <w:r>
        <w:t>一、基础概念</w:t>
      </w:r>
    </w:p>
    <w:tbl>
      <w:tblPr>
        <w:tblStyle w:val="TableGrid"/>
        <w:tblW w:type="auto" w:w="0"/>
        <w:tblLook w:firstColumn="1" w:firstRow="1" w:lastColumn="0" w:lastRow="0" w:noHBand="0" w:noVBand="1" w:val="04A0"/>
      </w:tblPr>
      <w:tblGrid>
        <w:gridCol w:w="4320"/>
        <w:gridCol w:w="4320"/>
      </w:tblGrid>
      <w:tr>
        <w:tc>
          <w:tcPr>
            <w:tcW w:type="dxa" w:w="4320"/>
          </w:tcPr>
          <w:p>
            <w:pPr>
              <w:spacing w:line="288" w:lineRule="auto"/>
            </w:pPr>
            <w:r>
              <w:rPr>
                <w:b/>
                <w:sz w:val="21"/>
              </w:rPr>
            </w:r>
            <w:r>
              <w:rPr>
                <w:b/>
                <w:sz w:val="21"/>
              </w:rPr>
              <w:t>词条</w:t>
            </w:r>
          </w:p>
        </w:tc>
        <w:tc>
          <w:tcPr>
            <w:tcW w:type="dxa" w:w="4320"/>
          </w:tcPr>
          <w:p>
            <w:pPr>
              <w:spacing w:line="288" w:lineRule="auto"/>
            </w:pPr>
            <w:r>
              <w:rPr>
                <w:b/>
                <w:sz w:val="21"/>
              </w:rPr>
            </w:r>
            <w:r>
              <w:rPr>
                <w:b/>
                <w:sz w:val="21"/>
              </w:rPr>
              <w:t>解释</w:t>
            </w:r>
          </w:p>
        </w:tc>
      </w:tr>
      <w:tr>
        <w:tc>
          <w:tcPr>
            <w:tcW w:type="dxa" w:w="4320"/>
          </w:tcPr>
          <w:p>
            <w:pPr>
              <w:spacing w:line="288" w:lineRule="auto"/>
            </w:pPr>
            <w:r>
              <w:rPr>
                <w:sz w:val="21"/>
              </w:rPr>
            </w:r>
            <w:r>
              <w:rPr>
                <w:sz w:val="21"/>
              </w:rPr>
              <w:t>人工智能（AI）</w:t>
            </w:r>
          </w:p>
        </w:tc>
        <w:tc>
          <w:tcPr>
            <w:tcW w:type="dxa" w:w="4320"/>
          </w:tcPr>
          <w:p>
            <w:pPr>
              <w:spacing w:line="288" w:lineRule="auto"/>
            </w:pPr>
            <w:r>
              <w:rPr>
                <w:sz w:val="21"/>
              </w:rPr>
            </w:r>
            <w:r>
              <w:rPr>
                <w:sz w:val="21"/>
              </w:rPr>
              <w:t>让机器执行通常需要人类智能才能完成的任务的学科总称，包括推理、感知、语言理解等，不特指某种具体技术。</w:t>
            </w:r>
          </w:p>
        </w:tc>
      </w:tr>
      <w:tr>
        <w:tc>
          <w:tcPr>
            <w:tcW w:type="dxa" w:w="4320"/>
          </w:tcPr>
          <w:p>
            <w:pPr>
              <w:spacing w:line="288" w:lineRule="auto"/>
            </w:pPr>
            <w:r>
              <w:rPr>
                <w:sz w:val="21"/>
              </w:rPr>
            </w:r>
            <w:r>
              <w:rPr>
                <w:sz w:val="21"/>
              </w:rPr>
              <w:t>机器学习</w:t>
            </w:r>
          </w:p>
        </w:tc>
        <w:tc>
          <w:tcPr>
            <w:tcW w:type="dxa" w:w="4320"/>
          </w:tcPr>
          <w:p>
            <w:pPr>
              <w:spacing w:line="288" w:lineRule="auto"/>
            </w:pPr>
            <w:r>
              <w:rPr>
                <w:sz w:val="21"/>
              </w:rPr>
            </w:r>
            <w:r>
              <w:rPr>
                <w:sz w:val="21"/>
              </w:rPr>
              <w:t>人工智能的一个分支，让系统从数据中自动习得规律而非依赖人工编写的规则，是当代AI的主流实现方式。</w:t>
            </w:r>
          </w:p>
        </w:tc>
      </w:tr>
      <w:tr>
        <w:tc>
          <w:tcPr>
            <w:tcW w:type="dxa" w:w="4320"/>
          </w:tcPr>
          <w:p>
            <w:pPr>
              <w:spacing w:line="288" w:lineRule="auto"/>
            </w:pPr>
            <w:r>
              <w:rPr>
                <w:sz w:val="21"/>
              </w:rPr>
            </w:r>
            <w:r>
              <w:rPr>
                <w:sz w:val="21"/>
              </w:rPr>
              <w:t>深度学习</w:t>
            </w:r>
          </w:p>
        </w:tc>
        <w:tc>
          <w:tcPr>
            <w:tcW w:type="dxa" w:w="4320"/>
          </w:tcPr>
          <w:p>
            <w:pPr>
              <w:spacing w:line="288" w:lineRule="auto"/>
            </w:pPr>
            <w:r>
              <w:rPr>
                <w:sz w:val="21"/>
              </w:rPr>
            </w:r>
            <w:r>
              <w:rPr>
                <w:sz w:val="21"/>
              </w:rPr>
              <w:t>使用多层神经网络的机器学习方法，2012年后成为主流，大语言模型即由深度学习技术训练而来。</w:t>
            </w:r>
          </w:p>
        </w:tc>
      </w:tr>
      <w:tr>
        <w:tc>
          <w:tcPr>
            <w:tcW w:type="dxa" w:w="4320"/>
          </w:tcPr>
          <w:p>
            <w:pPr>
              <w:spacing w:line="288" w:lineRule="auto"/>
            </w:pPr>
            <w:r>
              <w:rPr>
                <w:sz w:val="21"/>
              </w:rPr>
            </w:r>
            <w:r>
              <w:rPr>
                <w:sz w:val="21"/>
              </w:rPr>
              <w:t>神经网络</w:t>
            </w:r>
          </w:p>
        </w:tc>
        <w:tc>
          <w:tcPr>
            <w:tcW w:type="dxa" w:w="4320"/>
          </w:tcPr>
          <w:p>
            <w:pPr>
              <w:spacing w:line="288" w:lineRule="auto"/>
            </w:pPr>
            <w:r>
              <w:rPr>
                <w:sz w:val="21"/>
              </w:rPr>
            </w:r>
            <w:r>
              <w:rPr>
                <w:sz w:val="21"/>
              </w:rPr>
              <w:t>一种受人脑结构启发的计算模型，由大量简单计算单元分层连接构成，通过调整连接强度来学习模式。"神经网络"之名只是隐喻，其结构与真实大脑差别很大。</w:t>
            </w:r>
          </w:p>
        </w:tc>
      </w:tr>
      <w:tr>
        <w:tc>
          <w:tcPr>
            <w:tcW w:type="dxa" w:w="4320"/>
          </w:tcPr>
          <w:p>
            <w:pPr>
              <w:spacing w:line="288" w:lineRule="auto"/>
            </w:pPr>
            <w:r>
              <w:rPr>
                <w:sz w:val="21"/>
              </w:rPr>
            </w:r>
            <w:r>
              <w:rPr>
                <w:sz w:val="21"/>
              </w:rPr>
              <w:t>生成式人工智能</w:t>
            </w:r>
          </w:p>
        </w:tc>
        <w:tc>
          <w:tcPr>
            <w:tcW w:type="dxa" w:w="4320"/>
          </w:tcPr>
          <w:p>
            <w:pPr>
              <w:spacing w:line="288" w:lineRule="auto"/>
            </w:pPr>
            <w:r>
              <w:rPr>
                <w:sz w:val="21"/>
              </w:rPr>
            </w:r>
            <w:r>
              <w:rPr>
                <w:sz w:val="21"/>
              </w:rPr>
              <w:t>以生成新内容（文本、图像、音频等）而非仅做分类或预测为目标的AI系统，ChatGPT等均属此类。</w:t>
            </w:r>
          </w:p>
        </w:tc>
      </w:tr>
      <w:tr>
        <w:tc>
          <w:tcPr>
            <w:tcW w:type="dxa" w:w="4320"/>
          </w:tcPr>
          <w:p>
            <w:pPr>
              <w:spacing w:line="288" w:lineRule="auto"/>
            </w:pPr>
            <w:r>
              <w:rPr>
                <w:sz w:val="21"/>
              </w:rPr>
            </w:r>
            <w:r>
              <w:rPr>
                <w:sz w:val="21"/>
              </w:rPr>
              <w:t>大语言模型（LLM）</w:t>
            </w:r>
          </w:p>
        </w:tc>
        <w:tc>
          <w:tcPr>
            <w:tcW w:type="dxa" w:w="4320"/>
          </w:tcPr>
          <w:p>
            <w:pPr>
              <w:spacing w:line="288" w:lineRule="auto"/>
            </w:pPr>
            <w:r>
              <w:rPr>
                <w:sz w:val="21"/>
              </w:rPr>
            </w:r>
            <w:r>
              <w:rPr>
                <w:sz w:val="21"/>
              </w:rPr>
              <w:t>在海量文本上训练的超大规模语言模型，能理解并生成自然语言，是当前生成式AI的核心形态。</w:t>
            </w:r>
          </w:p>
        </w:tc>
      </w:tr>
      <w:tr>
        <w:tc>
          <w:tcPr>
            <w:tcW w:type="dxa" w:w="4320"/>
          </w:tcPr>
          <w:p>
            <w:pPr>
              <w:spacing w:line="288" w:lineRule="auto"/>
            </w:pPr>
            <w:r>
              <w:rPr>
                <w:sz w:val="21"/>
              </w:rPr>
            </w:r>
            <w:r>
              <w:rPr>
                <w:sz w:val="21"/>
              </w:rPr>
              <w:t>多模态</w:t>
            </w:r>
          </w:p>
        </w:tc>
        <w:tc>
          <w:tcPr>
            <w:tcW w:type="dxa" w:w="4320"/>
          </w:tcPr>
          <w:p>
            <w:pPr>
              <w:spacing w:line="288" w:lineRule="auto"/>
            </w:pPr>
            <w:r>
              <w:rPr>
                <w:sz w:val="21"/>
              </w:rPr>
            </w:r>
            <w:r>
              <w:rPr>
                <w:sz w:val="21"/>
              </w:rPr>
              <w:t>指模型能同时处理多种类型的信息（文本、图像、音频、视频），并在不同模态之间转换与关联。</w:t>
            </w:r>
          </w:p>
        </w:tc>
      </w:tr>
      <w:tr>
        <w:tc>
          <w:tcPr>
            <w:tcW w:type="dxa" w:w="4320"/>
          </w:tcPr>
          <w:p>
            <w:pPr>
              <w:spacing w:line="288" w:lineRule="auto"/>
            </w:pPr>
            <w:r>
              <w:rPr>
                <w:sz w:val="21"/>
              </w:rPr>
            </w:r>
            <w:r>
              <w:rPr>
                <w:sz w:val="21"/>
              </w:rPr>
              <w:t>通用人工智能（AGI）</w:t>
            </w:r>
          </w:p>
        </w:tc>
        <w:tc>
          <w:tcPr>
            <w:tcW w:type="dxa" w:w="4320"/>
          </w:tcPr>
          <w:p>
            <w:pPr>
              <w:spacing w:line="288" w:lineRule="auto"/>
            </w:pPr>
            <w:r>
              <w:rPr>
                <w:sz w:val="21"/>
              </w:rPr>
            </w:r>
            <w:r>
              <w:rPr>
                <w:sz w:val="21"/>
              </w:rPr>
              <w:t>设想中能在几乎所有认知任务上达到或超过人类水平的AI，目前尚不存在，属于研究目标而非现实。</w:t>
            </w:r>
          </w:p>
        </w:tc>
      </w:tr>
      <w:tr>
        <w:tc>
          <w:tcPr>
            <w:tcW w:type="dxa" w:w="4320"/>
          </w:tcPr>
          <w:p>
            <w:pPr>
              <w:spacing w:line="288" w:lineRule="auto"/>
            </w:pPr>
            <w:r>
              <w:rPr>
                <w:sz w:val="21"/>
              </w:rPr>
            </w:r>
            <w:r>
              <w:rPr>
                <w:sz w:val="21"/>
              </w:rPr>
              <w:t>算力</w:t>
            </w:r>
          </w:p>
        </w:tc>
        <w:tc>
          <w:tcPr>
            <w:tcW w:type="dxa" w:w="4320"/>
          </w:tcPr>
          <w:p>
            <w:pPr>
              <w:spacing w:line="288" w:lineRule="auto"/>
            </w:pPr>
            <w:r>
              <w:rPr>
                <w:sz w:val="21"/>
              </w:rPr>
            </w:r>
            <w:r>
              <w:rPr>
                <w:sz w:val="21"/>
              </w:rPr>
              <w:t>计算资源的能力总量，通常以芯片数量与性能衡量，是训练大模型的核心成本，常被称为"AI时代的电力"。</w:t>
            </w:r>
          </w:p>
        </w:tc>
      </w:tr>
      <w:tr>
        <w:tc>
          <w:tcPr>
            <w:tcW w:type="dxa" w:w="4320"/>
          </w:tcPr>
          <w:p>
            <w:pPr>
              <w:spacing w:line="288" w:lineRule="auto"/>
            </w:pPr>
            <w:r>
              <w:rPr>
                <w:sz w:val="21"/>
              </w:rPr>
            </w:r>
            <w:r>
              <w:rPr>
                <w:sz w:val="21"/>
              </w:rPr>
              <w:t>图灵测试</w:t>
            </w:r>
          </w:p>
        </w:tc>
        <w:tc>
          <w:tcPr>
            <w:tcW w:type="dxa" w:w="4320"/>
          </w:tcPr>
          <w:p>
            <w:pPr>
              <w:spacing w:line="288" w:lineRule="auto"/>
            </w:pPr>
            <w:r>
              <w:rPr>
                <w:sz w:val="21"/>
              </w:rPr>
            </w:r>
            <w:r>
              <w:rPr>
                <w:sz w:val="21"/>
              </w:rPr>
              <w:t>图灵于1950年提出的机器智能判据：若人在对话中无法分辨对方是机器还是人，则可认为机器具备智能。它把"机器能否思考"的哲学争论转化为可操作的测试问题。</w:t>
            </w:r>
          </w:p>
        </w:tc>
      </w:tr>
    </w:tbl>
    <w:p/>
    <w:p>
      <w:pPr>
        <w:pStyle w:val="Heading2"/>
      </w:pPr>
      <w:r>
        <w:t>二、架构与原理</w:t>
      </w:r>
    </w:p>
    <w:tbl>
      <w:tblPr>
        <w:tblStyle w:val="TableGrid"/>
        <w:tblW w:type="auto" w:w="0"/>
        <w:tblLook w:firstColumn="1" w:firstRow="1" w:lastColumn="0" w:lastRow="0" w:noHBand="0" w:noVBand="1" w:val="04A0"/>
      </w:tblPr>
      <w:tblGrid>
        <w:gridCol w:w="4320"/>
        <w:gridCol w:w="4320"/>
      </w:tblGrid>
      <w:tr>
        <w:tc>
          <w:tcPr>
            <w:tcW w:type="dxa" w:w="4320"/>
          </w:tcPr>
          <w:p>
            <w:pPr>
              <w:spacing w:line="288" w:lineRule="auto"/>
            </w:pPr>
            <w:r>
              <w:rPr>
                <w:b/>
                <w:sz w:val="21"/>
              </w:rPr>
            </w:r>
            <w:r>
              <w:rPr>
                <w:b/>
                <w:sz w:val="21"/>
              </w:rPr>
              <w:t>词条</w:t>
            </w:r>
          </w:p>
        </w:tc>
        <w:tc>
          <w:tcPr>
            <w:tcW w:type="dxa" w:w="4320"/>
          </w:tcPr>
          <w:p>
            <w:pPr>
              <w:spacing w:line="288" w:lineRule="auto"/>
            </w:pPr>
            <w:r>
              <w:rPr>
                <w:b/>
                <w:sz w:val="21"/>
              </w:rPr>
            </w:r>
            <w:r>
              <w:rPr>
                <w:b/>
                <w:sz w:val="21"/>
              </w:rPr>
              <w:t>解释</w:t>
            </w:r>
          </w:p>
        </w:tc>
      </w:tr>
      <w:tr>
        <w:tc>
          <w:tcPr>
            <w:tcW w:type="dxa" w:w="4320"/>
          </w:tcPr>
          <w:p>
            <w:pPr>
              <w:spacing w:line="288" w:lineRule="auto"/>
            </w:pPr>
            <w:r>
              <w:rPr>
                <w:sz w:val="21"/>
              </w:rPr>
            </w:r>
            <w:r>
              <w:rPr>
                <w:sz w:val="21"/>
              </w:rPr>
              <w:t>Transformer</w:t>
            </w:r>
          </w:p>
        </w:tc>
        <w:tc>
          <w:tcPr>
            <w:tcW w:type="dxa" w:w="4320"/>
          </w:tcPr>
          <w:p>
            <w:pPr>
              <w:spacing w:line="288" w:lineRule="auto"/>
            </w:pPr>
            <w:r>
              <w:rPr>
                <w:sz w:val="21"/>
              </w:rPr>
            </w:r>
            <w:r>
              <w:rPr>
                <w:sz w:val="21"/>
              </w:rPr>
              <w:t>2017年提出的神经网络架构，靠注意力机制处理序列数据，是几乎所有大语言模型的基础结构。</w:t>
            </w:r>
          </w:p>
        </w:tc>
      </w:tr>
      <w:tr>
        <w:tc>
          <w:tcPr>
            <w:tcW w:type="dxa" w:w="4320"/>
          </w:tcPr>
          <w:p>
            <w:pPr>
              <w:spacing w:line="288" w:lineRule="auto"/>
            </w:pPr>
            <w:r>
              <w:rPr>
                <w:sz w:val="21"/>
              </w:rPr>
            </w:r>
            <w:r>
              <w:rPr>
                <w:sz w:val="21"/>
              </w:rPr>
              <w:t>注意力机制</w:t>
            </w:r>
          </w:p>
        </w:tc>
        <w:tc>
          <w:tcPr>
            <w:tcW w:type="dxa" w:w="4320"/>
          </w:tcPr>
          <w:p>
            <w:pPr>
              <w:spacing w:line="288" w:lineRule="auto"/>
            </w:pPr>
            <w:r>
              <w:rPr>
                <w:sz w:val="21"/>
              </w:rPr>
            </w:r>
            <w:r>
              <w:rPr>
                <w:sz w:val="21"/>
              </w:rPr>
              <w:t>让模型在处理每个词时动态关注输入中其他相关部分的技术，是理解上下文依赖关系的关键机制。</w:t>
            </w:r>
          </w:p>
        </w:tc>
      </w:tr>
      <w:tr>
        <w:tc>
          <w:tcPr>
            <w:tcW w:type="dxa" w:w="4320"/>
          </w:tcPr>
          <w:p>
            <w:pPr>
              <w:spacing w:line="288" w:lineRule="auto"/>
            </w:pPr>
            <w:r>
              <w:rPr>
                <w:sz w:val="21"/>
              </w:rPr>
            </w:r>
            <w:r>
              <w:rPr>
                <w:sz w:val="21"/>
              </w:rPr>
              <w:t>参数量</w:t>
            </w:r>
          </w:p>
        </w:tc>
        <w:tc>
          <w:tcPr>
            <w:tcW w:type="dxa" w:w="4320"/>
          </w:tcPr>
          <w:p>
            <w:pPr>
              <w:spacing w:line="288" w:lineRule="auto"/>
            </w:pPr>
            <w:r>
              <w:rPr>
                <w:sz w:val="21"/>
              </w:rPr>
            </w:r>
            <w:r>
              <w:rPr>
                <w:sz w:val="21"/>
              </w:rPr>
              <w:t>模型中可调节的数值总量，常用"参数规模"衡量模型大小，如千亿参数级模型；参数多不必然更强。</w:t>
            </w:r>
          </w:p>
        </w:tc>
      </w:tr>
      <w:tr>
        <w:tc>
          <w:tcPr>
            <w:tcW w:type="dxa" w:w="4320"/>
          </w:tcPr>
          <w:p>
            <w:pPr>
              <w:spacing w:line="288" w:lineRule="auto"/>
            </w:pPr>
            <w:r>
              <w:rPr>
                <w:sz w:val="21"/>
              </w:rPr>
            </w:r>
            <w:r>
              <w:rPr>
                <w:sz w:val="21"/>
              </w:rPr>
              <w:t>嵌入（向量表示）</w:t>
            </w:r>
          </w:p>
        </w:tc>
        <w:tc>
          <w:tcPr>
            <w:tcW w:type="dxa" w:w="4320"/>
          </w:tcPr>
          <w:p>
            <w:pPr>
              <w:spacing w:line="288" w:lineRule="auto"/>
            </w:pPr>
            <w:r>
              <w:rPr>
                <w:sz w:val="21"/>
              </w:rPr>
            </w:r>
            <w:r>
              <w:rPr>
                <w:sz w:val="21"/>
              </w:rPr>
              <w:t>把词、句子或图像转化为数字向量的技术，语义相近的内容在向量空间中距离更近，是机器"理解"语义的基础。</w:t>
            </w:r>
          </w:p>
        </w:tc>
      </w:tr>
      <w:tr>
        <w:tc>
          <w:tcPr>
            <w:tcW w:type="dxa" w:w="4320"/>
          </w:tcPr>
          <w:p>
            <w:pPr>
              <w:spacing w:line="288" w:lineRule="auto"/>
            </w:pPr>
            <w:r>
              <w:rPr>
                <w:sz w:val="21"/>
              </w:rPr>
            </w:r>
            <w:r>
              <w:rPr>
                <w:sz w:val="21"/>
              </w:rPr>
              <w:t>上下文窗口</w:t>
            </w:r>
          </w:p>
        </w:tc>
        <w:tc>
          <w:tcPr>
            <w:tcW w:type="dxa" w:w="4320"/>
          </w:tcPr>
          <w:p>
            <w:pPr>
              <w:spacing w:line="288" w:lineRule="auto"/>
            </w:pPr>
            <w:r>
              <w:rPr>
                <w:sz w:val="21"/>
              </w:rPr>
            </w:r>
            <w:r>
              <w:rPr>
                <w:sz w:val="21"/>
              </w:rPr>
              <w:t>模型单次对话能"看到"的文本长度上限，超出部分不再影响输出，长文档处理能力直接受其限制。</w:t>
            </w:r>
          </w:p>
        </w:tc>
      </w:tr>
      <w:tr>
        <w:tc>
          <w:tcPr>
            <w:tcW w:type="dxa" w:w="4320"/>
          </w:tcPr>
          <w:p>
            <w:pPr>
              <w:spacing w:line="288" w:lineRule="auto"/>
            </w:pPr>
            <w:r>
              <w:rPr>
                <w:sz w:val="21"/>
              </w:rPr>
            </w:r>
            <w:r>
              <w:rPr>
                <w:sz w:val="21"/>
              </w:rPr>
              <w:t>知识截止日期</w:t>
            </w:r>
          </w:p>
        </w:tc>
        <w:tc>
          <w:tcPr>
            <w:tcW w:type="dxa" w:w="4320"/>
          </w:tcPr>
          <w:p>
            <w:pPr>
              <w:spacing w:line="288" w:lineRule="auto"/>
            </w:pPr>
            <w:r>
              <w:rPr>
                <w:sz w:val="21"/>
              </w:rPr>
            </w:r>
            <w:r>
              <w:rPr>
                <w:sz w:val="21"/>
              </w:rPr>
              <w:t>模型训练数据的时间边界，此后的新事件模型并不知晓，回答近期问题时可能出错或编造。</w:t>
            </w:r>
          </w:p>
        </w:tc>
      </w:tr>
      <w:tr>
        <w:tc>
          <w:tcPr>
            <w:tcW w:type="dxa" w:w="4320"/>
          </w:tcPr>
          <w:p>
            <w:pPr>
              <w:spacing w:line="288" w:lineRule="auto"/>
            </w:pPr>
            <w:r>
              <w:rPr>
                <w:sz w:val="21"/>
              </w:rPr>
            </w:r>
            <w:r>
              <w:rPr>
                <w:sz w:val="21"/>
              </w:rPr>
              <w:t>温度参数</w:t>
            </w:r>
          </w:p>
        </w:tc>
        <w:tc>
          <w:tcPr>
            <w:tcW w:type="dxa" w:w="4320"/>
          </w:tcPr>
          <w:p>
            <w:pPr>
              <w:spacing w:line="288" w:lineRule="auto"/>
            </w:pPr>
            <w:r>
              <w:rPr>
                <w:sz w:val="21"/>
              </w:rPr>
            </w:r>
            <w:r>
              <w:rPr>
                <w:sz w:val="21"/>
              </w:rPr>
              <w:t>控制输出随机性的设置：温度低则回答稳定保守，温度高则更多样但更易跑偏。写代码与事实性问答宜低，找灵感与头脑风暴可高。</w:t>
            </w:r>
          </w:p>
        </w:tc>
      </w:tr>
      <w:tr>
        <w:tc>
          <w:tcPr>
            <w:tcW w:type="dxa" w:w="4320"/>
          </w:tcPr>
          <w:p>
            <w:pPr>
              <w:spacing w:line="288" w:lineRule="auto"/>
            </w:pPr>
            <w:r>
              <w:rPr>
                <w:sz w:val="21"/>
              </w:rPr>
            </w:r>
            <w:r>
              <w:rPr>
                <w:sz w:val="21"/>
              </w:rPr>
              <w:t>扩散模型</w:t>
            </w:r>
          </w:p>
        </w:tc>
        <w:tc>
          <w:tcPr>
            <w:tcW w:type="dxa" w:w="4320"/>
          </w:tcPr>
          <w:p>
            <w:pPr>
              <w:spacing w:line="288" w:lineRule="auto"/>
            </w:pPr>
            <w:r>
              <w:rPr>
                <w:sz w:val="21"/>
              </w:rPr>
            </w:r>
            <w:r>
              <w:rPr>
                <w:sz w:val="21"/>
              </w:rPr>
              <w:t>当前主流图像生成技术：先给图像加噪声再学习逆向去噪，逐步从随机噪声中"还原"出符合描述的图像。</w:t>
            </w:r>
          </w:p>
        </w:tc>
      </w:tr>
      <w:tr>
        <w:tc>
          <w:tcPr>
            <w:tcW w:type="dxa" w:w="4320"/>
          </w:tcPr>
          <w:p>
            <w:pPr>
              <w:spacing w:line="288" w:lineRule="auto"/>
            </w:pPr>
            <w:r>
              <w:rPr>
                <w:sz w:val="21"/>
              </w:rPr>
            </w:r>
            <w:r>
              <w:rPr>
                <w:sz w:val="21"/>
              </w:rPr>
              <w:t>缩放定律</w:t>
            </w:r>
          </w:p>
        </w:tc>
        <w:tc>
          <w:tcPr>
            <w:tcW w:type="dxa" w:w="4320"/>
          </w:tcPr>
          <w:p>
            <w:pPr>
              <w:spacing w:line="288" w:lineRule="auto"/>
            </w:pPr>
            <w:r>
              <w:rPr>
                <w:sz w:val="21"/>
              </w:rPr>
            </w:r>
            <w:r>
              <w:rPr>
                <w:sz w:val="21"/>
              </w:rPr>
              <w:t>经验发现：模型性能随参数、数据与算力的增加而可预测地提升，这一规律驱动了近年模型规模的竞赛。</w:t>
            </w:r>
          </w:p>
        </w:tc>
      </w:tr>
      <w:tr>
        <w:tc>
          <w:tcPr>
            <w:tcW w:type="dxa" w:w="4320"/>
          </w:tcPr>
          <w:p>
            <w:pPr>
              <w:spacing w:line="288" w:lineRule="auto"/>
            </w:pPr>
            <w:r>
              <w:rPr>
                <w:sz w:val="21"/>
              </w:rPr>
            </w:r>
            <w:r>
              <w:rPr>
                <w:sz w:val="21"/>
              </w:rPr>
              <w:t>涌现能力</w:t>
            </w:r>
          </w:p>
        </w:tc>
        <w:tc>
          <w:tcPr>
            <w:tcW w:type="dxa" w:w="4320"/>
          </w:tcPr>
          <w:p>
            <w:pPr>
              <w:spacing w:line="288" w:lineRule="auto"/>
            </w:pPr>
            <w:r>
              <w:rPr>
                <w:sz w:val="21"/>
              </w:rPr>
            </w:r>
            <w:r>
              <w:rPr>
                <w:sz w:val="21"/>
              </w:rPr>
              <w:t>模型规模跨过某个阈值后突然出现的小模型不具备的能力（如复杂推理），其成因与真实性仍有学术争议。</w:t>
            </w:r>
          </w:p>
        </w:tc>
      </w:tr>
    </w:tbl>
    <w:p/>
    <w:p>
      <w:pPr>
        <w:pStyle w:val="Heading2"/>
      </w:pPr>
      <w:r>
        <w:t>三、训练与优化</w:t>
      </w:r>
    </w:p>
    <w:tbl>
      <w:tblPr>
        <w:tblStyle w:val="TableGrid"/>
        <w:tblW w:type="auto" w:w="0"/>
        <w:tblLook w:firstColumn="1" w:firstRow="1" w:lastColumn="0" w:lastRow="0" w:noHBand="0" w:noVBand="1" w:val="04A0"/>
      </w:tblPr>
      <w:tblGrid>
        <w:gridCol w:w="4320"/>
        <w:gridCol w:w="4320"/>
      </w:tblGrid>
      <w:tr>
        <w:tc>
          <w:tcPr>
            <w:tcW w:type="dxa" w:w="4320"/>
          </w:tcPr>
          <w:p>
            <w:pPr>
              <w:spacing w:line="288" w:lineRule="auto"/>
            </w:pPr>
            <w:r>
              <w:rPr>
                <w:b/>
                <w:sz w:val="21"/>
              </w:rPr>
            </w:r>
            <w:r>
              <w:rPr>
                <w:b/>
                <w:sz w:val="21"/>
              </w:rPr>
              <w:t>词条</w:t>
            </w:r>
          </w:p>
        </w:tc>
        <w:tc>
          <w:tcPr>
            <w:tcW w:type="dxa" w:w="4320"/>
          </w:tcPr>
          <w:p>
            <w:pPr>
              <w:spacing w:line="288" w:lineRule="auto"/>
            </w:pPr>
            <w:r>
              <w:rPr>
                <w:b/>
                <w:sz w:val="21"/>
              </w:rPr>
            </w:r>
            <w:r>
              <w:rPr>
                <w:b/>
                <w:sz w:val="21"/>
              </w:rPr>
              <w:t>解释</w:t>
            </w:r>
          </w:p>
        </w:tc>
      </w:tr>
      <w:tr>
        <w:tc>
          <w:tcPr>
            <w:tcW w:type="dxa" w:w="4320"/>
          </w:tcPr>
          <w:p>
            <w:pPr>
              <w:spacing w:line="288" w:lineRule="auto"/>
            </w:pPr>
            <w:r>
              <w:rPr>
                <w:sz w:val="21"/>
              </w:rPr>
            </w:r>
            <w:r>
              <w:rPr>
                <w:sz w:val="21"/>
              </w:rPr>
              <w:t>训练数据</w:t>
            </w:r>
          </w:p>
        </w:tc>
        <w:tc>
          <w:tcPr>
            <w:tcW w:type="dxa" w:w="4320"/>
          </w:tcPr>
          <w:p>
            <w:pPr>
              <w:spacing w:line="288" w:lineRule="auto"/>
            </w:pPr>
            <w:r>
              <w:rPr>
                <w:sz w:val="21"/>
              </w:rPr>
            </w:r>
            <w:r>
              <w:rPr>
                <w:sz w:val="21"/>
              </w:rPr>
              <w:t>用于教模型学习的一切材料，其规模与质量决定模型的"见识"；训练数据中的偏见与错误会进入模型行为。</w:t>
            </w:r>
          </w:p>
        </w:tc>
      </w:tr>
      <w:tr>
        <w:tc>
          <w:tcPr>
            <w:tcW w:type="dxa" w:w="4320"/>
          </w:tcPr>
          <w:p>
            <w:pPr>
              <w:spacing w:line="288" w:lineRule="auto"/>
            </w:pPr>
            <w:r>
              <w:rPr>
                <w:sz w:val="21"/>
              </w:rPr>
            </w:r>
            <w:r>
              <w:rPr>
                <w:sz w:val="21"/>
              </w:rPr>
              <w:t>预训练</w:t>
            </w:r>
          </w:p>
        </w:tc>
        <w:tc>
          <w:tcPr>
            <w:tcW w:type="dxa" w:w="4320"/>
          </w:tcPr>
          <w:p>
            <w:pPr>
              <w:spacing w:line="288" w:lineRule="auto"/>
            </w:pPr>
            <w:r>
              <w:rPr>
                <w:sz w:val="21"/>
              </w:rPr>
            </w:r>
            <w:r>
              <w:rPr>
                <w:sz w:val="21"/>
              </w:rPr>
              <w:t>模型学习的第一阶段：在海量无标注文本上学习语言的统计规律，耗资巨大，是大模型成本的绝对大头。</w:t>
            </w:r>
          </w:p>
        </w:tc>
      </w:tr>
      <w:tr>
        <w:tc>
          <w:tcPr>
            <w:tcW w:type="dxa" w:w="4320"/>
          </w:tcPr>
          <w:p>
            <w:pPr>
              <w:spacing w:line="288" w:lineRule="auto"/>
            </w:pPr>
            <w:r>
              <w:rPr>
                <w:sz w:val="21"/>
              </w:rPr>
            </w:r>
            <w:r>
              <w:rPr>
                <w:sz w:val="21"/>
              </w:rPr>
              <w:t>微调</w:t>
            </w:r>
          </w:p>
        </w:tc>
        <w:tc>
          <w:tcPr>
            <w:tcW w:type="dxa" w:w="4320"/>
          </w:tcPr>
          <w:p>
            <w:pPr>
              <w:spacing w:line="288" w:lineRule="auto"/>
            </w:pPr>
            <w:r>
              <w:rPr>
                <w:sz w:val="21"/>
              </w:rPr>
            </w:r>
            <w:r>
              <w:rPr>
                <w:sz w:val="21"/>
              </w:rPr>
              <w:t>在预训练模型基础上，用较小的针对性数据继续训练，使模型适应特定任务或风格，成本远低于从头训练。</w:t>
            </w:r>
          </w:p>
        </w:tc>
      </w:tr>
      <w:tr>
        <w:tc>
          <w:tcPr>
            <w:tcW w:type="dxa" w:w="4320"/>
          </w:tcPr>
          <w:p>
            <w:pPr>
              <w:spacing w:line="288" w:lineRule="auto"/>
            </w:pPr>
            <w:r>
              <w:rPr>
                <w:sz w:val="21"/>
              </w:rPr>
            </w:r>
            <w:r>
              <w:rPr>
                <w:sz w:val="21"/>
              </w:rPr>
              <w:t>指令微调</w:t>
            </w:r>
          </w:p>
        </w:tc>
        <w:tc>
          <w:tcPr>
            <w:tcW w:type="dxa" w:w="4320"/>
          </w:tcPr>
          <w:p>
            <w:pPr>
              <w:spacing w:line="288" w:lineRule="auto"/>
            </w:pPr>
            <w:r>
              <w:rPr>
                <w:sz w:val="21"/>
              </w:rPr>
            </w:r>
            <w:r>
              <w:rPr>
                <w:sz w:val="21"/>
              </w:rPr>
              <w:t>用"指令—回答"格式的数据训练模型学会听从人类指令，是把一个"续写机器"变成"对话助手"的关键步骤。</w:t>
            </w:r>
          </w:p>
        </w:tc>
      </w:tr>
      <w:tr>
        <w:tc>
          <w:tcPr>
            <w:tcW w:type="dxa" w:w="4320"/>
          </w:tcPr>
          <w:p>
            <w:pPr>
              <w:spacing w:line="288" w:lineRule="auto"/>
            </w:pPr>
            <w:r>
              <w:rPr>
                <w:sz w:val="21"/>
              </w:rPr>
            </w:r>
            <w:r>
              <w:rPr>
                <w:sz w:val="21"/>
              </w:rPr>
              <w:t>强化学习</w:t>
            </w:r>
          </w:p>
        </w:tc>
        <w:tc>
          <w:tcPr>
            <w:tcW w:type="dxa" w:w="4320"/>
          </w:tcPr>
          <w:p>
            <w:pPr>
              <w:spacing w:line="288" w:lineRule="auto"/>
            </w:pPr>
            <w:r>
              <w:rPr>
                <w:sz w:val="21"/>
              </w:rPr>
            </w:r>
            <w:r>
              <w:rPr>
                <w:sz w:val="21"/>
              </w:rPr>
              <w:t>让智能体通过试错与奖励反馈学习策略的方法，围棋程序AlphaGo与大模型的"偏好对齐"都用到了它。</w:t>
            </w:r>
          </w:p>
        </w:tc>
      </w:tr>
      <w:tr>
        <w:tc>
          <w:tcPr>
            <w:tcW w:type="dxa" w:w="4320"/>
          </w:tcPr>
          <w:p>
            <w:pPr>
              <w:spacing w:line="288" w:lineRule="auto"/>
            </w:pPr>
            <w:r>
              <w:rPr>
                <w:sz w:val="21"/>
              </w:rPr>
            </w:r>
            <w:r>
              <w:rPr>
                <w:sz w:val="21"/>
              </w:rPr>
              <w:t>人类反馈强化学习（RLHF）</w:t>
            </w:r>
          </w:p>
        </w:tc>
        <w:tc>
          <w:tcPr>
            <w:tcW w:type="dxa" w:w="4320"/>
          </w:tcPr>
          <w:p>
            <w:pPr>
              <w:spacing w:line="288" w:lineRule="auto"/>
            </w:pPr>
            <w:r>
              <w:rPr>
                <w:sz w:val="21"/>
              </w:rPr>
            </w:r>
            <w:r>
              <w:rPr>
                <w:sz w:val="21"/>
              </w:rPr>
              <w:t>让人类对模型的多个回答排序打分，再用这些偏好数据训练模型，使其输出更符合人类期望。</w:t>
            </w:r>
          </w:p>
        </w:tc>
      </w:tr>
      <w:tr>
        <w:tc>
          <w:tcPr>
            <w:tcW w:type="dxa" w:w="4320"/>
          </w:tcPr>
          <w:p>
            <w:pPr>
              <w:spacing w:line="288" w:lineRule="auto"/>
            </w:pPr>
            <w:r>
              <w:rPr>
                <w:sz w:val="21"/>
              </w:rPr>
            </w:r>
            <w:r>
              <w:rPr>
                <w:sz w:val="21"/>
              </w:rPr>
              <w:t>对齐</w:t>
            </w:r>
          </w:p>
        </w:tc>
        <w:tc>
          <w:tcPr>
            <w:tcW w:type="dxa" w:w="4320"/>
          </w:tcPr>
          <w:p>
            <w:pPr>
              <w:spacing w:line="288" w:lineRule="auto"/>
            </w:pPr>
            <w:r>
              <w:rPr>
                <w:sz w:val="21"/>
              </w:rPr>
            </w:r>
            <w:r>
              <w:rPr>
                <w:sz w:val="21"/>
              </w:rPr>
              <w:t>让模型的目标与人类意图、价值观保持一致的技术与过程，"对齐问题"也指强大系统难以确保可控的深层难题。</w:t>
            </w:r>
          </w:p>
        </w:tc>
      </w:tr>
      <w:tr>
        <w:tc>
          <w:tcPr>
            <w:tcW w:type="dxa" w:w="4320"/>
          </w:tcPr>
          <w:p>
            <w:pPr>
              <w:spacing w:line="288" w:lineRule="auto"/>
            </w:pPr>
            <w:r>
              <w:rPr>
                <w:sz w:val="21"/>
              </w:rPr>
            </w:r>
            <w:r>
              <w:rPr>
                <w:sz w:val="21"/>
              </w:rPr>
              <w:t>LoRA</w:t>
            </w:r>
          </w:p>
        </w:tc>
        <w:tc>
          <w:tcPr>
            <w:tcW w:type="dxa" w:w="4320"/>
          </w:tcPr>
          <w:p>
            <w:pPr>
              <w:spacing w:line="288" w:lineRule="auto"/>
            </w:pPr>
            <w:r>
              <w:rPr>
                <w:sz w:val="21"/>
              </w:rPr>
            </w:r>
            <w:r>
              <w:rPr>
                <w:sz w:val="21"/>
              </w:rPr>
              <w:t>一种低成本的微调技术：冻结原模型、只训练少量附加参数，使个人与小机构也能定制模型。</w:t>
            </w:r>
          </w:p>
        </w:tc>
      </w:tr>
      <w:tr>
        <w:tc>
          <w:tcPr>
            <w:tcW w:type="dxa" w:w="4320"/>
          </w:tcPr>
          <w:p>
            <w:pPr>
              <w:spacing w:line="288" w:lineRule="auto"/>
            </w:pPr>
            <w:r>
              <w:rPr>
                <w:sz w:val="21"/>
              </w:rPr>
            </w:r>
            <w:r>
              <w:rPr>
                <w:sz w:val="21"/>
              </w:rPr>
              <w:t>知识蒸馏</w:t>
            </w:r>
          </w:p>
        </w:tc>
        <w:tc>
          <w:tcPr>
            <w:tcW w:type="dxa" w:w="4320"/>
          </w:tcPr>
          <w:p>
            <w:pPr>
              <w:spacing w:line="288" w:lineRule="auto"/>
            </w:pPr>
            <w:r>
              <w:rPr>
                <w:sz w:val="21"/>
              </w:rPr>
            </w:r>
            <w:r>
              <w:rPr>
                <w:sz w:val="21"/>
              </w:rPr>
              <w:t>让小模型模仿大模型的输出从而获得接近能力的技术，是许多"轻量版"模型的来源。</w:t>
            </w:r>
          </w:p>
        </w:tc>
      </w:tr>
      <w:tr>
        <w:tc>
          <w:tcPr>
            <w:tcW w:type="dxa" w:w="4320"/>
          </w:tcPr>
          <w:p>
            <w:pPr>
              <w:spacing w:line="288" w:lineRule="auto"/>
            </w:pPr>
            <w:r>
              <w:rPr>
                <w:sz w:val="21"/>
              </w:rPr>
            </w:r>
            <w:r>
              <w:rPr>
                <w:sz w:val="21"/>
              </w:rPr>
              <w:t>量化</w:t>
            </w:r>
          </w:p>
        </w:tc>
        <w:tc>
          <w:tcPr>
            <w:tcW w:type="dxa" w:w="4320"/>
          </w:tcPr>
          <w:p>
            <w:pPr>
              <w:spacing w:line="288" w:lineRule="auto"/>
            </w:pPr>
            <w:r>
              <w:rPr>
                <w:sz w:val="21"/>
              </w:rPr>
            </w:r>
            <w:r>
              <w:rPr>
                <w:sz w:val="21"/>
              </w:rPr>
              <w:t>降低模型数值精度以压缩体积、降低部署成本的技术，代价通常是能力的小幅下降。</w:t>
            </w:r>
          </w:p>
        </w:tc>
      </w:tr>
    </w:tbl>
    <w:p/>
    <w:p>
      <w:pPr>
        <w:pStyle w:val="Heading2"/>
      </w:pPr>
      <w:r>
        <w:t>四、使用与交互</w:t>
      </w:r>
    </w:p>
    <w:tbl>
      <w:tblPr>
        <w:tblStyle w:val="TableGrid"/>
        <w:tblW w:type="auto" w:w="0"/>
        <w:tblLook w:firstColumn="1" w:firstRow="1" w:lastColumn="0" w:lastRow="0" w:noHBand="0" w:noVBand="1" w:val="04A0"/>
      </w:tblPr>
      <w:tblGrid>
        <w:gridCol w:w="4320"/>
        <w:gridCol w:w="4320"/>
      </w:tblGrid>
      <w:tr>
        <w:tc>
          <w:tcPr>
            <w:tcW w:type="dxa" w:w="4320"/>
          </w:tcPr>
          <w:p>
            <w:pPr>
              <w:spacing w:line="288" w:lineRule="auto"/>
            </w:pPr>
            <w:r>
              <w:rPr>
                <w:b/>
                <w:sz w:val="21"/>
              </w:rPr>
            </w:r>
            <w:r>
              <w:rPr>
                <w:b/>
                <w:sz w:val="21"/>
              </w:rPr>
              <w:t>词条</w:t>
            </w:r>
          </w:p>
        </w:tc>
        <w:tc>
          <w:tcPr>
            <w:tcW w:type="dxa" w:w="4320"/>
          </w:tcPr>
          <w:p>
            <w:pPr>
              <w:spacing w:line="288" w:lineRule="auto"/>
            </w:pPr>
            <w:r>
              <w:rPr>
                <w:b/>
                <w:sz w:val="21"/>
              </w:rPr>
            </w:r>
            <w:r>
              <w:rPr>
                <w:b/>
                <w:sz w:val="21"/>
              </w:rPr>
              <w:t>解释</w:t>
            </w:r>
          </w:p>
        </w:tc>
      </w:tr>
      <w:tr>
        <w:tc>
          <w:tcPr>
            <w:tcW w:type="dxa" w:w="4320"/>
          </w:tcPr>
          <w:p>
            <w:pPr>
              <w:spacing w:line="288" w:lineRule="auto"/>
            </w:pPr>
            <w:r>
              <w:rPr>
                <w:sz w:val="21"/>
              </w:rPr>
            </w:r>
            <w:r>
              <w:rPr>
                <w:sz w:val="21"/>
              </w:rPr>
              <w:t>提示词（Prompt）</w:t>
            </w:r>
          </w:p>
        </w:tc>
        <w:tc>
          <w:tcPr>
            <w:tcW w:type="dxa" w:w="4320"/>
          </w:tcPr>
          <w:p>
            <w:pPr>
              <w:spacing w:line="288" w:lineRule="auto"/>
            </w:pPr>
            <w:r>
              <w:rPr>
                <w:sz w:val="21"/>
              </w:rPr>
            </w:r>
            <w:r>
              <w:rPr>
                <w:sz w:val="21"/>
              </w:rPr>
              <w:t>用户输入给模型的指令与上下文，是影响输出质量的最直接变量，本书第三章即讨论其写作方法。</w:t>
            </w:r>
          </w:p>
        </w:tc>
      </w:tr>
      <w:tr>
        <w:tc>
          <w:tcPr>
            <w:tcW w:type="dxa" w:w="4320"/>
          </w:tcPr>
          <w:p>
            <w:pPr>
              <w:spacing w:line="288" w:lineRule="auto"/>
            </w:pPr>
            <w:r>
              <w:rPr>
                <w:sz w:val="21"/>
              </w:rPr>
            </w:r>
            <w:r>
              <w:rPr>
                <w:sz w:val="21"/>
              </w:rPr>
              <w:t>系统提示词</w:t>
            </w:r>
          </w:p>
        </w:tc>
        <w:tc>
          <w:tcPr>
            <w:tcW w:type="dxa" w:w="4320"/>
          </w:tcPr>
          <w:p>
            <w:pPr>
              <w:spacing w:line="288" w:lineRule="auto"/>
            </w:pPr>
            <w:r>
              <w:rPr>
                <w:sz w:val="21"/>
              </w:rPr>
            </w:r>
            <w:r>
              <w:rPr>
                <w:sz w:val="21"/>
              </w:rPr>
              <w:t>对话开始前设定的、通常对用户不可见的指令，规定模型的角色、边界与行为方式。</w:t>
            </w:r>
          </w:p>
        </w:tc>
      </w:tr>
      <w:tr>
        <w:tc>
          <w:tcPr>
            <w:tcW w:type="dxa" w:w="4320"/>
          </w:tcPr>
          <w:p>
            <w:pPr>
              <w:spacing w:line="288" w:lineRule="auto"/>
            </w:pPr>
            <w:r>
              <w:rPr>
                <w:sz w:val="21"/>
              </w:rPr>
            </w:r>
            <w:r>
              <w:rPr>
                <w:sz w:val="21"/>
              </w:rPr>
              <w:t>角色设定</w:t>
            </w:r>
          </w:p>
        </w:tc>
        <w:tc>
          <w:tcPr>
            <w:tcW w:type="dxa" w:w="4320"/>
          </w:tcPr>
          <w:p>
            <w:pPr>
              <w:spacing w:line="288" w:lineRule="auto"/>
            </w:pPr>
            <w:r>
              <w:rPr>
                <w:sz w:val="21"/>
              </w:rPr>
            </w:r>
            <w:r>
              <w:rPr>
                <w:sz w:val="21"/>
              </w:rPr>
              <w:t>在提示词中为模型指定身份（如"你是出题老师"），用于激活特定知识视角与表达风格。</w:t>
            </w:r>
          </w:p>
        </w:tc>
      </w:tr>
      <w:tr>
        <w:tc>
          <w:tcPr>
            <w:tcW w:type="dxa" w:w="4320"/>
          </w:tcPr>
          <w:p>
            <w:pPr>
              <w:spacing w:line="288" w:lineRule="auto"/>
            </w:pPr>
            <w:r>
              <w:rPr>
                <w:sz w:val="21"/>
              </w:rPr>
            </w:r>
            <w:r>
              <w:rPr>
                <w:sz w:val="21"/>
              </w:rPr>
              <w:t>少样本提示</w:t>
            </w:r>
          </w:p>
        </w:tc>
        <w:tc>
          <w:tcPr>
            <w:tcW w:type="dxa" w:w="4320"/>
          </w:tcPr>
          <w:p>
            <w:pPr>
              <w:spacing w:line="288" w:lineRule="auto"/>
            </w:pPr>
            <w:r>
              <w:rPr>
                <w:sz w:val="21"/>
              </w:rPr>
            </w:r>
            <w:r>
              <w:rPr>
                <w:sz w:val="21"/>
              </w:rPr>
              <w:t>在提示词中给出若干示例让模型模仿，比纯指令描述更可靠，适合格式或风格有明确要求的任务；示例质量直接决定输出质量。</w:t>
            </w:r>
          </w:p>
        </w:tc>
      </w:tr>
      <w:tr>
        <w:tc>
          <w:tcPr>
            <w:tcW w:type="dxa" w:w="4320"/>
          </w:tcPr>
          <w:p>
            <w:pPr>
              <w:spacing w:line="288" w:lineRule="auto"/>
            </w:pPr>
            <w:r>
              <w:rPr>
                <w:sz w:val="21"/>
              </w:rPr>
            </w:r>
            <w:r>
              <w:rPr>
                <w:sz w:val="21"/>
              </w:rPr>
              <w:t>思维链（CoT）</w:t>
            </w:r>
          </w:p>
        </w:tc>
        <w:tc>
          <w:tcPr>
            <w:tcW w:type="dxa" w:w="4320"/>
          </w:tcPr>
          <w:p>
            <w:pPr>
              <w:spacing w:line="288" w:lineRule="auto"/>
            </w:pPr>
            <w:r>
              <w:rPr>
                <w:sz w:val="21"/>
              </w:rPr>
            </w:r>
            <w:r>
              <w:rPr>
                <w:sz w:val="21"/>
              </w:rPr>
              <w:t>要求模型"一步步推理再给答案"的技巧，在数学与逻辑任务上能显著提升正确率。</w:t>
            </w:r>
          </w:p>
        </w:tc>
      </w:tr>
      <w:tr>
        <w:tc>
          <w:tcPr>
            <w:tcW w:type="dxa" w:w="4320"/>
          </w:tcPr>
          <w:p>
            <w:pPr>
              <w:spacing w:line="288" w:lineRule="auto"/>
            </w:pPr>
            <w:r>
              <w:rPr>
                <w:sz w:val="21"/>
              </w:rPr>
            </w:r>
            <w:r>
              <w:rPr>
                <w:sz w:val="21"/>
              </w:rPr>
              <w:t>多轮对话</w:t>
            </w:r>
          </w:p>
        </w:tc>
        <w:tc>
          <w:tcPr>
            <w:tcW w:type="dxa" w:w="4320"/>
          </w:tcPr>
          <w:p>
            <w:pPr>
              <w:spacing w:line="288" w:lineRule="auto"/>
            </w:pPr>
            <w:r>
              <w:rPr>
                <w:sz w:val="21"/>
              </w:rPr>
            </w:r>
            <w:r>
              <w:rPr>
                <w:sz w:val="21"/>
              </w:rPr>
              <w:t>通过连续追问逐步修正输出的交互方式；好结果通常来自多轮收敛而非一次完美的提问。</w:t>
            </w:r>
          </w:p>
        </w:tc>
      </w:tr>
      <w:tr>
        <w:tc>
          <w:tcPr>
            <w:tcW w:type="dxa" w:w="4320"/>
          </w:tcPr>
          <w:p>
            <w:pPr>
              <w:spacing w:line="288" w:lineRule="auto"/>
            </w:pPr>
            <w:r>
              <w:rPr>
                <w:sz w:val="21"/>
              </w:rPr>
            </w:r>
            <w:r>
              <w:rPr>
                <w:sz w:val="21"/>
              </w:rPr>
              <w:t>幻觉</w:t>
            </w:r>
          </w:p>
        </w:tc>
        <w:tc>
          <w:tcPr>
            <w:tcW w:type="dxa" w:w="4320"/>
          </w:tcPr>
          <w:p>
            <w:pPr>
              <w:spacing w:line="288" w:lineRule="auto"/>
            </w:pPr>
            <w:r>
              <w:rPr>
                <w:sz w:val="21"/>
              </w:rPr>
            </w:r>
            <w:r>
              <w:rPr>
                <w:sz w:val="21"/>
              </w:rPr>
              <w:t>模型以流畅、自信的语气输出虚构内容（如不存在的文献、编造的数据）的现象，是使用AI的首要风险。</w:t>
            </w:r>
          </w:p>
        </w:tc>
      </w:tr>
      <w:tr>
        <w:tc>
          <w:tcPr>
            <w:tcW w:type="dxa" w:w="4320"/>
          </w:tcPr>
          <w:p>
            <w:pPr>
              <w:spacing w:line="288" w:lineRule="auto"/>
            </w:pPr>
            <w:r>
              <w:rPr>
                <w:sz w:val="21"/>
              </w:rPr>
            </w:r>
            <w:r>
              <w:rPr>
                <w:sz w:val="21"/>
              </w:rPr>
              <w:t>护栏</w:t>
            </w:r>
          </w:p>
        </w:tc>
        <w:tc>
          <w:tcPr>
            <w:tcW w:type="dxa" w:w="4320"/>
          </w:tcPr>
          <w:p>
            <w:pPr>
              <w:spacing w:line="288" w:lineRule="auto"/>
            </w:pPr>
            <w:r>
              <w:rPr>
                <w:sz w:val="21"/>
              </w:rPr>
            </w:r>
            <w:r>
              <w:rPr>
                <w:sz w:val="21"/>
              </w:rPr>
              <w:t>开发者施加于模型的内容与行为限制，防止违规输出；过严的护栏也会导致不必要的拒绝。</w:t>
            </w:r>
          </w:p>
        </w:tc>
      </w:tr>
      <w:tr>
        <w:tc>
          <w:tcPr>
            <w:tcW w:type="dxa" w:w="4320"/>
          </w:tcPr>
          <w:p>
            <w:pPr>
              <w:spacing w:line="288" w:lineRule="auto"/>
            </w:pPr>
            <w:r>
              <w:rPr>
                <w:sz w:val="21"/>
              </w:rPr>
            </w:r>
            <w:r>
              <w:rPr>
                <w:sz w:val="21"/>
              </w:rPr>
              <w:t>水印</w:t>
            </w:r>
          </w:p>
        </w:tc>
        <w:tc>
          <w:tcPr>
            <w:tcW w:type="dxa" w:w="4320"/>
          </w:tcPr>
          <w:p>
            <w:pPr>
              <w:spacing w:line="288" w:lineRule="auto"/>
            </w:pPr>
            <w:r>
              <w:rPr>
                <w:sz w:val="21"/>
              </w:rPr>
            </w:r>
            <w:r>
              <w:rPr>
                <w:sz w:val="21"/>
              </w:rPr>
              <w:t>嵌入AI生成内容中的可机器识别的标记，用于溯源；现有水印技术的可靠性仍有限。</w:t>
            </w:r>
          </w:p>
        </w:tc>
      </w:tr>
      <w:tr>
        <w:tc>
          <w:tcPr>
            <w:tcW w:type="dxa" w:w="4320"/>
          </w:tcPr>
          <w:p>
            <w:pPr>
              <w:spacing w:line="288" w:lineRule="auto"/>
            </w:pPr>
            <w:r>
              <w:rPr>
                <w:sz w:val="21"/>
              </w:rPr>
            </w:r>
            <w:r>
              <w:rPr>
                <w:sz w:val="21"/>
              </w:rPr>
              <w:t>AI检测工具</w:t>
            </w:r>
          </w:p>
        </w:tc>
        <w:tc>
          <w:tcPr>
            <w:tcW w:type="dxa" w:w="4320"/>
          </w:tcPr>
          <w:p>
            <w:pPr>
              <w:spacing w:line="288" w:lineRule="auto"/>
            </w:pPr>
            <w:r>
              <w:rPr>
                <w:sz w:val="21"/>
              </w:rPr>
            </w:r>
            <w:r>
              <w:rPr>
                <w:sz w:val="21"/>
              </w:rPr>
              <w:t>声称能判断文本是否由AI生成的软件，误判率较高且易被规避，其结果不宜单独作为判定依据。</w:t>
            </w:r>
          </w:p>
        </w:tc>
      </w:tr>
    </w:tbl>
    <w:p/>
    <w:p>
      <w:pPr>
        <w:pStyle w:val="Heading2"/>
      </w:pPr>
      <w:r>
        <w:t>五、应用与生态</w:t>
      </w:r>
    </w:p>
    <w:tbl>
      <w:tblPr>
        <w:tblStyle w:val="TableGrid"/>
        <w:tblW w:type="auto" w:w="0"/>
        <w:tblLook w:firstColumn="1" w:firstRow="1" w:lastColumn="0" w:lastRow="0" w:noHBand="0" w:noVBand="1" w:val="04A0"/>
      </w:tblPr>
      <w:tblGrid>
        <w:gridCol w:w="4320"/>
        <w:gridCol w:w="4320"/>
      </w:tblGrid>
      <w:tr>
        <w:tc>
          <w:tcPr>
            <w:tcW w:type="dxa" w:w="4320"/>
          </w:tcPr>
          <w:p>
            <w:pPr>
              <w:spacing w:line="288" w:lineRule="auto"/>
            </w:pPr>
            <w:r>
              <w:rPr>
                <w:b/>
                <w:sz w:val="21"/>
              </w:rPr>
            </w:r>
            <w:r>
              <w:rPr>
                <w:b/>
                <w:sz w:val="21"/>
              </w:rPr>
              <w:t>词条</w:t>
            </w:r>
          </w:p>
        </w:tc>
        <w:tc>
          <w:tcPr>
            <w:tcW w:type="dxa" w:w="4320"/>
          </w:tcPr>
          <w:p>
            <w:pPr>
              <w:spacing w:line="288" w:lineRule="auto"/>
            </w:pPr>
            <w:r>
              <w:rPr>
                <w:b/>
                <w:sz w:val="21"/>
              </w:rPr>
            </w:r>
            <w:r>
              <w:rPr>
                <w:b/>
                <w:sz w:val="21"/>
              </w:rPr>
              <w:t>解释</w:t>
            </w:r>
          </w:p>
        </w:tc>
      </w:tr>
      <w:tr>
        <w:tc>
          <w:tcPr>
            <w:tcW w:type="dxa" w:w="4320"/>
          </w:tcPr>
          <w:p>
            <w:pPr>
              <w:spacing w:line="288" w:lineRule="auto"/>
            </w:pPr>
            <w:r>
              <w:rPr>
                <w:sz w:val="21"/>
              </w:rPr>
            </w:r>
            <w:r>
              <w:rPr>
                <w:sz w:val="21"/>
              </w:rPr>
              <w:t>API</w:t>
            </w:r>
          </w:p>
        </w:tc>
        <w:tc>
          <w:tcPr>
            <w:tcW w:type="dxa" w:w="4320"/>
          </w:tcPr>
          <w:p>
            <w:pPr>
              <w:spacing w:line="288" w:lineRule="auto"/>
            </w:pPr>
            <w:r>
              <w:rPr>
                <w:sz w:val="21"/>
              </w:rPr>
            </w:r>
            <w:r>
              <w:rPr>
                <w:sz w:val="21"/>
              </w:rPr>
              <w:t>应用程序接口，开发者通过它调用模型能力，是AI集成进各类软件的通道；按调用量计费是主要商业形态。</w:t>
            </w:r>
          </w:p>
        </w:tc>
      </w:tr>
      <w:tr>
        <w:tc>
          <w:tcPr>
            <w:tcW w:type="dxa" w:w="4320"/>
          </w:tcPr>
          <w:p>
            <w:pPr>
              <w:spacing w:line="288" w:lineRule="auto"/>
            </w:pPr>
            <w:r>
              <w:rPr>
                <w:sz w:val="21"/>
              </w:rPr>
            </w:r>
            <w:r>
              <w:rPr>
                <w:sz w:val="21"/>
              </w:rPr>
              <w:t>开源模型</w:t>
            </w:r>
          </w:p>
        </w:tc>
        <w:tc>
          <w:tcPr>
            <w:tcW w:type="dxa" w:w="4320"/>
          </w:tcPr>
          <w:p>
            <w:pPr>
              <w:spacing w:line="288" w:lineRule="auto"/>
            </w:pPr>
            <w:r>
              <w:rPr>
                <w:sz w:val="21"/>
              </w:rPr>
            </w:r>
            <w:r>
              <w:rPr>
                <w:sz w:val="21"/>
              </w:rPr>
              <w:t>公开发布模型权重、可免费下载改造的模型（如Llama系列），与闭源商业模型相对，是本地部署的前提。</w:t>
            </w:r>
          </w:p>
        </w:tc>
      </w:tr>
      <w:tr>
        <w:tc>
          <w:tcPr>
            <w:tcW w:type="dxa" w:w="4320"/>
          </w:tcPr>
          <w:p>
            <w:pPr>
              <w:spacing w:line="288" w:lineRule="auto"/>
            </w:pPr>
            <w:r>
              <w:rPr>
                <w:sz w:val="21"/>
              </w:rPr>
            </w:r>
            <w:r>
              <w:rPr>
                <w:sz w:val="21"/>
              </w:rPr>
              <w:t>本地部署</w:t>
            </w:r>
          </w:p>
        </w:tc>
        <w:tc>
          <w:tcPr>
            <w:tcW w:type="dxa" w:w="4320"/>
          </w:tcPr>
          <w:p>
            <w:pPr>
              <w:spacing w:line="288" w:lineRule="auto"/>
            </w:pPr>
            <w:r>
              <w:rPr>
                <w:sz w:val="21"/>
              </w:rPr>
            </w:r>
            <w:r>
              <w:rPr>
                <w:sz w:val="21"/>
              </w:rPr>
              <w:t>把模型下载到自己的设备上运行，数据不出本地、隐私更好，但受硬件算力限制，能力通常弱于云端旗舰。</w:t>
            </w:r>
          </w:p>
        </w:tc>
      </w:tr>
      <w:tr>
        <w:tc>
          <w:tcPr>
            <w:tcW w:type="dxa" w:w="4320"/>
          </w:tcPr>
          <w:p>
            <w:pPr>
              <w:spacing w:line="288" w:lineRule="auto"/>
            </w:pPr>
            <w:r>
              <w:rPr>
                <w:sz w:val="21"/>
              </w:rPr>
            </w:r>
            <w:r>
              <w:rPr>
                <w:sz w:val="21"/>
              </w:rPr>
              <w:t>检索增强生成（RAG）</w:t>
            </w:r>
          </w:p>
        </w:tc>
        <w:tc>
          <w:tcPr>
            <w:tcW w:type="dxa" w:w="4320"/>
          </w:tcPr>
          <w:p>
            <w:pPr>
              <w:spacing w:line="288" w:lineRule="auto"/>
            </w:pPr>
            <w:r>
              <w:rPr>
                <w:sz w:val="21"/>
              </w:rPr>
            </w:r>
            <w:r>
              <w:rPr>
                <w:sz w:val="21"/>
              </w:rPr>
              <w:t>让模型回答前先检索外部资料库再基于资料作答，能缓解幻觉、引入新知识，是"让AI查资料再回答"的机制。</w:t>
            </w:r>
          </w:p>
        </w:tc>
      </w:tr>
      <w:tr>
        <w:tc>
          <w:tcPr>
            <w:tcW w:type="dxa" w:w="4320"/>
          </w:tcPr>
          <w:p>
            <w:pPr>
              <w:spacing w:line="288" w:lineRule="auto"/>
            </w:pPr>
            <w:r>
              <w:rPr>
                <w:sz w:val="21"/>
              </w:rPr>
            </w:r>
            <w:r>
              <w:rPr>
                <w:sz w:val="21"/>
              </w:rPr>
              <w:t>向量数据库</w:t>
            </w:r>
          </w:p>
        </w:tc>
        <w:tc>
          <w:tcPr>
            <w:tcW w:type="dxa" w:w="4320"/>
          </w:tcPr>
          <w:p>
            <w:pPr>
              <w:spacing w:line="288" w:lineRule="auto"/>
            </w:pPr>
            <w:r>
              <w:rPr>
                <w:sz w:val="21"/>
              </w:rPr>
            </w:r>
            <w:r>
              <w:rPr>
                <w:sz w:val="21"/>
              </w:rPr>
              <w:t>专门存储与检索向量表示的数据库，是RAG与个人知识库检索的技术底座。</w:t>
            </w:r>
          </w:p>
        </w:tc>
      </w:tr>
      <w:tr>
        <w:tc>
          <w:tcPr>
            <w:tcW w:type="dxa" w:w="4320"/>
          </w:tcPr>
          <w:p>
            <w:pPr>
              <w:spacing w:line="288" w:lineRule="auto"/>
            </w:pPr>
            <w:r>
              <w:rPr>
                <w:sz w:val="21"/>
              </w:rPr>
            </w:r>
            <w:r>
              <w:rPr>
                <w:sz w:val="21"/>
              </w:rPr>
              <w:t>智能体（Agent）</w:t>
            </w:r>
          </w:p>
        </w:tc>
        <w:tc>
          <w:tcPr>
            <w:tcW w:type="dxa" w:w="4320"/>
          </w:tcPr>
          <w:p>
            <w:pPr>
              <w:spacing w:line="288" w:lineRule="auto"/>
            </w:pPr>
            <w:r>
              <w:rPr>
                <w:sz w:val="21"/>
              </w:rPr>
            </w:r>
            <w:r>
              <w:rPr>
                <w:sz w:val="21"/>
              </w:rPr>
              <w:t>能自主规划步骤、调用工具、完成多步任务的AI系统，从"回答问题"走向"代办事情"的产品形态。</w:t>
            </w:r>
          </w:p>
        </w:tc>
      </w:tr>
      <w:tr>
        <w:tc>
          <w:tcPr>
            <w:tcW w:type="dxa" w:w="4320"/>
          </w:tcPr>
          <w:p>
            <w:pPr>
              <w:spacing w:line="288" w:lineRule="auto"/>
            </w:pPr>
            <w:r>
              <w:rPr>
                <w:sz w:val="21"/>
              </w:rPr>
            </w:r>
            <w:r>
              <w:rPr>
                <w:sz w:val="21"/>
              </w:rPr>
              <w:t>工具调用</w:t>
            </w:r>
          </w:p>
        </w:tc>
        <w:tc>
          <w:tcPr>
            <w:tcW w:type="dxa" w:w="4320"/>
          </w:tcPr>
          <w:p>
            <w:pPr>
              <w:spacing w:line="288" w:lineRule="auto"/>
            </w:pPr>
            <w:r>
              <w:rPr>
                <w:sz w:val="21"/>
              </w:rPr>
            </w:r>
            <w:r>
              <w:rPr>
                <w:sz w:val="21"/>
              </w:rPr>
              <w:t>模型按需调用外部功能（搜索、计算器、代码执行）的机制，弥补其自身的能力缺口，是智能体完成实际任务的核心组成。</w:t>
            </w:r>
          </w:p>
        </w:tc>
      </w:tr>
      <w:tr>
        <w:tc>
          <w:tcPr>
            <w:tcW w:type="dxa" w:w="4320"/>
          </w:tcPr>
          <w:p>
            <w:pPr>
              <w:spacing w:line="288" w:lineRule="auto"/>
            </w:pPr>
            <w:r>
              <w:rPr>
                <w:sz w:val="21"/>
              </w:rPr>
            </w:r>
            <w:r>
              <w:rPr>
                <w:sz w:val="21"/>
              </w:rPr>
              <w:t>模型上下文协议（MCP）</w:t>
            </w:r>
          </w:p>
        </w:tc>
        <w:tc>
          <w:tcPr>
            <w:tcW w:type="dxa" w:w="4320"/>
          </w:tcPr>
          <w:p>
            <w:pPr>
              <w:spacing w:line="288" w:lineRule="auto"/>
            </w:pPr>
            <w:r>
              <w:rPr>
                <w:sz w:val="21"/>
              </w:rPr>
            </w:r>
            <w:r>
              <w:rPr>
                <w:sz w:val="21"/>
              </w:rPr>
              <w:t xml:space="preserve">一种让模型与外部工具、数据源标准化连接的开放协议，2024年提出 </w:t>
            </w:r>
            <w:r>
              <w:rPr>
                <w:rFonts w:ascii="Consolas" w:hAnsi="Consolas" w:eastAsia="宋体"/>
                <w:sz w:val="21"/>
              </w:rPr>
              <w:t>[待核实]</w:t>
            </w:r>
            <w:r>
              <w:rPr>
                <w:sz w:val="21"/>
              </w:rPr>
              <w:t>，生态仍在形成中。</w:t>
            </w:r>
          </w:p>
        </w:tc>
      </w:tr>
      <w:tr>
        <w:tc>
          <w:tcPr>
            <w:tcW w:type="dxa" w:w="4320"/>
          </w:tcPr>
          <w:p>
            <w:pPr>
              <w:spacing w:line="288" w:lineRule="auto"/>
            </w:pPr>
            <w:r>
              <w:rPr>
                <w:sz w:val="21"/>
              </w:rPr>
            </w:r>
            <w:r>
              <w:rPr>
                <w:sz w:val="21"/>
              </w:rPr>
              <w:t>文生图</w:t>
            </w:r>
          </w:p>
        </w:tc>
        <w:tc>
          <w:tcPr>
            <w:tcW w:type="dxa" w:w="4320"/>
          </w:tcPr>
          <w:p>
            <w:pPr>
              <w:spacing w:line="288" w:lineRule="auto"/>
            </w:pPr>
            <w:r>
              <w:rPr>
                <w:sz w:val="21"/>
              </w:rPr>
            </w:r>
            <w:r>
              <w:rPr>
                <w:sz w:val="21"/>
              </w:rPr>
              <w:t>以文字描述生成图像的技术与应用，扩散模型是其主流实现，版权与训练数据争议的焦点领域。</w:t>
            </w:r>
          </w:p>
        </w:tc>
      </w:tr>
      <w:tr>
        <w:tc>
          <w:tcPr>
            <w:tcW w:type="dxa" w:w="4320"/>
          </w:tcPr>
          <w:p>
            <w:pPr>
              <w:spacing w:line="288" w:lineRule="auto"/>
            </w:pPr>
            <w:r>
              <w:rPr>
                <w:sz w:val="21"/>
              </w:rPr>
            </w:r>
            <w:r>
              <w:rPr>
                <w:sz w:val="21"/>
              </w:rPr>
              <w:t>文生视频</w:t>
            </w:r>
          </w:p>
        </w:tc>
        <w:tc>
          <w:tcPr>
            <w:tcW w:type="dxa" w:w="4320"/>
          </w:tcPr>
          <w:p>
            <w:pPr>
              <w:spacing w:line="288" w:lineRule="auto"/>
            </w:pPr>
            <w:r>
              <w:rPr>
                <w:sz w:val="21"/>
              </w:rPr>
            </w:r>
            <w:r>
              <w:rPr>
                <w:sz w:val="21"/>
              </w:rPr>
              <w:t xml:space="preserve">以文字或图像生成视频片段的技术，当前时长与可控性仍处早期，被普遍视为下一个爆发点 </w:t>
            </w:r>
            <w:r>
              <w:rPr>
                <w:rFonts w:ascii="Consolas" w:hAnsi="Consolas" w:eastAsia="宋体"/>
                <w:sz w:val="21"/>
              </w:rPr>
              <w:t>[待核实]</w:t>
            </w:r>
            <w:r>
              <w:rPr>
                <w:sz w:val="21"/>
              </w:rPr>
              <w:t>。</w:t>
            </w:r>
          </w:p>
        </w:tc>
      </w:tr>
    </w:tbl>
    <w:p/>
    <w:p>
      <w:pPr>
        <w:pStyle w:val="Heading2"/>
      </w:pPr>
      <w:r>
        <w:t>六、社会与治理</w:t>
      </w:r>
    </w:p>
    <w:tbl>
      <w:tblPr>
        <w:tblStyle w:val="TableGrid"/>
        <w:tblW w:type="auto" w:w="0"/>
        <w:tblLook w:firstColumn="1" w:firstRow="1" w:lastColumn="0" w:lastRow="0" w:noHBand="0" w:noVBand="1" w:val="04A0"/>
      </w:tblPr>
      <w:tblGrid>
        <w:gridCol w:w="4320"/>
        <w:gridCol w:w="4320"/>
      </w:tblGrid>
      <w:tr>
        <w:tc>
          <w:tcPr>
            <w:tcW w:type="dxa" w:w="4320"/>
          </w:tcPr>
          <w:p>
            <w:pPr>
              <w:spacing w:line="288" w:lineRule="auto"/>
            </w:pPr>
            <w:r>
              <w:rPr>
                <w:b/>
                <w:sz w:val="21"/>
              </w:rPr>
            </w:r>
            <w:r>
              <w:rPr>
                <w:b/>
                <w:sz w:val="21"/>
              </w:rPr>
              <w:t>词条</w:t>
            </w:r>
          </w:p>
        </w:tc>
        <w:tc>
          <w:tcPr>
            <w:tcW w:type="dxa" w:w="4320"/>
          </w:tcPr>
          <w:p>
            <w:pPr>
              <w:spacing w:line="288" w:lineRule="auto"/>
            </w:pPr>
            <w:r>
              <w:rPr>
                <w:b/>
                <w:sz w:val="21"/>
              </w:rPr>
            </w:r>
            <w:r>
              <w:rPr>
                <w:b/>
                <w:sz w:val="21"/>
              </w:rPr>
              <w:t>解释</w:t>
            </w:r>
          </w:p>
        </w:tc>
      </w:tr>
      <w:tr>
        <w:tc>
          <w:tcPr>
            <w:tcW w:type="dxa" w:w="4320"/>
          </w:tcPr>
          <w:p>
            <w:pPr>
              <w:spacing w:line="288" w:lineRule="auto"/>
            </w:pPr>
            <w:r>
              <w:rPr>
                <w:sz w:val="21"/>
              </w:rPr>
            </w:r>
            <w:r>
              <w:rPr>
                <w:sz w:val="21"/>
              </w:rPr>
              <w:t>深度伪造</w:t>
            </w:r>
          </w:p>
        </w:tc>
        <w:tc>
          <w:tcPr>
            <w:tcW w:type="dxa" w:w="4320"/>
          </w:tcPr>
          <w:p>
            <w:pPr>
              <w:spacing w:line="288" w:lineRule="auto"/>
            </w:pPr>
            <w:r>
              <w:rPr>
                <w:sz w:val="21"/>
              </w:rPr>
            </w:r>
            <w:r>
              <w:rPr>
                <w:sz w:val="21"/>
              </w:rPr>
              <w:t>用AI合成以假乱真的图像、音频或视频，冒充真实人物的技术及其产物，是认识论安全的核心威胁。</w:t>
            </w:r>
          </w:p>
        </w:tc>
      </w:tr>
      <w:tr>
        <w:tc>
          <w:tcPr>
            <w:tcW w:type="dxa" w:w="4320"/>
          </w:tcPr>
          <w:p>
            <w:pPr>
              <w:spacing w:line="288" w:lineRule="auto"/>
            </w:pPr>
            <w:r>
              <w:rPr>
                <w:sz w:val="21"/>
              </w:rPr>
            </w:r>
            <w:r>
              <w:rPr>
                <w:sz w:val="21"/>
              </w:rPr>
              <w:t>算法偏见</w:t>
            </w:r>
          </w:p>
        </w:tc>
        <w:tc>
          <w:tcPr>
            <w:tcW w:type="dxa" w:w="4320"/>
          </w:tcPr>
          <w:p>
            <w:pPr>
              <w:spacing w:line="288" w:lineRule="auto"/>
            </w:pPr>
            <w:r>
              <w:rPr>
                <w:sz w:val="21"/>
              </w:rPr>
            </w:r>
            <w:r>
              <w:rPr>
                <w:sz w:val="21"/>
              </w:rPr>
              <w:t>训练数据中的社会偏见被模型习得并以"客观"输出的形式固化与放大的现象。</w:t>
            </w:r>
          </w:p>
        </w:tc>
      </w:tr>
      <w:tr>
        <w:tc>
          <w:tcPr>
            <w:tcW w:type="dxa" w:w="4320"/>
          </w:tcPr>
          <w:p>
            <w:pPr>
              <w:spacing w:line="288" w:lineRule="auto"/>
            </w:pPr>
            <w:r>
              <w:rPr>
                <w:sz w:val="21"/>
              </w:rPr>
            </w:r>
            <w:r>
              <w:rPr>
                <w:sz w:val="21"/>
              </w:rPr>
              <w:t>数字鸿沟</w:t>
            </w:r>
          </w:p>
        </w:tc>
        <w:tc>
          <w:tcPr>
            <w:tcW w:type="dxa" w:w="4320"/>
          </w:tcPr>
          <w:p>
            <w:pPr>
              <w:spacing w:line="288" w:lineRule="auto"/>
            </w:pPr>
            <w:r>
              <w:rPr>
                <w:sz w:val="21"/>
              </w:rPr>
            </w:r>
            <w:r>
              <w:rPr>
                <w:sz w:val="21"/>
              </w:rPr>
              <w:t>不同群体在技术接入、使用能力与受益程度上的差距；AI时代该鸿沟正从"有没有设备"转向"会不会用"。</w:t>
            </w:r>
          </w:p>
        </w:tc>
      </w:tr>
      <w:tr>
        <w:tc>
          <w:tcPr>
            <w:tcW w:type="dxa" w:w="4320"/>
          </w:tcPr>
          <w:p>
            <w:pPr>
              <w:spacing w:line="288" w:lineRule="auto"/>
            </w:pPr>
            <w:r>
              <w:rPr>
                <w:sz w:val="21"/>
              </w:rPr>
            </w:r>
            <w:r>
              <w:rPr>
                <w:sz w:val="21"/>
              </w:rPr>
              <w:t>认知卸载</w:t>
            </w:r>
          </w:p>
        </w:tc>
        <w:tc>
          <w:tcPr>
            <w:tcW w:type="dxa" w:w="4320"/>
          </w:tcPr>
          <w:p>
            <w:pPr>
              <w:spacing w:line="288" w:lineRule="auto"/>
            </w:pPr>
            <w:r>
              <w:rPr>
                <w:sz w:val="21"/>
              </w:rPr>
            </w:r>
            <w:r>
              <w:rPr>
                <w:sz w:val="21"/>
              </w:rPr>
              <w:t>把本应由自己完成的思考任务转交给外部工具的心理倾向，本书第二章讨论其长期代价。</w:t>
            </w:r>
          </w:p>
        </w:tc>
      </w:tr>
      <w:tr>
        <w:tc>
          <w:tcPr>
            <w:tcW w:type="dxa" w:w="4320"/>
          </w:tcPr>
          <w:p>
            <w:pPr>
              <w:spacing w:line="288" w:lineRule="auto"/>
            </w:pPr>
            <w:r>
              <w:rPr>
                <w:sz w:val="21"/>
              </w:rPr>
            </w:r>
            <w:r>
              <w:rPr>
                <w:sz w:val="21"/>
              </w:rPr>
              <w:t>数据隐私</w:t>
            </w:r>
          </w:p>
        </w:tc>
        <w:tc>
          <w:tcPr>
            <w:tcW w:type="dxa" w:w="4320"/>
          </w:tcPr>
          <w:p>
            <w:pPr>
              <w:spacing w:line="288" w:lineRule="auto"/>
            </w:pPr>
            <w:r>
              <w:rPr>
                <w:sz w:val="21"/>
              </w:rPr>
            </w:r>
            <w:r>
              <w:rPr>
                <w:sz w:val="21"/>
              </w:rPr>
              <w:t>个人信息被收集、存储与使用的边界问题；与模型的每次对话都是数据贡献，去向取决于服务商政策。</w:t>
            </w:r>
          </w:p>
        </w:tc>
      </w:tr>
      <w:tr>
        <w:tc>
          <w:tcPr>
            <w:tcW w:type="dxa" w:w="4320"/>
          </w:tcPr>
          <w:p>
            <w:pPr>
              <w:spacing w:line="288" w:lineRule="auto"/>
            </w:pPr>
            <w:r>
              <w:rPr>
                <w:sz w:val="21"/>
              </w:rPr>
            </w:r>
            <w:r>
              <w:rPr>
                <w:sz w:val="21"/>
              </w:rPr>
              <w:t>披露声明</w:t>
            </w:r>
          </w:p>
        </w:tc>
        <w:tc>
          <w:tcPr>
            <w:tcW w:type="dxa" w:w="4320"/>
          </w:tcPr>
          <w:p>
            <w:pPr>
              <w:spacing w:line="288" w:lineRule="auto"/>
            </w:pPr>
            <w:r>
              <w:rPr>
                <w:sz w:val="21"/>
              </w:rPr>
            </w:r>
            <w:r>
              <w:rPr>
                <w:sz w:val="21"/>
              </w:rPr>
              <w:t>在提交成果时如实说明AI参与了哪些环节的书面陈述，是多数"披露型"政策的核心义务。</w:t>
            </w:r>
          </w:p>
        </w:tc>
      </w:tr>
      <w:tr>
        <w:tc>
          <w:tcPr>
            <w:tcW w:type="dxa" w:w="4320"/>
          </w:tcPr>
          <w:p>
            <w:pPr>
              <w:spacing w:line="288" w:lineRule="auto"/>
            </w:pPr>
            <w:r>
              <w:rPr>
                <w:sz w:val="21"/>
              </w:rPr>
            </w:r>
            <w:r>
              <w:rPr>
                <w:sz w:val="21"/>
              </w:rPr>
              <w:t>AI素养</w:t>
            </w:r>
          </w:p>
        </w:tc>
        <w:tc>
          <w:tcPr>
            <w:tcW w:type="dxa" w:w="4320"/>
          </w:tcPr>
          <w:p>
            <w:pPr>
              <w:spacing w:line="288" w:lineRule="auto"/>
            </w:pPr>
            <w:r>
              <w:rPr>
                <w:sz w:val="21"/>
              </w:rPr>
            </w:r>
            <w:r>
              <w:rPr>
                <w:sz w:val="21"/>
              </w:rPr>
              <w:t>理解AI的能力边界、风险机制与使用规范的综合性能力，包括验证输出的习惯与合规意识，正在成为与读写能力并列的基础要求。</w:t>
            </w:r>
          </w:p>
        </w:tc>
      </w:tr>
      <w:tr>
        <w:tc>
          <w:tcPr>
            <w:tcW w:type="dxa" w:w="4320"/>
          </w:tcPr>
          <w:p>
            <w:pPr>
              <w:spacing w:line="288" w:lineRule="auto"/>
            </w:pPr>
            <w:r>
              <w:rPr>
                <w:sz w:val="21"/>
              </w:rPr>
            </w:r>
            <w:r>
              <w:rPr>
                <w:sz w:val="21"/>
              </w:rPr>
              <w:t>AI治理</w:t>
            </w:r>
          </w:p>
        </w:tc>
        <w:tc>
          <w:tcPr>
            <w:tcW w:type="dxa" w:w="4320"/>
          </w:tcPr>
          <w:p>
            <w:pPr>
              <w:spacing w:line="288" w:lineRule="auto"/>
            </w:pPr>
            <w:r>
              <w:rPr>
                <w:sz w:val="21"/>
              </w:rPr>
            </w:r>
            <w:r>
              <w:rPr>
                <w:sz w:val="21"/>
              </w:rPr>
              <w:t>对AI开发与应用进行规范的制度总称，涵盖法律、行业标准与机构内部政策等多个层级。</w:t>
            </w:r>
          </w:p>
        </w:tc>
      </w:tr>
      <w:tr>
        <w:tc>
          <w:tcPr>
            <w:tcW w:type="dxa" w:w="4320"/>
          </w:tcPr>
          <w:p>
            <w:pPr>
              <w:spacing w:line="288" w:lineRule="auto"/>
            </w:pPr>
            <w:r>
              <w:rPr>
                <w:sz w:val="21"/>
              </w:rPr>
            </w:r>
            <w:r>
              <w:rPr>
                <w:sz w:val="21"/>
              </w:rPr>
              <w:t>生成内容标识</w:t>
            </w:r>
          </w:p>
        </w:tc>
        <w:tc>
          <w:tcPr>
            <w:tcW w:type="dxa" w:w="4320"/>
          </w:tcPr>
          <w:p>
            <w:pPr>
              <w:spacing w:line="288" w:lineRule="auto"/>
            </w:pPr>
            <w:r>
              <w:rPr>
                <w:sz w:val="21"/>
              </w:rPr>
            </w:r>
            <w:r>
              <w:rPr>
                <w:sz w:val="21"/>
              </w:rPr>
              <w:t xml:space="preserve">对AI生成内容添加显著或隐式标记的制度要求，中国已出台相关规定 </w:t>
            </w:r>
            <w:r>
              <w:rPr>
                <w:rFonts w:ascii="Consolas" w:hAnsi="Consolas" w:eastAsia="宋体"/>
                <w:sz w:val="21"/>
              </w:rPr>
              <w:t>[待核实]</w:t>
            </w:r>
            <w:r>
              <w:rPr>
                <w:sz w:val="21"/>
              </w:rPr>
              <w:t>，多国在跟进立法。</w:t>
            </w:r>
          </w:p>
        </w:tc>
      </w:tr>
      <w:tr>
        <w:tc>
          <w:tcPr>
            <w:tcW w:type="dxa" w:w="4320"/>
          </w:tcPr>
          <w:p>
            <w:pPr>
              <w:spacing w:line="288" w:lineRule="auto"/>
            </w:pPr>
            <w:r>
              <w:rPr>
                <w:sz w:val="21"/>
              </w:rPr>
            </w:r>
            <w:r>
              <w:rPr>
                <w:sz w:val="21"/>
              </w:rPr>
              <w:t>人机协作</w:t>
            </w:r>
          </w:p>
        </w:tc>
        <w:tc>
          <w:tcPr>
            <w:tcW w:type="dxa" w:w="4320"/>
          </w:tcPr>
          <w:p>
            <w:pPr>
              <w:spacing w:line="288" w:lineRule="auto"/>
            </w:pPr>
            <w:r>
              <w:rPr>
                <w:sz w:val="21"/>
              </w:rPr>
            </w:r>
            <w:r>
              <w:rPr>
                <w:sz w:val="21"/>
              </w:rPr>
              <w:t>人与AI在任务中各执一段的分工模式，本书的核心主张是：分工的原则是错误代价与可验证性，而非效率单一维度。</w:t>
            </w:r>
          </w:p>
        </w:tc>
      </w:tr>
    </w:tbl>
    <w:p/>
    <w:p>
      <w:pPr>
        <w:ind w:firstLine="0"/>
      </w:pPr>
      <w:r>
        <w:rPr>
          <w:i/>
          <w:color w:val="808080"/>
          <w:sz w:val="21"/>
        </w:rPr>
        <w:t>（简编版，60 条。完整版计划扩充至约 200 条：增补英文对照、跨章节引用（指向正文详细讨论）、以及"易混词条辨析"（如微调与预训练、幻觉与偏见、智能体与工具调用），并随出版前技术进展统一更新时效性标注。）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center"/>
      <w:outlineLvl w:val="0"/>
    </w:pPr>
    <w:rPr>
      <w:rFonts w:asciiTheme="majorHAnsi" w:eastAsiaTheme="majorEastAsia" w:hAnsiTheme="majorHAnsi" w:cstheme="majorBidi" w:ascii="微软雅黑" w:hAnsi="微软雅黑" w:eastAsia="微软雅黑"/>
      <w:b/>
      <w:bCs/>
      <w:color w:val="000000"/>
      <w:sz w:val="44"/>
      <w:szCs w:val="28"/>
    </w:rPr>
  </w:style>
  <w:style w:type="paragraph" w:styleId="Heading2">
    <w:name w:val="heading 2"/>
    <w:basedOn w:val="Normal"/>
    <w:next w:val="Normal"/>
    <w:link w:val="Heading2Char"/>
    <w:uiPriority w:val="9"/>
    <w:unhideWhenUsed/>
    <w:qFormat/>
    <w:rsid w:val="00FC693F"/>
    <w:pPr>
      <w:keepNext/>
      <w:keepLines/>
      <w:spacing w:before="360" w:after="200"/>
      <w:outlineLvl w:val="1"/>
    </w:pPr>
    <w:rPr>
      <w:rFonts w:asciiTheme="majorHAnsi" w:eastAsiaTheme="majorEastAsia" w:hAnsiTheme="majorHAnsi" w:cstheme="majorBidi" w:ascii="微软雅黑" w:hAnsi="微软雅黑" w:eastAsia="微软雅黑"/>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60" w:after="200"/>
      <w:outlineLvl w:val="2"/>
    </w:pPr>
    <w:rPr>
      <w:rFonts w:asciiTheme="majorHAnsi" w:eastAsiaTheme="majorEastAsia" w:hAnsiTheme="majorHAnsi" w:cstheme="majorBidi" w:ascii="微软雅黑" w:hAnsi="微软雅黑" w:eastAsia="微软雅黑"/>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