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A85D21">
      <w:r>
        <w:t xml:space="preserve">FORM BEAN 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5D21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Overview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The </w:t>
      </w:r>
      <w:r w:rsidRPr="00A85D21">
        <w:rPr>
          <w:rFonts w:ascii="Arial" w:eastAsia="Times New Roman" w:hAnsi="Arial" w:cs="Arial"/>
          <w:b/>
          <w:bCs/>
          <w:color w:val="000000"/>
          <w:sz w:val="20"/>
          <w:szCs w:val="20"/>
        </w:rPr>
        <w:t>struts-config.xml</w:t>
      </w:r>
      <w:r w:rsidRPr="00A85D21">
        <w:rPr>
          <w:rFonts w:ascii="Arial" w:eastAsia="Times New Roman" w:hAnsi="Arial" w:cs="Arial"/>
          <w:color w:val="000000"/>
          <w:sz w:val="20"/>
          <w:szCs w:val="20"/>
        </w:rPr>
        <w:t> configuration file is a link between the View and Model components in the Web Client. It plays an important role in building both Controller components and Application-specific configurations. In Web NMS, this file is created specific to every application in the format as &lt;module&gt;-struts-config.xml, where &lt;module&gt; can be topo, fault, perf and so on. For example, a struts-config.xml file of the fault module is represented as </w:t>
      </w:r>
      <w:r w:rsidRPr="00A85D21">
        <w:rPr>
          <w:rFonts w:ascii="Arial" w:eastAsia="Times New Roman" w:hAnsi="Arial" w:cs="Arial"/>
          <w:b/>
          <w:bCs/>
          <w:color w:val="000000"/>
          <w:sz w:val="20"/>
          <w:szCs w:val="20"/>
        </w:rPr>
        <w:t>fault-struts-config.xml</w:t>
      </w:r>
      <w:r w:rsidRPr="00A85D21">
        <w:rPr>
          <w:rFonts w:ascii="Arial" w:eastAsia="Times New Roman" w:hAnsi="Arial" w:cs="Arial"/>
          <w:color w:val="000000"/>
          <w:sz w:val="20"/>
          <w:szCs w:val="20"/>
        </w:rPr>
        <w:t> and is present in </w:t>
      </w:r>
      <w:r w:rsidRPr="00A85D21">
        <w:rPr>
          <w:rFonts w:ascii="Arial" w:eastAsia="Times New Roman" w:hAnsi="Arial" w:cs="Arial"/>
          <w:i/>
          <w:iCs/>
          <w:color w:val="000000"/>
          <w:sz w:val="20"/>
          <w:szCs w:val="20"/>
        </w:rPr>
        <w:t>&lt;Web NMS Home&gt;/</w:t>
      </w:r>
      <w:proofErr w:type="spellStart"/>
      <w:r w:rsidRPr="00A85D21">
        <w:rPr>
          <w:rFonts w:ascii="Arial" w:eastAsia="Times New Roman" w:hAnsi="Arial" w:cs="Arial"/>
          <w:i/>
          <w:iCs/>
          <w:color w:val="000000"/>
          <w:sz w:val="20"/>
          <w:szCs w:val="20"/>
        </w:rPr>
        <w:t>webclient</w:t>
      </w:r>
      <w:proofErr w:type="spellEnd"/>
      <w:r w:rsidRPr="00A85D21">
        <w:rPr>
          <w:rFonts w:ascii="Arial" w:eastAsia="Times New Roman" w:hAnsi="Arial" w:cs="Arial"/>
          <w:i/>
          <w:iCs/>
          <w:color w:val="000000"/>
          <w:sz w:val="20"/>
          <w:szCs w:val="20"/>
        </w:rPr>
        <w:t>/fault/</w:t>
      </w:r>
      <w:proofErr w:type="spellStart"/>
      <w:r w:rsidRPr="00A85D21">
        <w:rPr>
          <w:rFonts w:ascii="Arial" w:eastAsia="Times New Roman" w:hAnsi="Arial" w:cs="Arial"/>
          <w:i/>
          <w:iCs/>
          <w:color w:val="000000"/>
          <w:sz w:val="20"/>
          <w:szCs w:val="20"/>
        </w:rPr>
        <w:t>conf</w:t>
      </w:r>
      <w:proofErr w:type="spellEnd"/>
      <w:r w:rsidRPr="00A85D21">
        <w:rPr>
          <w:rFonts w:ascii="Arial" w:eastAsia="Times New Roman" w:hAnsi="Arial" w:cs="Arial"/>
          <w:color w:val="000000"/>
          <w:sz w:val="20"/>
          <w:szCs w:val="20"/>
        </w:rPr>
        <w:t> directory.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0" w:name="configuration"/>
      <w:bookmarkEnd w:id="0"/>
      <w:r w:rsidRPr="00A85D2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Configuration File Structure</w:t>
      </w:r>
    </w:p>
    <w:p w:rsidR="00A85D21" w:rsidRPr="00A85D21" w:rsidRDefault="00A85D21" w:rsidP="00A85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The configuration file basically contains three main elements:</w:t>
      </w:r>
    </w:p>
    <w:p w:rsidR="00A85D21" w:rsidRPr="00A85D21" w:rsidRDefault="00A85D21" w:rsidP="00A85D21">
      <w:pPr>
        <w:numPr>
          <w:ilvl w:val="0"/>
          <w:numId w:val="1"/>
        </w:numPr>
        <w:spacing w:before="100"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&lt;form-beans&gt;</w:t>
      </w:r>
    </w:p>
    <w:p w:rsidR="00A85D21" w:rsidRPr="00A85D21" w:rsidRDefault="00A85D21" w:rsidP="00A85D21">
      <w:pPr>
        <w:numPr>
          <w:ilvl w:val="0"/>
          <w:numId w:val="1"/>
        </w:numPr>
        <w:spacing w:before="100"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&lt;global-forwards&gt;</w:t>
      </w:r>
    </w:p>
    <w:p w:rsidR="00A85D21" w:rsidRPr="00A85D21" w:rsidRDefault="00A85D21" w:rsidP="00A85D21">
      <w:pPr>
        <w:numPr>
          <w:ilvl w:val="0"/>
          <w:numId w:val="1"/>
        </w:numPr>
        <w:spacing w:before="100"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&lt;action-mappings&gt;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The elements of the </w:t>
      </w:r>
      <w:r w:rsidRPr="00A85D21">
        <w:rPr>
          <w:rFonts w:ascii="Arial" w:eastAsia="Times New Roman" w:hAnsi="Arial" w:cs="Arial"/>
          <w:b/>
          <w:bCs/>
          <w:color w:val="000000"/>
          <w:sz w:val="20"/>
          <w:szCs w:val="20"/>
        </w:rPr>
        <w:t>&lt;module&gt;-struts-config.xml</w:t>
      </w:r>
      <w:r w:rsidRPr="00A85D21">
        <w:rPr>
          <w:rFonts w:ascii="Arial" w:eastAsia="Times New Roman" w:hAnsi="Arial" w:cs="Arial"/>
          <w:color w:val="000000"/>
          <w:sz w:val="20"/>
          <w:szCs w:val="20"/>
        </w:rPr>
        <w:t> file and their usage are described for an example module such as "fault".</w:t>
      </w:r>
    </w:p>
    <w:p w:rsidR="00A85D21" w:rsidRPr="00A85D21" w:rsidRDefault="00A85D21" w:rsidP="00A85D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85D2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56"/>
      </w:tblGrid>
      <w:tr w:rsidR="00A85D21" w:rsidRPr="00A85D21" w:rsidTr="00A85D21">
        <w:trPr>
          <w:trHeight w:val="255"/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Element</w:t>
            </w: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Attributes and Description</w:t>
            </w:r>
          </w:p>
        </w:tc>
      </w:tr>
      <w:tr w:rsidR="00A85D21" w:rsidRPr="00A85D21" w:rsidTr="00A85D21">
        <w:trPr>
          <w:trHeight w:val="315"/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struts-config</w:t>
            </w: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Is the root node of the configuration </w:t>
            </w:r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file.</w:t>
            </w:r>
            <w:proofErr w:type="gramEnd"/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85D21" w:rsidRPr="00A85D21" w:rsidTr="00A85D21">
        <w:trPr>
          <w:trHeight w:val="315"/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form-beans</w:t>
            </w: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Contains form bean definitions. The Form beans create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ActionForm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instances at runtime. The details of each form bean are provided in the &lt;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form-bean&gt;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element. 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&lt;form-property&gt;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elements within the form bean contain the property names and the property types of the form bean.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Attributes of &lt;form-bean&gt; are:</w:t>
            </w:r>
          </w:p>
          <w:p w:rsidR="00A85D21" w:rsidRPr="00A85D21" w:rsidRDefault="00A85D21" w:rsidP="00A85D21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Must have a unique bean name. This name is used as reference in the action mappings. Often, this is also </w:t>
            </w:r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 name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request or the session attribute under which the form is stored.</w:t>
            </w:r>
          </w:p>
          <w:p w:rsidR="00A85D21" w:rsidRPr="00A85D21" w:rsidRDefault="00A85D21" w:rsidP="00A85D21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The value is a fully-qualified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classname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ActionForm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class used with the form bean.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Attributes of &lt;form-property&gt; are:</w:t>
            </w:r>
          </w:p>
          <w:p w:rsidR="00A85D21" w:rsidRPr="00A85D21" w:rsidRDefault="00A85D21" w:rsidP="00A85D21">
            <w:pPr>
              <w:numPr>
                <w:ilvl w:val="0"/>
                <w:numId w:val="3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Contains the name of a property of the form bean.</w:t>
            </w:r>
          </w:p>
          <w:p w:rsidR="00A85D21" w:rsidRPr="00A85D21" w:rsidRDefault="00A85D21" w:rsidP="00A85D21">
            <w:pPr>
              <w:numPr>
                <w:ilvl w:val="0"/>
                <w:numId w:val="3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Contains the property type such as String, </w:t>
            </w:r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String[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], etc.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 Entry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&lt;form-bean name="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EventCVForm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type="</w:t>
            </w:r>
            <w:proofErr w:type="spellStart"/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org.apache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.struts.validator.DynaValidatorForm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&lt;form-property name="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cvName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type="</w:t>
            </w:r>
            <w:proofErr w:type="spellStart"/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java.lang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.String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&lt;form-property name="severity" type="</w:t>
            </w:r>
            <w:proofErr w:type="spellStart"/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java.lang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.String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[]"/&gt;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......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&lt;/form-bean&gt;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85D21" w:rsidRPr="00A85D21" w:rsidTr="00A85D21">
        <w:trPr>
          <w:trHeight w:val="315"/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global forwards</w:t>
            </w: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the global forward definitions. The forward name is the logical name used to map to a specific JSP. The logical name mappings for commonly used presentation pages are specified here. The &lt;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forward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element contains the logical name and the name of the corresponding resource which it maps to.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Attributes of &lt;forward&gt; are:</w:t>
            </w:r>
          </w:p>
          <w:p w:rsidR="00A85D21" w:rsidRPr="00A85D21" w:rsidRDefault="00A85D21" w:rsidP="00A85D21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Contains the logical name of the forward. This name is used in the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ActionForm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class's </w:t>
            </w:r>
            <w:proofErr w:type="gramStart"/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execute(</w:t>
            </w:r>
            <w:proofErr w:type="gramEnd"/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method to forward it to the next resource. Example: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MyTestPage</w:t>
            </w:r>
            <w:proofErr w:type="spellEnd"/>
          </w:p>
          <w:p w:rsidR="00A85D21" w:rsidRPr="00A85D21" w:rsidRDefault="00A85D21" w:rsidP="00A85D21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path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Contains the context relative path of the resource to which the forward name maps. Example: /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TestPage.jsp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[or] /TestPage.do</w:t>
            </w:r>
          </w:p>
          <w:p w:rsidR="00A85D21" w:rsidRPr="00A85D21" w:rsidRDefault="00A85D21" w:rsidP="00A85D21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contextRelative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:This</w:t>
            </w:r>
            <w:proofErr w:type="spellEnd"/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takes the value true or false implying, whether the resource specified in the path attribute is relative to the context.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 Entry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&lt;forward name="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viewAlarm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path="/fault/AlarmView.do"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contextRelative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="true"/&gt;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above entry, wherever this file is to be called, only </w:t>
            </w:r>
            <w:proofErr w:type="spellStart"/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viewAlarm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specified. This allows you to change the Alarm View page without changing the references to it throughout the Web Client. The action mapping for 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AlarmView.do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defined in the action mapping, where it is forwarded to the next appropriate resource.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85D21" w:rsidRPr="00A85D21" w:rsidTr="00A85D21">
        <w:trPr>
          <w:trHeight w:val="315"/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action-mappings</w:t>
            </w: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Contains the action definitions. Each action mapping is defined in an &lt;action&gt; element. 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&lt;forward&gt;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definition within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&lt;action&gt;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maps the result of the action to the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jsp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 invoked. This is a 'local' forward and is optional. That is, for the </w:t>
            </w:r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particular request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object, if there is no forward defined in the global forwards, it is specified in the &lt;action-mapping&gt; element.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Attributes of &lt;action-mappings&gt; are:</w:t>
            </w:r>
          </w:p>
          <w:p w:rsidR="00A85D21" w:rsidRPr="00A85D21" w:rsidRDefault="00A85D21" w:rsidP="00A85D21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path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Contains the name of the request received</w:t>
            </w:r>
          </w:p>
          <w:p w:rsidR="00A85D21" w:rsidRPr="00A85D21" w:rsidRDefault="00A85D21" w:rsidP="00A85D21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Contains the name of the action class invoked</w:t>
            </w:r>
          </w:p>
          <w:p w:rsidR="00A85D21" w:rsidRPr="00A85D21" w:rsidRDefault="00A85D21" w:rsidP="00A85D21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scope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Specifies the scope in which the Controller (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ActionServlet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must look for the bean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Attributes of (local) &lt;forward&gt; within &lt;action-mappings&gt; are the same as that of the global &lt;forward&gt;.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Example Entry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&lt;action-mappings&gt;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&lt;action path="/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NetworkEvent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type="</w:t>
            </w:r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com.adventnet.nms.webclient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.fault.event.EventViewAction"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    scope="request"&gt;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  &lt;forward name="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eventView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 path="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NetworkEventPage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contextRelative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="true"/&gt;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&lt;/action&gt;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&lt;/action-mappings&gt;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above entry, when a request matching the specified path (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NetworkEvent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is received, an instance of the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ActionClass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created. The controller looks for the bean in the specified scope (request) creating and saving a bean of the specified class, if needed. The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ActionForward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object is returned and the reference to the object is acquired using </w:t>
            </w:r>
            <w:proofErr w:type="spellStart"/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mapping.findforward</w:t>
            </w:r>
            <w:proofErr w:type="spellEnd"/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.. The layout for the page displaying network 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events is defined in the corresponding tiles definition file, where the page components and the corresponding JSPs are specified.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85D21" w:rsidRPr="00A85D21" w:rsidTr="00A85D21">
        <w:trPr>
          <w:trHeight w:val="315"/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controller</w:t>
            </w: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&lt;controller&gt;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enables you to configure the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ActionServlet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example entry, 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&lt;controller&gt;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element defines 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&lt;action&gt;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elements in Fault to be local or global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ActionForward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names.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 </w:t>
            </w:r>
            <w:proofErr w:type="spellStart"/>
            <w:r w:rsidRPr="00A85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inputForward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parameter is set </w:t>
            </w:r>
            <w:r w:rsidRPr="00A85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meaning the input attribute of 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&lt;action&gt;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elements </w:t>
            </w:r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name of a local or global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ActionForward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which will then be used to calculate the end URL. Set it </w:t>
            </w:r>
            <w:r w:rsidRPr="00A85D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to treat the input parameter of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&lt;action&gt;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elements as a module-relative path to the resource to be used as the input form.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&lt;controller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inputForward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="true" 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85D21" w:rsidRPr="00A85D21" w:rsidTr="00A85D21">
        <w:trPr>
          <w:trHeight w:val="315"/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bookmarkStart w:id="1" w:name="plug-in"/>
            <w:bookmarkEnd w:id="1"/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plug-in</w:t>
            </w:r>
          </w:p>
        </w:tc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&lt;plug-in&gt;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element is used to include plug-ins in struts. The Web Client uses the </w:t>
            </w:r>
            <w:hyperlink r:id="rId5" w:history="1">
              <w:r w:rsidRPr="00A85D21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Tiles</w:t>
              </w:r>
            </w:hyperlink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plug-in and the </w:t>
            </w:r>
            <w:hyperlink r:id="rId6" w:history="1">
              <w:r w:rsidRPr="00A85D21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Struts Validator</w:t>
              </w:r>
            </w:hyperlink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plug-in. The following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&lt;plug-in&gt;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includes the Tiles plug-in in the Fault module.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&lt;plug-in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className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org.apache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.struts.tiles.TilesPlugin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&lt;set-property property="definitions-config" value="/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webclient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/fault/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/fault-tiles-defn.xml" 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&lt;set-property property="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moduleAware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value="true" 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&lt;/plug-in&gt;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nested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&lt;set-property&gt;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element is used to configure the tiles plug-in to point to the tiles definition file for Fault module. The tile definition is specified in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fault-tiles-defn.xml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located in /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webclient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/fault/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 directory.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&lt;plug-in </w:t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className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org.apache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.struts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validator.ValidatorPlugIn</w:t>
            </w:r>
            <w:proofErr w:type="spell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&lt;set-property property="pathnames" value="</w:t>
            </w:r>
            <w:proofErr w:type="gramStart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/webclient/fault/conf/fault-validator-rules.xml,/webclient/fault/conf/fault-validation.xml</w:t>
            </w:r>
            <w:proofErr w:type="gramEnd"/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"/&gt;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&lt;/plug-in&gt;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A85D21" w:rsidRPr="00A85D21" w:rsidRDefault="00A85D21" w:rsidP="00A85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following </w:t>
            </w:r>
            <w:r w:rsidRPr="00A85D2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&lt;plug-in&gt;</w:t>
            </w:r>
            <w:r w:rsidRPr="00A85D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includes the Struts Validator plug-in in the Fault module</w:t>
            </w:r>
          </w:p>
        </w:tc>
      </w:tr>
    </w:tbl>
    <w:p w:rsidR="00A85D21" w:rsidRDefault="00A85D21">
      <w:bookmarkStart w:id="2" w:name="_GoBack"/>
      <w:bookmarkEnd w:id="2"/>
    </w:p>
    <w:sectPr w:rsidR="00A8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BC4"/>
    <w:multiLevelType w:val="multilevel"/>
    <w:tmpl w:val="0A20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1455E"/>
    <w:multiLevelType w:val="multilevel"/>
    <w:tmpl w:val="F6C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E7AF2"/>
    <w:multiLevelType w:val="multilevel"/>
    <w:tmpl w:val="F656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A4B1C"/>
    <w:multiLevelType w:val="multilevel"/>
    <w:tmpl w:val="5BB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80863"/>
    <w:multiLevelType w:val="multilevel"/>
    <w:tmpl w:val="E4F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21"/>
    <w:rsid w:val="000C6116"/>
    <w:rsid w:val="003528FD"/>
    <w:rsid w:val="00A85D21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E8CC"/>
  <w15:chartTrackingRefBased/>
  <w15:docId w15:val="{64A6C8F9-3F55-46B3-9F7B-A28CA0C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topic-1">
    <w:name w:val="sub-topic-1"/>
    <w:basedOn w:val="Normal"/>
    <w:rsid w:val="00A8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ted">
    <w:name w:val="bulletted"/>
    <w:basedOn w:val="Normal"/>
    <w:rsid w:val="00A8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ing-bullet-number">
    <w:name w:val="removing-bullet-number"/>
    <w:basedOn w:val="Normal"/>
    <w:rsid w:val="00A8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topic2-content">
    <w:name w:val="sub-topic2-content"/>
    <w:basedOn w:val="Normal"/>
    <w:rsid w:val="00A8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nms.com/telecom/help/developer_guide/web_client/web_intro.html" TargetMode="External"/><Relationship Id="rId5" Type="http://schemas.openxmlformats.org/officeDocument/2006/relationships/hyperlink" Target="https://www.webnms.com/telecom/help/developer_guide/web_client/web_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1</cp:revision>
  <dcterms:created xsi:type="dcterms:W3CDTF">2018-05-31T03:21:00Z</dcterms:created>
  <dcterms:modified xsi:type="dcterms:W3CDTF">2018-05-31T03:45:00Z</dcterms:modified>
</cp:coreProperties>
</file>