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8"/>
          <w:szCs w:val="38"/>
        </w:rPr>
        <w:t xml:space="preserve">HƯỚNG DẪN SỬ DỤNG &amp; LUỒNG NGHIỆP VỤ</w:t>
      </w:r>
    </w:p>
    <w:p>
      <w:pPr>
        <w:spacing w:after="160"/>
        <w:jc w:val="center"/>
      </w:pPr>
      <w:r>
        <w:rPr>
          <w:color w:val="555555"/>
          <w:sz w:val="24"/>
          <w:szCs w:val="24"/>
        </w:rPr>
        <w:t xml:space="preserve">Phần mềm Mua hàng &amp; Theo dõi công nợ — Thiên Nhật</w:t>
      </w:r>
    </w:p>
    <w:p>
      <w:pPr>
        <w:spacing w:after="120"/>
      </w:pPr>
      <w:r>
        <w:rPr>
          <w:i/>
          <w:iCs/>
          <w:color w:val="B00000"/>
        </w:rPr>
        <w:t xml:space="preserve">Ghi chú: đây là luồng ĐANG CHẠY TRÊN PHẦN MỀM. Hãy sửa/bổ sung trực tiếp để khớp nghiệp vụ thực tế của công ty.</w:t>
      </w:r>
    </w:p>
    <w:p>
      <w:pPr>
        <w:pStyle w:val="Heading1"/>
      </w:pPr>
      <w:r>
        <w:t xml:space="preserve">1. Sơ đồ luồng nghiệp vụ</w:t>
      </w:r>
    </w:p>
    <w:p>
      <w:pPr>
        <w:jc w:val="center"/>
      </w:pPr>
      <w:r>
        <w:drawing>
          <wp:inline distT="0" distB="0" distL="0" distR="0">
            <wp:extent cx="5715000" cy="7791450"/>
            <wp:effectExtent t="0" r="0" b="0" l="0"/>
            <wp:docPr id="1" name="flow" descr="So do luong mua hang cong no" title="Luồng nghiệp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2. Vai trò &amp; quyền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Vai trò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Làm được gì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Nhân viên mua hàng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Tạo đề xuất mua hàng/tạm ứng, nghiệm thu, ghi nhận thanh toán, in phiếu.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Trưởng bộ phận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Rà soát &amp; trả lại phiếu thuộc bộ phận mình.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Kế toán công nợ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Lập đề xuất thanh toán, nghiệm thu, ghi thanh toán, tất toán, rà soát/trả lại tất cả, theo dõi công nợ.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Tổng giám đốc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Duyệt đề xuất mua hàng &lt; 10 triệu.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Chủ tịch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Duyệt đề xuất ≥ 10 triệu (và override khoản của TGĐ); duyệt đề xuất thanh toán.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Toàn quyền: quản lý danh mục, tài khoản &amp; phân quyền.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Trạng thái của phiếu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Loại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Các trạng thái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Đề xuất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Nháp → Chờ duyệt → Đã duyệt. Có thể bị Trả lại (về Nháp) hoặc Từ chối.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Công nợ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Chờ nghiệm thu · Trả trước - chờ nhận hàng · Theo dõi · Quá hạn · Đã tất toán.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Đề xuất thanh toán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Chờ duyệt → Đã duyệt → Đã chi (hoặc Từ chối).</w:t>
            </w:r>
          </w:p>
        </w:tc>
      </w:tr>
    </w:tbl>
    <w:p>
      <w:pPr>
        <w:pStyle w:val="Heading1"/>
      </w:pPr>
      <w:r>
        <w:t xml:space="preserve">3. Đăng nhập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Vào địa chỉ phần mềm, nhập email được cấp và mã PIN.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Giao diện tiếng Việt; menu bên trái (biểu tượng ☰) gom theo nhóm chức năng.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Chuông 🔔 góc phải: thông báo (bấm để mở thẳng phiếu liên quan).</w:t>
      </w:r>
    </w:p>
    <w:p>
      <w:pPr>
        <w:pStyle w:val="Heading1"/>
      </w:pPr>
      <w:r>
        <w:t xml:space="preserve">4. Hướng dẫn theo thao tác</w:t>
      </w:r>
    </w:p>
    <w:p>
      <w:pPr>
        <w:pStyle w:val="Heading2"/>
      </w:pPr>
      <w:r>
        <w:t xml:space="preserve">4.1 Báo giá NCC (tuỳ chọn — Mua hàng)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Nhập giá chào của từng nhà cung cấp cho mặt hàng; phần mềm so sánh và gợi ý giá tốt nhất, xu hướng giá.</w:t>
      </w:r>
    </w:p>
    <w:p>
      <w:pPr>
        <w:pStyle w:val="Heading2"/>
      </w:pPr>
      <w:r>
        <w:t xml:space="preserve">4.2 Tạo đề xuất mua hàng / tạm ứng (Mua hàng)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Chọn loại (Mua hàng / Tạm ứng), người đề nghị, bộ phận, nhà cung cấp.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Nhập các dòng vật tư: mặt hàng, SL đặt, đơn giá, VAT — thành tiền tự tính.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Nhập hạn thanh toán; tick “trong kế hoạch tuần” — nếu ngoài kế hoạch phải nhập giải trình.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Tick “thanh toán trước khi nhận hàng” </w:t>
      </w:r>
      <w:r>
        <w:t xml:space="preserve">nếu là khoản trả trước (công nợ sẽ hiện ngay khi duyệt).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Đính kèm báo giá (bắt buộc với Mua hàng). Bấm Lưu nháp, kiểm tra, rồi Gửi duyệt.</w:t>
      </w:r>
    </w:p>
    <w:p>
      <w:pPr>
        <w:pStyle w:val="Heading2"/>
      </w:pPr>
      <w:r>
        <w:t xml:space="preserve">4.3 Rà soát &amp; Trả lại (Trưởng bộ phận / Kế toán)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Vào “Theo dõi &amp; rà soát”: xem mọi phiếu đang trình/đã duyệt.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Trả lại: </w:t>
      </w:r>
      <w:r>
        <w:t xml:space="preserve">với phiếu Chờ duyệt hoặc Đã duyệt (chưa phát sinh thanh toán) — nhập lý do; nếu đã duyệt, công nợ sẽ được gỡ; phiếu về Nháp, người lập nhận thông báo để giải trình và gửi lại.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Trưởng bộ phận chỉ thấy/thao tác phiếu thuộc bộ phận mình.</w:t>
      </w:r>
    </w:p>
    <w:p>
      <w:pPr>
        <w:pStyle w:val="Heading2"/>
      </w:pPr>
      <w:r>
        <w:t xml:space="preserve">4.4 Duyệt đề xuất (Tổng giám đốc / Chủ tịch)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Phân luồng theo mức tiền: </w:t>
      </w:r>
      <w:r>
        <w:t xml:space="preserve">&lt; 10 triệu → Tổng giám đốc; ≥ 10 triệu → Chủ tịch. Chủ tịch duyệt/override được cả khoản của TGĐ.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Duyệt xong, hệ thống tự sinh công nợ tương ứng.</w:t>
      </w:r>
    </w:p>
    <w:p>
      <w:pPr>
        <w:pStyle w:val="Heading2"/>
      </w:pPr>
      <w:r>
        <w:t xml:space="preserve">4.5 Nghiệm thu (Mua hàng / Kế toán)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Vào “Nghiệm thu”: chọn khoản, nhập SL thực nhận + biên bản/hồ sơ, hạn thanh toán.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Công nợ phải trả = SL thực nhận × đơn giá × (1 + VAT).</w:t>
      </w:r>
    </w:p>
    <w:p>
      <w:pPr>
        <w:pStyle w:val="Heading2"/>
      </w:pPr>
      <w:r>
        <w:t xml:space="preserve">4.6 Lập đề xuất thanh toán (Kế toán)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Vào “Đề xuất thanh toán” → bấm “Nạp phiếu đã nghiệm thu (đến hạn)” để nạp khoản, hoặc “Thêm dòng tự nhập” (điện, vận hành…) kèm giải trình.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Chọn hình thức, tình trạng hồ sơ; Gửi duyệt.</w:t>
      </w:r>
    </w:p>
    <w:p>
      <w:pPr>
        <w:pStyle w:val="Heading2"/>
      </w:pPr>
      <w:r>
        <w:t xml:space="preserve">4.7 Duyệt thanh toán (Chủ tịch)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Chủ tịch duyệt đề xuất thanh toán → được đánh dấu “được chi”. Việc chi tiền thực hiện ngoài phần mềm.</w:t>
      </w:r>
    </w:p>
    <w:p>
      <w:pPr>
        <w:pStyle w:val="Heading2"/>
      </w:pPr>
      <w:r>
        <w:t xml:space="preserve">4.8 Ghi nhận thanh toán theo từng khoản (Mua hàng / Kế toán)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Vào “Cập nhật thanh toán”: chọn khoản, nhập số tiền đã trả thực tế + chứng từ → số dư còn lại tự giảm.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Ghi nhầm: </w:t>
      </w:r>
      <w:r>
        <w:t xml:space="preserve">bấm Hủy ở lịch sử — số dư được cộng lại. Đây là nơi DUY NHẤT ghi tiền vào công nợ.</w:t>
      </w:r>
    </w:p>
    <w:p>
      <w:pPr>
        <w:pStyle w:val="Heading2"/>
      </w:pPr>
      <w:r>
        <w:t xml:space="preserve">4.9 Tất toán (Kế toán)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Vào “Tất toán”: hệ thống lưu trữ các khoản đã trả đủ. Không ghi đè số đã trả — số dư luôn = giá trị − tổng đã trả.</w:t>
      </w:r>
    </w:p>
    <w:p>
      <w:pPr>
        <w:pStyle w:val="Heading2"/>
      </w:pPr>
      <w:r>
        <w:t xml:space="preserve">4.10 Theo dõi công nợ &amp; Dashboard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“Theo dõi công nợ theo đối tượng”: tổng còn phải trả, trả trước/tạm ứng, chênh lệch ròng, số khoản; lọc theo NCC/thời gian.</w:t>
      </w:r>
    </w:p>
    <w:p>
      <w:pPr>
        <w:pStyle w:val="Heading2"/>
      </w:pPr>
      <w:r>
        <w:t xml:space="preserve">4.11 Khác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Tải dữ liệu: xuất Excel đề xuất / thanh toán / báo giá (kèm mã vật tư, nhóm hàng, mã NCC) để phân tích.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Tin nhắn nội bộ; Danh mục (vật tư/NCC); Tài khoản &amp; phân quyền (Admin).</w:t>
      </w:r>
    </w:p>
    <w:p>
      <w:pPr>
        <w:pStyle w:val="Heading1"/>
      </w:pPr>
      <w:r>
        <w:t xml:space="preserve">5. Quy tắc quan trọng cần nhớ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Ngưỡng duyệt: 10.000.000đ (có thể chỉnh trong cấu hình).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Khoản ngoài kế hoạch tuần bắt buộc có giải trình mới gửi duyệt được.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“Trả trước”: công nợ phải trả hiện ngay khi duyệt (theo SL đặt), không chờ nghiệm thu.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Tất toán chỉ lưu trữ, không sửa số tiền đã trả.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Chỉ ghi/sửa tiền đã trả ở màn “Cập nhật thanh toán”.</w:t>
      </w:r>
    </w:p>
    <w:p>
      <w:pPr>
        <w:spacing w:before="200"/>
      </w:pPr>
      <w:r>
        <w:rPr>
          <w:i/>
          <w:iCs/>
          <w:color w:val="777777"/>
        </w:rPr>
        <w:t xml:space="preserve">— Hết. Vui lòng chỉnh sửa trực tiếp trên tài liệu này.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F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4a827a0c2e0d3aa7425c42112428e0ac07415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2026-07-02T09:06:48.813Z</dcterms:created>
  <dcterms:modified xsi:type="dcterms:W3CDTF">2026-07-02T09:06:48.813Z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