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6BA7" w:rsidRDefault="00F255A2">
      <w:pPr>
        <w:tabs>
          <w:tab w:val="left" w:pos="8896"/>
        </w:tabs>
        <w:spacing w:before="46"/>
        <w:ind w:left="170"/>
        <w:rPr>
          <w:sz w:val="28"/>
        </w:rPr>
      </w:pPr>
      <w:r>
        <w:rPr>
          <w:color w:val="231F20"/>
          <w:w w:val="115"/>
          <w:sz w:val="20"/>
        </w:rPr>
        <w:t>F</w:t>
      </w:r>
      <w:r>
        <w:rPr>
          <w:color w:val="231F20"/>
          <w:w w:val="115"/>
          <w:sz w:val="20"/>
          <w:vertAlign w:val="subscript"/>
        </w:rPr>
        <w:t>aCts</w:t>
      </w:r>
      <w:r>
        <w:rPr>
          <w:color w:val="231F20"/>
          <w:spacing w:val="-15"/>
          <w:w w:val="115"/>
          <w:sz w:val="20"/>
        </w:rPr>
        <w:t xml:space="preserve"> </w:t>
      </w:r>
      <w:r>
        <w:rPr>
          <w:color w:val="231F20"/>
          <w:w w:val="110"/>
          <w:sz w:val="20"/>
        </w:rPr>
        <w:t>V</w:t>
      </w:r>
      <w:r>
        <w:rPr>
          <w:color w:val="231F20"/>
          <w:w w:val="110"/>
          <w:sz w:val="20"/>
          <w:vertAlign w:val="subscript"/>
        </w:rPr>
        <w:t>ieWs</w:t>
      </w:r>
      <w:r>
        <w:rPr>
          <w:color w:val="231F20"/>
          <w:spacing w:val="-12"/>
          <w:w w:val="110"/>
          <w:sz w:val="20"/>
        </w:rPr>
        <w:t xml:space="preserve"> </w:t>
      </w:r>
      <w:r>
        <w:rPr>
          <w:color w:val="231F20"/>
          <w:w w:val="110"/>
          <w:sz w:val="20"/>
        </w:rPr>
        <w:t>V</w:t>
      </w:r>
      <w:r>
        <w:rPr>
          <w:color w:val="231F20"/>
          <w:w w:val="110"/>
          <w:sz w:val="20"/>
          <w:vertAlign w:val="subscript"/>
        </w:rPr>
        <w:t>is</w:t>
      </w:r>
      <w:r>
        <w:rPr>
          <w:color w:val="231F20"/>
          <w:spacing w:val="-11"/>
          <w:w w:val="110"/>
          <w:sz w:val="20"/>
        </w:rPr>
        <w:t xml:space="preserve"> </w:t>
      </w:r>
      <w:r>
        <w:rPr>
          <w:color w:val="231F20"/>
          <w:w w:val="110"/>
          <w:sz w:val="20"/>
        </w:rPr>
        <w:t>o</w:t>
      </w:r>
      <w:r>
        <w:rPr>
          <w:color w:val="231F20"/>
          <w:w w:val="110"/>
          <w:sz w:val="20"/>
          <w:vertAlign w:val="subscript"/>
        </w:rPr>
        <w:t>Bgyn</w:t>
      </w:r>
      <w:r>
        <w:rPr>
          <w:color w:val="231F20"/>
          <w:w w:val="110"/>
          <w:sz w:val="20"/>
        </w:rPr>
        <w:t>,</w:t>
      </w:r>
      <w:r>
        <w:rPr>
          <w:color w:val="231F20"/>
          <w:spacing w:val="-11"/>
          <w:w w:val="110"/>
          <w:sz w:val="20"/>
        </w:rPr>
        <w:t xml:space="preserve"> </w:t>
      </w:r>
      <w:r>
        <w:rPr>
          <w:color w:val="231F20"/>
          <w:w w:val="110"/>
          <w:sz w:val="20"/>
        </w:rPr>
        <w:t>2015,</w:t>
      </w:r>
      <w:r>
        <w:rPr>
          <w:color w:val="231F20"/>
          <w:spacing w:val="-11"/>
          <w:w w:val="110"/>
          <w:sz w:val="20"/>
        </w:rPr>
        <w:t xml:space="preserve"> </w:t>
      </w:r>
      <w:r>
        <w:rPr>
          <w:color w:val="231F20"/>
          <w:w w:val="110"/>
          <w:sz w:val="20"/>
        </w:rPr>
        <w:t>7</w:t>
      </w:r>
      <w:r>
        <w:rPr>
          <w:color w:val="231F20"/>
          <w:spacing w:val="-11"/>
          <w:w w:val="110"/>
          <w:sz w:val="20"/>
        </w:rPr>
        <w:t xml:space="preserve"> </w:t>
      </w:r>
      <w:r>
        <w:rPr>
          <w:color w:val="231F20"/>
          <w:w w:val="110"/>
          <w:sz w:val="20"/>
        </w:rPr>
        <w:t>(1):</w:t>
      </w:r>
      <w:r>
        <w:rPr>
          <w:color w:val="231F20"/>
          <w:spacing w:val="-12"/>
          <w:w w:val="110"/>
          <w:sz w:val="20"/>
        </w:rPr>
        <w:t xml:space="preserve"> </w:t>
      </w:r>
      <w:r>
        <w:rPr>
          <w:color w:val="231F20"/>
          <w:w w:val="110"/>
          <w:sz w:val="20"/>
        </w:rPr>
        <w:t>32-41</w:t>
      </w:r>
      <w:r>
        <w:rPr>
          <w:color w:val="231F20"/>
          <w:w w:val="110"/>
          <w:sz w:val="20"/>
        </w:rPr>
        <w:tab/>
      </w:r>
      <w:r>
        <w:rPr>
          <w:color w:val="939598"/>
          <w:w w:val="105"/>
          <w:position w:val="-7"/>
          <w:sz w:val="28"/>
        </w:rPr>
        <w:t>Review</w:t>
      </w:r>
    </w:p>
    <w:p w:rsidR="00966BA7" w:rsidRDefault="00966BA7">
      <w:pPr>
        <w:pStyle w:val="BodyText"/>
        <w:rPr>
          <w:sz w:val="20"/>
        </w:rPr>
      </w:pPr>
    </w:p>
    <w:p w:rsidR="00966BA7" w:rsidRDefault="00F255A2">
      <w:pPr>
        <w:pStyle w:val="Title"/>
        <w:spacing w:line="220" w:lineRule="auto"/>
      </w:pPr>
      <w:r>
        <w:rPr>
          <w:color w:val="58595B"/>
          <w:spacing w:val="-3"/>
        </w:rPr>
        <w:t>Practical</w:t>
      </w:r>
      <w:r>
        <w:rPr>
          <w:color w:val="58595B"/>
          <w:spacing w:val="-28"/>
        </w:rPr>
        <w:t xml:space="preserve"> </w:t>
      </w:r>
      <w:r>
        <w:rPr>
          <w:color w:val="58595B"/>
          <w:spacing w:val="-3"/>
        </w:rPr>
        <w:t>guidance</w:t>
      </w:r>
      <w:r>
        <w:rPr>
          <w:color w:val="58595B"/>
          <w:spacing w:val="-27"/>
        </w:rPr>
        <w:t xml:space="preserve"> </w:t>
      </w:r>
      <w:r>
        <w:rPr>
          <w:color w:val="58595B"/>
        </w:rPr>
        <w:t>for</w:t>
      </w:r>
      <w:r>
        <w:rPr>
          <w:color w:val="58595B"/>
          <w:spacing w:val="-27"/>
        </w:rPr>
        <w:t xml:space="preserve"> </w:t>
      </w:r>
      <w:r>
        <w:rPr>
          <w:color w:val="58595B"/>
          <w:spacing w:val="-3"/>
        </w:rPr>
        <w:t>applying</w:t>
      </w:r>
      <w:r>
        <w:rPr>
          <w:color w:val="58595B"/>
          <w:spacing w:val="-27"/>
        </w:rPr>
        <w:t xml:space="preserve"> </w:t>
      </w:r>
      <w:r>
        <w:rPr>
          <w:color w:val="58595B"/>
        </w:rPr>
        <w:t>the</w:t>
      </w:r>
      <w:r>
        <w:rPr>
          <w:color w:val="58595B"/>
          <w:spacing w:val="-27"/>
        </w:rPr>
        <w:t xml:space="preserve"> </w:t>
      </w:r>
      <w:r>
        <w:rPr>
          <w:color w:val="58595B"/>
          <w:spacing w:val="-3"/>
        </w:rPr>
        <w:t>ADNEX</w:t>
      </w:r>
      <w:r>
        <w:rPr>
          <w:color w:val="58595B"/>
          <w:spacing w:val="-27"/>
        </w:rPr>
        <w:t xml:space="preserve"> </w:t>
      </w:r>
      <w:r>
        <w:rPr>
          <w:color w:val="58595B"/>
          <w:spacing w:val="-3"/>
        </w:rPr>
        <w:t>model</w:t>
      </w:r>
      <w:r>
        <w:rPr>
          <w:color w:val="58595B"/>
          <w:spacing w:val="-27"/>
        </w:rPr>
        <w:t xml:space="preserve"> </w:t>
      </w:r>
      <w:r>
        <w:rPr>
          <w:color w:val="58595B"/>
          <w:spacing w:val="-3"/>
        </w:rPr>
        <w:t>from</w:t>
      </w:r>
      <w:r>
        <w:rPr>
          <w:color w:val="58595B"/>
          <w:spacing w:val="-27"/>
        </w:rPr>
        <w:t xml:space="preserve"> </w:t>
      </w:r>
      <w:r>
        <w:rPr>
          <w:color w:val="58595B"/>
        </w:rPr>
        <w:t>the</w:t>
      </w:r>
      <w:r>
        <w:rPr>
          <w:color w:val="58595B"/>
          <w:spacing w:val="-27"/>
        </w:rPr>
        <w:t xml:space="preserve"> </w:t>
      </w:r>
      <w:r>
        <w:rPr>
          <w:color w:val="58595B"/>
          <w:spacing w:val="-3"/>
        </w:rPr>
        <w:t xml:space="preserve">IOTA </w:t>
      </w:r>
      <w:r>
        <w:rPr>
          <w:color w:val="58595B"/>
        </w:rPr>
        <w:t>group to discriminate between different subtypes of adnexal tumors</w:t>
      </w:r>
    </w:p>
    <w:p w:rsidR="00966BA7" w:rsidRDefault="00966BA7">
      <w:pPr>
        <w:pStyle w:val="BodyText"/>
        <w:spacing w:before="1"/>
        <w:rPr>
          <w:rFonts w:ascii="Gothic Uralic"/>
          <w:b/>
          <w:sz w:val="48"/>
        </w:rPr>
      </w:pPr>
    </w:p>
    <w:p w:rsidR="00966BA7" w:rsidRDefault="00F255A2">
      <w:pPr>
        <w:spacing w:before="1" w:line="268" w:lineRule="exact"/>
        <w:ind w:left="170"/>
        <w:rPr>
          <w:sz w:val="24"/>
        </w:rPr>
      </w:pPr>
      <w:r>
        <w:rPr>
          <w:color w:val="6D6E71"/>
          <w:spacing w:val="1"/>
          <w:sz w:val="24"/>
        </w:rPr>
        <w:t>B</w:t>
      </w:r>
      <w:r>
        <w:rPr>
          <w:color w:val="6D6E71"/>
          <w:sz w:val="24"/>
        </w:rPr>
        <w:t>.</w:t>
      </w:r>
      <w:r>
        <w:rPr>
          <w:color w:val="6D6E71"/>
          <w:spacing w:val="17"/>
          <w:sz w:val="24"/>
        </w:rPr>
        <w:t xml:space="preserve"> </w:t>
      </w:r>
      <w:proofErr w:type="gramStart"/>
      <w:r>
        <w:rPr>
          <w:color w:val="6D6E71"/>
          <w:spacing w:val="1"/>
          <w:sz w:val="24"/>
        </w:rPr>
        <w:t>V</w:t>
      </w:r>
      <w:r>
        <w:rPr>
          <w:color w:val="6D6E71"/>
          <w:spacing w:val="1"/>
          <w:w w:val="160"/>
          <w:sz w:val="17"/>
        </w:rPr>
        <w:t>a</w:t>
      </w:r>
      <w:r>
        <w:rPr>
          <w:color w:val="6D6E71"/>
          <w:w w:val="142"/>
          <w:sz w:val="17"/>
        </w:rPr>
        <w:t>n</w:t>
      </w:r>
      <w:r>
        <w:rPr>
          <w:color w:val="6D6E71"/>
          <w:sz w:val="17"/>
        </w:rPr>
        <w:t xml:space="preserve"> </w:t>
      </w:r>
      <w:r>
        <w:rPr>
          <w:color w:val="6D6E71"/>
          <w:spacing w:val="-8"/>
          <w:sz w:val="17"/>
        </w:rPr>
        <w:t xml:space="preserve"> </w:t>
      </w:r>
      <w:r>
        <w:rPr>
          <w:color w:val="6D6E71"/>
          <w:spacing w:val="1"/>
          <w:sz w:val="24"/>
        </w:rPr>
        <w:t>C</w:t>
      </w:r>
      <w:r>
        <w:rPr>
          <w:color w:val="6D6E71"/>
          <w:spacing w:val="1"/>
          <w:w w:val="160"/>
          <w:sz w:val="17"/>
        </w:rPr>
        <w:t>a</w:t>
      </w:r>
      <w:r>
        <w:rPr>
          <w:color w:val="6D6E71"/>
          <w:spacing w:val="1"/>
          <w:w w:val="217"/>
          <w:sz w:val="17"/>
        </w:rPr>
        <w:t>l</w:t>
      </w:r>
      <w:r>
        <w:rPr>
          <w:color w:val="6D6E71"/>
          <w:spacing w:val="1"/>
          <w:w w:val="141"/>
          <w:sz w:val="17"/>
        </w:rPr>
        <w:t>s</w:t>
      </w:r>
      <w:r>
        <w:rPr>
          <w:color w:val="6D6E71"/>
          <w:spacing w:val="1"/>
          <w:w w:val="217"/>
          <w:sz w:val="17"/>
        </w:rPr>
        <w:t>t</w:t>
      </w:r>
      <w:r>
        <w:rPr>
          <w:color w:val="6D6E71"/>
          <w:spacing w:val="1"/>
          <w:w w:val="136"/>
          <w:sz w:val="17"/>
        </w:rPr>
        <w:t>e</w:t>
      </w:r>
      <w:r>
        <w:rPr>
          <w:color w:val="6D6E71"/>
          <w:spacing w:val="1"/>
          <w:w w:val="197"/>
          <w:sz w:val="17"/>
        </w:rPr>
        <w:t>r</w:t>
      </w:r>
      <w:r>
        <w:rPr>
          <w:color w:val="6D6E71"/>
          <w:w w:val="92"/>
          <w:sz w:val="17"/>
          <w:vertAlign w:val="superscript"/>
        </w:rPr>
        <w:t>1</w:t>
      </w:r>
      <w:proofErr w:type="gramEnd"/>
      <w:r>
        <w:rPr>
          <w:color w:val="6D6E71"/>
          <w:w w:val="92"/>
          <w:sz w:val="17"/>
          <w:vertAlign w:val="superscript"/>
        </w:rPr>
        <w:t>,*</w:t>
      </w:r>
      <w:r>
        <w:rPr>
          <w:color w:val="6D6E71"/>
          <w:sz w:val="24"/>
        </w:rPr>
        <w:t>,</w:t>
      </w:r>
      <w:r>
        <w:rPr>
          <w:color w:val="6D6E71"/>
          <w:spacing w:val="17"/>
          <w:sz w:val="24"/>
        </w:rPr>
        <w:t xml:space="preserve"> </w:t>
      </w:r>
      <w:r>
        <w:rPr>
          <w:color w:val="6D6E71"/>
          <w:spacing w:val="1"/>
          <w:sz w:val="24"/>
        </w:rPr>
        <w:t>K</w:t>
      </w:r>
      <w:r>
        <w:rPr>
          <w:color w:val="6D6E71"/>
          <w:sz w:val="24"/>
        </w:rPr>
        <w:t>.</w:t>
      </w:r>
      <w:r>
        <w:rPr>
          <w:color w:val="6D6E71"/>
          <w:spacing w:val="17"/>
          <w:sz w:val="24"/>
        </w:rPr>
        <w:t xml:space="preserve"> </w:t>
      </w:r>
      <w:r>
        <w:rPr>
          <w:color w:val="6D6E71"/>
          <w:spacing w:val="1"/>
          <w:sz w:val="24"/>
        </w:rPr>
        <w:t>V</w:t>
      </w:r>
      <w:r>
        <w:rPr>
          <w:color w:val="6D6E71"/>
          <w:spacing w:val="1"/>
          <w:w w:val="160"/>
          <w:sz w:val="17"/>
        </w:rPr>
        <w:t>a</w:t>
      </w:r>
      <w:r>
        <w:rPr>
          <w:color w:val="6D6E71"/>
          <w:w w:val="142"/>
          <w:sz w:val="17"/>
        </w:rPr>
        <w:t>n</w:t>
      </w:r>
      <w:r>
        <w:rPr>
          <w:color w:val="6D6E71"/>
          <w:sz w:val="17"/>
        </w:rPr>
        <w:t xml:space="preserve"> </w:t>
      </w:r>
      <w:r>
        <w:rPr>
          <w:color w:val="6D6E71"/>
          <w:spacing w:val="-8"/>
          <w:sz w:val="17"/>
        </w:rPr>
        <w:t xml:space="preserve"> </w:t>
      </w:r>
      <w:r>
        <w:rPr>
          <w:color w:val="6D6E71"/>
          <w:spacing w:val="1"/>
          <w:sz w:val="24"/>
        </w:rPr>
        <w:t>H</w:t>
      </w:r>
      <w:r>
        <w:rPr>
          <w:color w:val="6D6E71"/>
          <w:spacing w:val="1"/>
          <w:w w:val="142"/>
          <w:sz w:val="17"/>
        </w:rPr>
        <w:t>oo</w:t>
      </w:r>
      <w:r>
        <w:rPr>
          <w:color w:val="6D6E71"/>
          <w:spacing w:val="1"/>
          <w:w w:val="197"/>
          <w:sz w:val="17"/>
        </w:rPr>
        <w:t>r</w:t>
      </w:r>
      <w:r>
        <w:rPr>
          <w:color w:val="6D6E71"/>
          <w:spacing w:val="1"/>
          <w:w w:val="142"/>
          <w:sz w:val="17"/>
        </w:rPr>
        <w:t>d</w:t>
      </w:r>
      <w:r>
        <w:rPr>
          <w:color w:val="6D6E71"/>
          <w:spacing w:val="1"/>
          <w:w w:val="136"/>
          <w:sz w:val="17"/>
        </w:rPr>
        <w:t>e</w:t>
      </w:r>
      <w:r>
        <w:rPr>
          <w:color w:val="6D6E71"/>
          <w:w w:val="92"/>
          <w:sz w:val="17"/>
          <w:vertAlign w:val="superscript"/>
        </w:rPr>
        <w:t>2,3,*</w:t>
      </w:r>
      <w:r>
        <w:rPr>
          <w:color w:val="6D6E71"/>
          <w:sz w:val="24"/>
        </w:rPr>
        <w:t>,</w:t>
      </w:r>
      <w:r>
        <w:rPr>
          <w:color w:val="6D6E71"/>
          <w:spacing w:val="17"/>
          <w:sz w:val="24"/>
        </w:rPr>
        <w:t xml:space="preserve"> </w:t>
      </w:r>
      <w:r>
        <w:rPr>
          <w:color w:val="6D6E71"/>
          <w:spacing w:val="1"/>
          <w:sz w:val="24"/>
        </w:rPr>
        <w:t>W</w:t>
      </w:r>
      <w:r>
        <w:rPr>
          <w:color w:val="6D6E71"/>
          <w:sz w:val="24"/>
        </w:rPr>
        <w:t>.</w:t>
      </w:r>
      <w:r>
        <w:rPr>
          <w:color w:val="6D6E71"/>
          <w:spacing w:val="17"/>
          <w:sz w:val="24"/>
        </w:rPr>
        <w:t xml:space="preserve"> </w:t>
      </w:r>
      <w:r>
        <w:rPr>
          <w:color w:val="6D6E71"/>
          <w:spacing w:val="1"/>
          <w:sz w:val="24"/>
        </w:rPr>
        <w:t>F</w:t>
      </w:r>
      <w:r>
        <w:rPr>
          <w:color w:val="6D6E71"/>
          <w:spacing w:val="1"/>
          <w:w w:val="197"/>
          <w:sz w:val="17"/>
        </w:rPr>
        <w:t>r</w:t>
      </w:r>
      <w:r>
        <w:rPr>
          <w:color w:val="6D6E71"/>
          <w:spacing w:val="1"/>
          <w:w w:val="142"/>
          <w:sz w:val="17"/>
        </w:rPr>
        <w:t>oy</w:t>
      </w:r>
      <w:r>
        <w:rPr>
          <w:color w:val="6D6E71"/>
          <w:spacing w:val="1"/>
          <w:w w:val="112"/>
          <w:sz w:val="17"/>
        </w:rPr>
        <w:t>m</w:t>
      </w:r>
      <w:r>
        <w:rPr>
          <w:color w:val="6D6E71"/>
          <w:spacing w:val="1"/>
          <w:w w:val="160"/>
          <w:sz w:val="17"/>
        </w:rPr>
        <w:t>a</w:t>
      </w:r>
      <w:r>
        <w:rPr>
          <w:color w:val="6D6E71"/>
          <w:spacing w:val="1"/>
          <w:w w:val="142"/>
          <w:sz w:val="17"/>
        </w:rPr>
        <w:t>n</w:t>
      </w:r>
      <w:r>
        <w:rPr>
          <w:color w:val="6D6E71"/>
          <w:w w:val="92"/>
          <w:sz w:val="17"/>
          <w:vertAlign w:val="superscript"/>
        </w:rPr>
        <w:t>1,4</w:t>
      </w:r>
      <w:r>
        <w:rPr>
          <w:color w:val="6D6E71"/>
          <w:sz w:val="24"/>
        </w:rPr>
        <w:t>,</w:t>
      </w:r>
      <w:r>
        <w:rPr>
          <w:color w:val="6D6E71"/>
          <w:spacing w:val="17"/>
          <w:sz w:val="24"/>
        </w:rPr>
        <w:t xml:space="preserve"> </w:t>
      </w:r>
      <w:r>
        <w:rPr>
          <w:color w:val="6D6E71"/>
          <w:spacing w:val="1"/>
          <w:sz w:val="24"/>
        </w:rPr>
        <w:t>J</w:t>
      </w:r>
      <w:r>
        <w:rPr>
          <w:color w:val="6D6E71"/>
          <w:sz w:val="24"/>
        </w:rPr>
        <w:t>.</w:t>
      </w:r>
      <w:r>
        <w:rPr>
          <w:color w:val="6D6E71"/>
          <w:spacing w:val="17"/>
          <w:sz w:val="24"/>
        </w:rPr>
        <w:t xml:space="preserve"> </w:t>
      </w:r>
      <w:r>
        <w:rPr>
          <w:color w:val="6D6E71"/>
          <w:spacing w:val="1"/>
          <w:sz w:val="24"/>
        </w:rPr>
        <w:t>K</w:t>
      </w:r>
      <w:r>
        <w:rPr>
          <w:color w:val="6D6E71"/>
          <w:spacing w:val="1"/>
          <w:w w:val="160"/>
          <w:sz w:val="17"/>
        </w:rPr>
        <w:t>a</w:t>
      </w:r>
      <w:r>
        <w:rPr>
          <w:color w:val="6D6E71"/>
          <w:spacing w:val="1"/>
          <w:w w:val="118"/>
          <w:sz w:val="17"/>
        </w:rPr>
        <w:t>i</w:t>
      </w:r>
      <w:r>
        <w:rPr>
          <w:color w:val="6D6E71"/>
          <w:spacing w:val="1"/>
          <w:w w:val="98"/>
          <w:sz w:val="17"/>
        </w:rPr>
        <w:t>J</w:t>
      </w:r>
      <w:r>
        <w:rPr>
          <w:color w:val="6D6E71"/>
          <w:spacing w:val="1"/>
          <w:w w:val="141"/>
          <w:sz w:val="17"/>
        </w:rPr>
        <w:t>s</w:t>
      </w:r>
      <w:r>
        <w:rPr>
          <w:color w:val="6D6E71"/>
          <w:spacing w:val="1"/>
          <w:w w:val="136"/>
          <w:sz w:val="17"/>
        </w:rPr>
        <w:t>e</w:t>
      </w:r>
      <w:r>
        <w:rPr>
          <w:color w:val="6D6E71"/>
          <w:spacing w:val="1"/>
          <w:w w:val="197"/>
          <w:sz w:val="17"/>
        </w:rPr>
        <w:t>r</w:t>
      </w:r>
      <w:r>
        <w:rPr>
          <w:color w:val="6D6E71"/>
          <w:w w:val="92"/>
          <w:sz w:val="17"/>
          <w:vertAlign w:val="superscript"/>
        </w:rPr>
        <w:t>1,4</w:t>
      </w:r>
      <w:r>
        <w:rPr>
          <w:color w:val="6D6E71"/>
          <w:sz w:val="24"/>
        </w:rPr>
        <w:t>,</w:t>
      </w:r>
      <w:r>
        <w:rPr>
          <w:color w:val="6D6E71"/>
          <w:spacing w:val="17"/>
          <w:sz w:val="24"/>
        </w:rPr>
        <w:t xml:space="preserve"> </w:t>
      </w:r>
      <w:r>
        <w:rPr>
          <w:color w:val="6D6E71"/>
          <w:spacing w:val="1"/>
          <w:w w:val="219"/>
          <w:sz w:val="24"/>
        </w:rPr>
        <w:t>l</w:t>
      </w:r>
      <w:r>
        <w:rPr>
          <w:color w:val="6D6E71"/>
          <w:sz w:val="24"/>
        </w:rPr>
        <w:t>.</w:t>
      </w:r>
      <w:r>
        <w:rPr>
          <w:color w:val="6D6E71"/>
          <w:spacing w:val="17"/>
          <w:sz w:val="24"/>
        </w:rPr>
        <w:t xml:space="preserve"> </w:t>
      </w:r>
      <w:r>
        <w:rPr>
          <w:color w:val="6D6E71"/>
          <w:spacing w:val="1"/>
          <w:sz w:val="24"/>
        </w:rPr>
        <w:t>W</w:t>
      </w:r>
      <w:r>
        <w:rPr>
          <w:color w:val="6D6E71"/>
          <w:spacing w:val="1"/>
          <w:w w:val="142"/>
          <w:sz w:val="17"/>
        </w:rPr>
        <w:t>yn</w:t>
      </w:r>
      <w:r>
        <w:rPr>
          <w:color w:val="6D6E71"/>
          <w:spacing w:val="1"/>
          <w:w w:val="160"/>
          <w:sz w:val="17"/>
        </w:rPr>
        <w:t>a</w:t>
      </w:r>
      <w:r>
        <w:rPr>
          <w:color w:val="6D6E71"/>
          <w:spacing w:val="1"/>
          <w:w w:val="142"/>
          <w:sz w:val="17"/>
        </w:rPr>
        <w:t>n</w:t>
      </w:r>
      <w:r>
        <w:rPr>
          <w:color w:val="6D6E71"/>
          <w:spacing w:val="1"/>
          <w:w w:val="217"/>
          <w:sz w:val="17"/>
        </w:rPr>
        <w:t>t</w:t>
      </w:r>
      <w:r>
        <w:rPr>
          <w:color w:val="6D6E71"/>
          <w:spacing w:val="1"/>
          <w:w w:val="141"/>
          <w:sz w:val="17"/>
        </w:rPr>
        <w:t>s</w:t>
      </w:r>
      <w:r>
        <w:rPr>
          <w:color w:val="6D6E71"/>
          <w:w w:val="92"/>
          <w:sz w:val="17"/>
          <w:vertAlign w:val="superscript"/>
        </w:rPr>
        <w:t>2,3</w:t>
      </w:r>
      <w:r>
        <w:rPr>
          <w:color w:val="6D6E71"/>
          <w:sz w:val="24"/>
        </w:rPr>
        <w:t>,</w:t>
      </w:r>
      <w:r>
        <w:rPr>
          <w:color w:val="6D6E71"/>
          <w:spacing w:val="17"/>
          <w:sz w:val="24"/>
        </w:rPr>
        <w:t xml:space="preserve"> </w:t>
      </w:r>
      <w:r>
        <w:rPr>
          <w:color w:val="6D6E71"/>
          <w:spacing w:val="1"/>
          <w:sz w:val="24"/>
        </w:rPr>
        <w:t>C</w:t>
      </w:r>
      <w:r>
        <w:rPr>
          <w:color w:val="6D6E71"/>
          <w:sz w:val="24"/>
        </w:rPr>
        <w:t>.</w:t>
      </w:r>
      <w:r>
        <w:rPr>
          <w:color w:val="6D6E71"/>
          <w:spacing w:val="17"/>
          <w:sz w:val="24"/>
        </w:rPr>
        <w:t xml:space="preserve"> </w:t>
      </w:r>
      <w:r>
        <w:rPr>
          <w:color w:val="6D6E71"/>
          <w:spacing w:val="1"/>
          <w:w w:val="219"/>
          <w:sz w:val="24"/>
        </w:rPr>
        <w:t>l</w:t>
      </w:r>
      <w:r>
        <w:rPr>
          <w:color w:val="6D6E71"/>
          <w:spacing w:val="1"/>
          <w:w w:val="160"/>
          <w:sz w:val="17"/>
        </w:rPr>
        <w:t>a</w:t>
      </w:r>
      <w:r>
        <w:rPr>
          <w:color w:val="6D6E71"/>
          <w:spacing w:val="1"/>
          <w:w w:val="142"/>
          <w:sz w:val="17"/>
        </w:rPr>
        <w:t>ndo</w:t>
      </w:r>
      <w:r>
        <w:rPr>
          <w:color w:val="6D6E71"/>
          <w:spacing w:val="1"/>
          <w:w w:val="217"/>
          <w:sz w:val="17"/>
        </w:rPr>
        <w:t>l</w:t>
      </w:r>
      <w:r>
        <w:rPr>
          <w:color w:val="6D6E71"/>
          <w:spacing w:val="1"/>
          <w:w w:val="98"/>
          <w:sz w:val="17"/>
        </w:rPr>
        <w:t>F</w:t>
      </w:r>
      <w:r>
        <w:rPr>
          <w:color w:val="6D6E71"/>
          <w:spacing w:val="1"/>
          <w:w w:val="142"/>
          <w:sz w:val="17"/>
        </w:rPr>
        <w:t>o</w:t>
      </w:r>
      <w:r>
        <w:rPr>
          <w:color w:val="6D6E71"/>
          <w:w w:val="92"/>
          <w:sz w:val="17"/>
          <w:vertAlign w:val="superscript"/>
        </w:rPr>
        <w:t>1,4</w:t>
      </w:r>
      <w:r>
        <w:rPr>
          <w:color w:val="6D6E71"/>
          <w:sz w:val="24"/>
        </w:rPr>
        <w:t>,</w:t>
      </w:r>
    </w:p>
    <w:p w:rsidR="00966BA7" w:rsidRDefault="00F255A2">
      <w:pPr>
        <w:spacing w:line="268" w:lineRule="exact"/>
        <w:ind w:left="170"/>
        <w:rPr>
          <w:sz w:val="17"/>
        </w:rPr>
      </w:pPr>
      <w:r>
        <w:rPr>
          <w:color w:val="6D6E71"/>
          <w:sz w:val="24"/>
        </w:rPr>
        <w:t xml:space="preserve">C. </w:t>
      </w:r>
      <w:r>
        <w:rPr>
          <w:color w:val="6D6E71"/>
          <w:w w:val="162"/>
          <w:sz w:val="24"/>
        </w:rPr>
        <w:t>a</w:t>
      </w:r>
      <w:r>
        <w:rPr>
          <w:color w:val="6D6E71"/>
          <w:spacing w:val="-1"/>
          <w:w w:val="169"/>
          <w:sz w:val="17"/>
        </w:rPr>
        <w:t>nt</w:t>
      </w:r>
      <w:r>
        <w:rPr>
          <w:color w:val="6D6E71"/>
          <w:spacing w:val="-1"/>
          <w:w w:val="98"/>
          <w:sz w:val="17"/>
        </w:rPr>
        <w:t>H</w:t>
      </w:r>
      <w:r>
        <w:rPr>
          <w:color w:val="6D6E71"/>
          <w:spacing w:val="-1"/>
          <w:w w:val="159"/>
          <w:sz w:val="17"/>
        </w:rPr>
        <w:t>oula</w:t>
      </w:r>
      <w:r>
        <w:rPr>
          <w:color w:val="6D6E71"/>
          <w:spacing w:val="-1"/>
          <w:w w:val="98"/>
          <w:sz w:val="17"/>
        </w:rPr>
        <w:t>K</w:t>
      </w:r>
      <w:r>
        <w:rPr>
          <w:color w:val="6D6E71"/>
          <w:w w:val="131"/>
          <w:sz w:val="17"/>
        </w:rPr>
        <w:t>is</w:t>
      </w:r>
      <w:r>
        <w:rPr>
          <w:color w:val="6D6E71"/>
          <w:w w:val="92"/>
          <w:sz w:val="17"/>
          <w:vertAlign w:val="superscript"/>
        </w:rPr>
        <w:t>1</w:t>
      </w:r>
      <w:proofErr w:type="gramStart"/>
      <w:r>
        <w:rPr>
          <w:color w:val="6D6E71"/>
          <w:w w:val="92"/>
          <w:sz w:val="17"/>
          <w:vertAlign w:val="superscript"/>
        </w:rPr>
        <w:t>,4</w:t>
      </w:r>
      <w:proofErr w:type="gramEnd"/>
      <w:r>
        <w:rPr>
          <w:color w:val="6D6E71"/>
          <w:sz w:val="24"/>
        </w:rPr>
        <w:t xml:space="preserve">, </w:t>
      </w:r>
      <w:r>
        <w:rPr>
          <w:color w:val="6D6E71"/>
          <w:w w:val="119"/>
          <w:sz w:val="24"/>
        </w:rPr>
        <w:t>i</w:t>
      </w:r>
      <w:r>
        <w:rPr>
          <w:color w:val="6D6E71"/>
          <w:sz w:val="24"/>
        </w:rPr>
        <w:t>. V</w:t>
      </w:r>
      <w:r>
        <w:rPr>
          <w:color w:val="6D6E71"/>
          <w:w w:val="155"/>
          <w:sz w:val="17"/>
        </w:rPr>
        <w:t>ergot</w:t>
      </w:r>
      <w:r>
        <w:rPr>
          <w:color w:val="6D6E71"/>
          <w:spacing w:val="-1"/>
          <w:w w:val="155"/>
          <w:sz w:val="17"/>
        </w:rPr>
        <w:t>e</w:t>
      </w:r>
      <w:r>
        <w:rPr>
          <w:color w:val="6D6E71"/>
          <w:w w:val="92"/>
          <w:sz w:val="17"/>
          <w:vertAlign w:val="superscript"/>
        </w:rPr>
        <w:t>4,5</w:t>
      </w:r>
      <w:r>
        <w:rPr>
          <w:color w:val="6D6E71"/>
          <w:sz w:val="24"/>
        </w:rPr>
        <w:t xml:space="preserve">, </w:t>
      </w:r>
      <w:r>
        <w:rPr>
          <w:color w:val="6D6E71"/>
          <w:w w:val="219"/>
          <w:sz w:val="24"/>
        </w:rPr>
        <w:t>t</w:t>
      </w:r>
      <w:r>
        <w:rPr>
          <w:color w:val="6D6E71"/>
          <w:sz w:val="24"/>
        </w:rPr>
        <w:t xml:space="preserve">. </w:t>
      </w:r>
      <w:r>
        <w:rPr>
          <w:color w:val="6D6E71"/>
          <w:spacing w:val="-1"/>
          <w:sz w:val="24"/>
        </w:rPr>
        <w:t>B</w:t>
      </w:r>
      <w:r>
        <w:rPr>
          <w:color w:val="6D6E71"/>
          <w:spacing w:val="-1"/>
          <w:w w:val="149"/>
          <w:sz w:val="17"/>
        </w:rPr>
        <w:t>ourn</w:t>
      </w:r>
      <w:r>
        <w:rPr>
          <w:color w:val="6D6E71"/>
          <w:w w:val="149"/>
          <w:sz w:val="17"/>
        </w:rPr>
        <w:t>e</w:t>
      </w:r>
      <w:r>
        <w:rPr>
          <w:color w:val="6D6E71"/>
          <w:w w:val="92"/>
          <w:sz w:val="17"/>
          <w:vertAlign w:val="superscript"/>
        </w:rPr>
        <w:t>1,4,6</w:t>
      </w:r>
      <w:r>
        <w:rPr>
          <w:color w:val="6D6E71"/>
          <w:sz w:val="24"/>
        </w:rPr>
        <w:t xml:space="preserve">, </w:t>
      </w:r>
      <w:r>
        <w:rPr>
          <w:color w:val="6D6E71"/>
          <w:spacing w:val="-1"/>
          <w:w w:val="144"/>
          <w:sz w:val="24"/>
        </w:rPr>
        <w:t>d</w:t>
      </w:r>
      <w:r>
        <w:rPr>
          <w:color w:val="6D6E71"/>
          <w:sz w:val="24"/>
        </w:rPr>
        <w:t xml:space="preserve">. </w:t>
      </w:r>
      <w:r>
        <w:rPr>
          <w:color w:val="6D6E71"/>
          <w:w w:val="219"/>
          <w:sz w:val="24"/>
        </w:rPr>
        <w:t>t</w:t>
      </w:r>
      <w:r>
        <w:rPr>
          <w:color w:val="6D6E71"/>
          <w:w w:val="130"/>
          <w:sz w:val="17"/>
        </w:rPr>
        <w:t>immerman</w:t>
      </w:r>
      <w:r>
        <w:rPr>
          <w:color w:val="6D6E71"/>
          <w:w w:val="92"/>
          <w:sz w:val="17"/>
          <w:vertAlign w:val="superscript"/>
        </w:rPr>
        <w:t>1,4</w:t>
      </w:r>
    </w:p>
    <w:p w:rsidR="00966BA7" w:rsidRDefault="00966BA7">
      <w:pPr>
        <w:pStyle w:val="BodyText"/>
        <w:spacing w:before="8"/>
      </w:pPr>
    </w:p>
    <w:p w:rsidR="00966BA7" w:rsidRDefault="00F255A2">
      <w:pPr>
        <w:spacing w:line="249" w:lineRule="auto"/>
        <w:ind w:left="170" w:right="110"/>
        <w:jc w:val="both"/>
        <w:rPr>
          <w:i/>
          <w:sz w:val="20"/>
        </w:rPr>
      </w:pPr>
      <w:r>
        <w:rPr>
          <w:i/>
          <w:color w:val="231F20"/>
          <w:position w:val="7"/>
          <w:sz w:val="10"/>
        </w:rPr>
        <w:t>1</w:t>
      </w:r>
      <w:r>
        <w:rPr>
          <w:i/>
          <w:color w:val="231F20"/>
          <w:sz w:val="20"/>
        </w:rPr>
        <w:t xml:space="preserve">KU Leuven, Department of Development &amp; Regeneration, 3000 Leuven, Belgium; </w:t>
      </w:r>
      <w:r>
        <w:rPr>
          <w:i/>
          <w:color w:val="231F20"/>
          <w:position w:val="7"/>
          <w:sz w:val="10"/>
        </w:rPr>
        <w:t>2</w:t>
      </w:r>
      <w:r>
        <w:rPr>
          <w:i/>
          <w:color w:val="231F20"/>
          <w:sz w:val="20"/>
        </w:rPr>
        <w:t>KU Leuven, Department of Electri- cal</w:t>
      </w:r>
      <w:r>
        <w:rPr>
          <w:i/>
          <w:color w:val="231F20"/>
          <w:spacing w:val="-9"/>
          <w:sz w:val="20"/>
        </w:rPr>
        <w:t xml:space="preserve"> </w:t>
      </w:r>
      <w:r>
        <w:rPr>
          <w:i/>
          <w:color w:val="231F20"/>
          <w:sz w:val="20"/>
        </w:rPr>
        <w:t>Engineering</w:t>
      </w:r>
      <w:r>
        <w:rPr>
          <w:i/>
          <w:color w:val="231F20"/>
          <w:spacing w:val="-8"/>
          <w:sz w:val="20"/>
        </w:rPr>
        <w:t xml:space="preserve"> </w:t>
      </w:r>
      <w:r>
        <w:rPr>
          <w:i/>
          <w:color w:val="231F20"/>
          <w:sz w:val="20"/>
        </w:rPr>
        <w:t>(ESAT),</w:t>
      </w:r>
      <w:r>
        <w:rPr>
          <w:i/>
          <w:color w:val="231F20"/>
          <w:spacing w:val="-8"/>
          <w:sz w:val="20"/>
        </w:rPr>
        <w:t xml:space="preserve"> </w:t>
      </w:r>
      <w:r>
        <w:rPr>
          <w:i/>
          <w:color w:val="231F20"/>
          <w:sz w:val="20"/>
        </w:rPr>
        <w:t>STADIUS</w:t>
      </w:r>
      <w:r>
        <w:rPr>
          <w:i/>
          <w:color w:val="231F20"/>
          <w:spacing w:val="-8"/>
          <w:sz w:val="20"/>
        </w:rPr>
        <w:t xml:space="preserve"> </w:t>
      </w:r>
      <w:r>
        <w:rPr>
          <w:i/>
          <w:color w:val="231F20"/>
          <w:sz w:val="20"/>
        </w:rPr>
        <w:t>Center</w:t>
      </w:r>
      <w:r>
        <w:rPr>
          <w:i/>
          <w:color w:val="231F20"/>
          <w:spacing w:val="-9"/>
          <w:sz w:val="20"/>
        </w:rPr>
        <w:t xml:space="preserve"> </w:t>
      </w:r>
      <w:r>
        <w:rPr>
          <w:i/>
          <w:color w:val="231F20"/>
          <w:sz w:val="20"/>
        </w:rPr>
        <w:t>for</w:t>
      </w:r>
      <w:r>
        <w:rPr>
          <w:i/>
          <w:color w:val="231F20"/>
          <w:spacing w:val="-8"/>
          <w:sz w:val="20"/>
        </w:rPr>
        <w:t xml:space="preserve"> </w:t>
      </w:r>
      <w:r>
        <w:rPr>
          <w:i/>
          <w:color w:val="231F20"/>
          <w:sz w:val="20"/>
        </w:rPr>
        <w:t>Dynamical</w:t>
      </w:r>
      <w:r>
        <w:rPr>
          <w:i/>
          <w:color w:val="231F20"/>
          <w:spacing w:val="-8"/>
          <w:sz w:val="20"/>
        </w:rPr>
        <w:t xml:space="preserve"> </w:t>
      </w:r>
      <w:r>
        <w:rPr>
          <w:i/>
          <w:color w:val="231F20"/>
          <w:sz w:val="20"/>
        </w:rPr>
        <w:t>Systems,</w:t>
      </w:r>
      <w:r>
        <w:rPr>
          <w:i/>
          <w:color w:val="231F20"/>
          <w:spacing w:val="-8"/>
          <w:sz w:val="20"/>
        </w:rPr>
        <w:t xml:space="preserve"> </w:t>
      </w:r>
      <w:r>
        <w:rPr>
          <w:i/>
          <w:color w:val="231F20"/>
          <w:sz w:val="20"/>
        </w:rPr>
        <w:t>Signal</w:t>
      </w:r>
      <w:r>
        <w:rPr>
          <w:i/>
          <w:color w:val="231F20"/>
          <w:spacing w:val="-8"/>
          <w:sz w:val="20"/>
        </w:rPr>
        <w:t xml:space="preserve"> </w:t>
      </w:r>
      <w:r>
        <w:rPr>
          <w:i/>
          <w:color w:val="231F20"/>
          <w:sz w:val="20"/>
        </w:rPr>
        <w:t>Processing,</w:t>
      </w:r>
      <w:r>
        <w:rPr>
          <w:i/>
          <w:color w:val="231F20"/>
          <w:spacing w:val="-9"/>
          <w:sz w:val="20"/>
        </w:rPr>
        <w:t xml:space="preserve"> </w:t>
      </w:r>
      <w:r>
        <w:rPr>
          <w:i/>
          <w:color w:val="231F20"/>
          <w:sz w:val="20"/>
        </w:rPr>
        <w:t>and</w:t>
      </w:r>
      <w:r>
        <w:rPr>
          <w:i/>
          <w:color w:val="231F20"/>
          <w:spacing w:val="-8"/>
          <w:sz w:val="20"/>
        </w:rPr>
        <w:t xml:space="preserve"> </w:t>
      </w:r>
      <w:r>
        <w:rPr>
          <w:i/>
          <w:color w:val="231F20"/>
          <w:sz w:val="20"/>
        </w:rPr>
        <w:t>Data</w:t>
      </w:r>
      <w:r>
        <w:rPr>
          <w:i/>
          <w:color w:val="231F20"/>
          <w:spacing w:val="-8"/>
          <w:sz w:val="20"/>
        </w:rPr>
        <w:t xml:space="preserve"> </w:t>
      </w:r>
      <w:r>
        <w:rPr>
          <w:i/>
          <w:color w:val="231F20"/>
          <w:sz w:val="20"/>
        </w:rPr>
        <w:t>Analytics,</w:t>
      </w:r>
      <w:r>
        <w:rPr>
          <w:i/>
          <w:color w:val="231F20"/>
          <w:spacing w:val="-8"/>
          <w:sz w:val="20"/>
        </w:rPr>
        <w:t xml:space="preserve"> </w:t>
      </w:r>
      <w:r>
        <w:rPr>
          <w:i/>
          <w:color w:val="231F20"/>
          <w:sz w:val="20"/>
        </w:rPr>
        <w:t>3001</w:t>
      </w:r>
      <w:r>
        <w:rPr>
          <w:i/>
          <w:color w:val="231F20"/>
          <w:spacing w:val="-8"/>
          <w:sz w:val="20"/>
        </w:rPr>
        <w:t xml:space="preserve"> </w:t>
      </w:r>
      <w:r>
        <w:rPr>
          <w:i/>
          <w:color w:val="231F20"/>
          <w:sz w:val="20"/>
        </w:rPr>
        <w:t>Leuven, Belgium;</w:t>
      </w:r>
      <w:r>
        <w:rPr>
          <w:i/>
          <w:color w:val="231F20"/>
          <w:spacing w:val="-10"/>
          <w:sz w:val="20"/>
        </w:rPr>
        <w:t xml:space="preserve"> </w:t>
      </w:r>
      <w:r>
        <w:rPr>
          <w:i/>
          <w:color w:val="231F20"/>
          <w:position w:val="7"/>
          <w:sz w:val="10"/>
        </w:rPr>
        <w:t>3</w:t>
      </w:r>
      <w:r>
        <w:rPr>
          <w:i/>
          <w:color w:val="231F20"/>
          <w:sz w:val="20"/>
        </w:rPr>
        <w:t>KU</w:t>
      </w:r>
      <w:r>
        <w:rPr>
          <w:i/>
          <w:color w:val="231F20"/>
          <w:spacing w:val="-10"/>
          <w:sz w:val="20"/>
        </w:rPr>
        <w:t xml:space="preserve"> </w:t>
      </w:r>
      <w:r>
        <w:rPr>
          <w:i/>
          <w:color w:val="231F20"/>
          <w:sz w:val="20"/>
        </w:rPr>
        <w:t>Leuven,</w:t>
      </w:r>
      <w:r>
        <w:rPr>
          <w:i/>
          <w:color w:val="231F20"/>
          <w:spacing w:val="-10"/>
          <w:sz w:val="20"/>
        </w:rPr>
        <w:t xml:space="preserve"> </w:t>
      </w:r>
      <w:r>
        <w:rPr>
          <w:i/>
          <w:color w:val="231F20"/>
          <w:sz w:val="20"/>
        </w:rPr>
        <w:t>iMinds</w:t>
      </w:r>
      <w:r>
        <w:rPr>
          <w:i/>
          <w:color w:val="231F20"/>
          <w:spacing w:val="-10"/>
          <w:sz w:val="20"/>
        </w:rPr>
        <w:t xml:space="preserve"> </w:t>
      </w:r>
      <w:r>
        <w:rPr>
          <w:i/>
          <w:color w:val="231F20"/>
          <w:sz w:val="20"/>
        </w:rPr>
        <w:t>Medical</w:t>
      </w:r>
      <w:r>
        <w:rPr>
          <w:i/>
          <w:color w:val="231F20"/>
          <w:spacing w:val="-10"/>
          <w:sz w:val="20"/>
        </w:rPr>
        <w:t xml:space="preserve"> </w:t>
      </w:r>
      <w:r>
        <w:rPr>
          <w:i/>
          <w:color w:val="231F20"/>
          <w:sz w:val="20"/>
        </w:rPr>
        <w:t>Information</w:t>
      </w:r>
      <w:r>
        <w:rPr>
          <w:i/>
          <w:color w:val="231F20"/>
          <w:spacing w:val="-10"/>
          <w:sz w:val="20"/>
        </w:rPr>
        <w:t xml:space="preserve"> </w:t>
      </w:r>
      <w:r>
        <w:rPr>
          <w:i/>
          <w:color w:val="231F20"/>
          <w:sz w:val="20"/>
        </w:rPr>
        <w:t>Technologies,</w:t>
      </w:r>
      <w:r>
        <w:rPr>
          <w:i/>
          <w:color w:val="231F20"/>
          <w:spacing w:val="-10"/>
          <w:sz w:val="20"/>
        </w:rPr>
        <w:t xml:space="preserve"> </w:t>
      </w:r>
      <w:r>
        <w:rPr>
          <w:i/>
          <w:color w:val="231F20"/>
          <w:sz w:val="20"/>
        </w:rPr>
        <w:t>3001</w:t>
      </w:r>
      <w:r>
        <w:rPr>
          <w:i/>
          <w:color w:val="231F20"/>
          <w:spacing w:val="-10"/>
          <w:sz w:val="20"/>
        </w:rPr>
        <w:t xml:space="preserve"> </w:t>
      </w:r>
      <w:r>
        <w:rPr>
          <w:i/>
          <w:color w:val="231F20"/>
          <w:sz w:val="20"/>
        </w:rPr>
        <w:t>Leuven,</w:t>
      </w:r>
      <w:r>
        <w:rPr>
          <w:i/>
          <w:color w:val="231F20"/>
          <w:spacing w:val="-10"/>
          <w:sz w:val="20"/>
        </w:rPr>
        <w:t xml:space="preserve"> </w:t>
      </w:r>
      <w:r>
        <w:rPr>
          <w:i/>
          <w:color w:val="231F20"/>
          <w:sz w:val="20"/>
        </w:rPr>
        <w:t>Belgium;</w:t>
      </w:r>
      <w:r>
        <w:rPr>
          <w:i/>
          <w:color w:val="231F20"/>
          <w:spacing w:val="-9"/>
          <w:sz w:val="20"/>
        </w:rPr>
        <w:t xml:space="preserve"> </w:t>
      </w:r>
      <w:r>
        <w:rPr>
          <w:i/>
          <w:color w:val="231F20"/>
          <w:position w:val="7"/>
          <w:sz w:val="10"/>
        </w:rPr>
        <w:t>4</w:t>
      </w:r>
      <w:r>
        <w:rPr>
          <w:i/>
          <w:color w:val="231F20"/>
          <w:sz w:val="20"/>
        </w:rPr>
        <w:t>Department</w:t>
      </w:r>
      <w:r>
        <w:rPr>
          <w:i/>
          <w:color w:val="231F20"/>
          <w:spacing w:val="-10"/>
          <w:sz w:val="20"/>
        </w:rPr>
        <w:t xml:space="preserve"> </w:t>
      </w:r>
      <w:r>
        <w:rPr>
          <w:i/>
          <w:color w:val="231F20"/>
          <w:sz w:val="20"/>
        </w:rPr>
        <w:t>of</w:t>
      </w:r>
      <w:r>
        <w:rPr>
          <w:i/>
          <w:color w:val="231F20"/>
          <w:spacing w:val="-10"/>
          <w:sz w:val="20"/>
        </w:rPr>
        <w:t xml:space="preserve"> </w:t>
      </w:r>
      <w:r>
        <w:rPr>
          <w:i/>
          <w:color w:val="231F20"/>
          <w:sz w:val="20"/>
        </w:rPr>
        <w:t>Obstetrics</w:t>
      </w:r>
      <w:r>
        <w:rPr>
          <w:i/>
          <w:color w:val="231F20"/>
          <w:spacing w:val="-10"/>
          <w:sz w:val="20"/>
        </w:rPr>
        <w:t xml:space="preserve"> </w:t>
      </w:r>
      <w:r>
        <w:rPr>
          <w:i/>
          <w:color w:val="231F20"/>
          <w:sz w:val="20"/>
        </w:rPr>
        <w:t xml:space="preserve">and Gynecology, University Hospitals Leuven, 3000 Leuven, Belgium; </w:t>
      </w:r>
      <w:r>
        <w:rPr>
          <w:i/>
          <w:color w:val="231F20"/>
          <w:position w:val="7"/>
          <w:sz w:val="10"/>
        </w:rPr>
        <w:t>5</w:t>
      </w:r>
      <w:r>
        <w:rPr>
          <w:i/>
          <w:color w:val="231F20"/>
          <w:sz w:val="20"/>
        </w:rPr>
        <w:t>KU Leuv</w:t>
      </w:r>
      <w:r>
        <w:rPr>
          <w:i/>
          <w:color w:val="231F20"/>
          <w:sz w:val="20"/>
        </w:rPr>
        <w:t xml:space="preserve">en, Department of Oncology, 3000 Leuven, Belgium; </w:t>
      </w:r>
      <w:r>
        <w:rPr>
          <w:i/>
          <w:color w:val="231F20"/>
          <w:position w:val="7"/>
          <w:sz w:val="10"/>
        </w:rPr>
        <w:t>6</w:t>
      </w:r>
      <w:r>
        <w:rPr>
          <w:i/>
          <w:color w:val="231F20"/>
          <w:sz w:val="20"/>
        </w:rPr>
        <w:t>Queen Charlotte’s &amp; Chelsea Hospital, Imperial College, London W12 0HS,</w:t>
      </w:r>
      <w:r>
        <w:rPr>
          <w:i/>
          <w:color w:val="231F20"/>
          <w:spacing w:val="-8"/>
          <w:sz w:val="20"/>
        </w:rPr>
        <w:t xml:space="preserve"> </w:t>
      </w:r>
      <w:r>
        <w:rPr>
          <w:i/>
          <w:color w:val="231F20"/>
          <w:sz w:val="20"/>
        </w:rPr>
        <w:t>UK.</w:t>
      </w:r>
    </w:p>
    <w:p w:rsidR="00966BA7" w:rsidRDefault="00F255A2">
      <w:pPr>
        <w:spacing w:before="124"/>
        <w:ind w:left="170"/>
        <w:rPr>
          <w:sz w:val="20"/>
        </w:rPr>
      </w:pPr>
      <w:r>
        <w:rPr>
          <w:color w:val="231F20"/>
          <w:sz w:val="20"/>
        </w:rPr>
        <w:t>* Joint first authors</w:t>
      </w:r>
    </w:p>
    <w:p w:rsidR="00966BA7" w:rsidRDefault="00F255A2">
      <w:pPr>
        <w:spacing w:before="10" w:line="249" w:lineRule="auto"/>
        <w:ind w:left="170"/>
        <w:rPr>
          <w:sz w:val="20"/>
        </w:rPr>
      </w:pPr>
      <w:r>
        <w:rPr>
          <w:color w:val="231F20"/>
          <w:sz w:val="20"/>
        </w:rPr>
        <w:t>Correspondence</w:t>
      </w:r>
      <w:r>
        <w:rPr>
          <w:color w:val="231F20"/>
          <w:spacing w:val="-16"/>
          <w:sz w:val="20"/>
        </w:rPr>
        <w:t xml:space="preserve"> </w:t>
      </w:r>
      <w:r>
        <w:rPr>
          <w:color w:val="231F20"/>
          <w:sz w:val="20"/>
        </w:rPr>
        <w:t>at:</w:t>
      </w:r>
      <w:r>
        <w:rPr>
          <w:color w:val="231F20"/>
          <w:spacing w:val="-14"/>
          <w:sz w:val="20"/>
        </w:rPr>
        <w:t xml:space="preserve"> </w:t>
      </w:r>
      <w:r>
        <w:rPr>
          <w:color w:val="231F20"/>
          <w:sz w:val="20"/>
        </w:rPr>
        <w:t>Ben</w:t>
      </w:r>
      <w:r>
        <w:rPr>
          <w:color w:val="231F20"/>
          <w:spacing w:val="-15"/>
          <w:sz w:val="20"/>
        </w:rPr>
        <w:t xml:space="preserve"> </w:t>
      </w:r>
      <w:r>
        <w:rPr>
          <w:color w:val="231F20"/>
          <w:sz w:val="20"/>
        </w:rPr>
        <w:t>Van</w:t>
      </w:r>
      <w:r>
        <w:rPr>
          <w:color w:val="231F20"/>
          <w:spacing w:val="-15"/>
          <w:sz w:val="20"/>
        </w:rPr>
        <w:t xml:space="preserve"> </w:t>
      </w:r>
      <w:r>
        <w:rPr>
          <w:color w:val="231F20"/>
          <w:sz w:val="20"/>
        </w:rPr>
        <w:t>Calster,</w:t>
      </w:r>
      <w:r>
        <w:rPr>
          <w:color w:val="231F20"/>
          <w:spacing w:val="-15"/>
          <w:sz w:val="20"/>
        </w:rPr>
        <w:t xml:space="preserve"> </w:t>
      </w:r>
      <w:r>
        <w:rPr>
          <w:color w:val="231F20"/>
          <w:sz w:val="20"/>
        </w:rPr>
        <w:t>KU</w:t>
      </w:r>
      <w:r>
        <w:rPr>
          <w:color w:val="231F20"/>
          <w:spacing w:val="-14"/>
          <w:sz w:val="20"/>
        </w:rPr>
        <w:t xml:space="preserve"> </w:t>
      </w:r>
      <w:r>
        <w:rPr>
          <w:color w:val="231F20"/>
          <w:sz w:val="20"/>
        </w:rPr>
        <w:t>Leuven</w:t>
      </w:r>
      <w:r>
        <w:rPr>
          <w:color w:val="231F20"/>
          <w:spacing w:val="-14"/>
          <w:sz w:val="20"/>
        </w:rPr>
        <w:t xml:space="preserve"> </w:t>
      </w:r>
      <w:r>
        <w:rPr>
          <w:color w:val="231F20"/>
          <w:sz w:val="20"/>
        </w:rPr>
        <w:t>Department</w:t>
      </w:r>
      <w:r>
        <w:rPr>
          <w:color w:val="231F20"/>
          <w:spacing w:val="-16"/>
          <w:sz w:val="20"/>
        </w:rPr>
        <w:t xml:space="preserve"> </w:t>
      </w:r>
      <w:r>
        <w:rPr>
          <w:color w:val="231F20"/>
          <w:sz w:val="20"/>
        </w:rPr>
        <w:t>of</w:t>
      </w:r>
      <w:r>
        <w:rPr>
          <w:color w:val="231F20"/>
          <w:spacing w:val="-15"/>
          <w:sz w:val="20"/>
        </w:rPr>
        <w:t xml:space="preserve"> </w:t>
      </w:r>
      <w:r>
        <w:rPr>
          <w:color w:val="231F20"/>
          <w:sz w:val="20"/>
        </w:rPr>
        <w:t>Development</w:t>
      </w:r>
      <w:r>
        <w:rPr>
          <w:color w:val="231F20"/>
          <w:spacing w:val="-14"/>
          <w:sz w:val="20"/>
        </w:rPr>
        <w:t xml:space="preserve"> </w:t>
      </w:r>
      <w:r>
        <w:rPr>
          <w:color w:val="231F20"/>
          <w:sz w:val="20"/>
        </w:rPr>
        <w:t>and</w:t>
      </w:r>
      <w:r>
        <w:rPr>
          <w:color w:val="231F20"/>
          <w:spacing w:val="-14"/>
          <w:sz w:val="20"/>
        </w:rPr>
        <w:t xml:space="preserve"> </w:t>
      </w:r>
      <w:r>
        <w:rPr>
          <w:color w:val="231F20"/>
          <w:sz w:val="20"/>
        </w:rPr>
        <w:t>Regeneration,</w:t>
      </w:r>
      <w:r>
        <w:rPr>
          <w:color w:val="231F20"/>
          <w:spacing w:val="-16"/>
          <w:sz w:val="20"/>
        </w:rPr>
        <w:t xml:space="preserve"> </w:t>
      </w:r>
      <w:r>
        <w:rPr>
          <w:color w:val="231F20"/>
          <w:sz w:val="20"/>
        </w:rPr>
        <w:t>Herestraat</w:t>
      </w:r>
      <w:r>
        <w:rPr>
          <w:color w:val="231F20"/>
          <w:spacing w:val="-15"/>
          <w:sz w:val="20"/>
        </w:rPr>
        <w:t xml:space="preserve"> </w:t>
      </w:r>
      <w:r>
        <w:rPr>
          <w:color w:val="231F20"/>
          <w:sz w:val="20"/>
        </w:rPr>
        <w:t>49</w:t>
      </w:r>
      <w:r>
        <w:rPr>
          <w:color w:val="231F20"/>
          <w:spacing w:val="-15"/>
          <w:sz w:val="20"/>
        </w:rPr>
        <w:t xml:space="preserve"> </w:t>
      </w:r>
      <w:r>
        <w:rPr>
          <w:color w:val="231F20"/>
          <w:sz w:val="20"/>
        </w:rPr>
        <w:t>box</w:t>
      </w:r>
      <w:r>
        <w:rPr>
          <w:color w:val="231F20"/>
          <w:spacing w:val="-15"/>
          <w:sz w:val="20"/>
        </w:rPr>
        <w:t xml:space="preserve"> </w:t>
      </w:r>
      <w:r>
        <w:rPr>
          <w:color w:val="231F20"/>
          <w:sz w:val="20"/>
        </w:rPr>
        <w:t>7003, 3000 Leuven, Belgium.</w:t>
      </w:r>
    </w:p>
    <w:p w:rsidR="00966BA7" w:rsidRDefault="00F255A2">
      <w:pPr>
        <w:spacing w:before="1"/>
        <w:ind w:left="170"/>
        <w:rPr>
          <w:sz w:val="20"/>
        </w:rPr>
      </w:pPr>
      <w:r>
        <w:rPr>
          <w:color w:val="231F20"/>
          <w:sz w:val="20"/>
        </w:rPr>
        <w:t>E-mail</w:t>
      </w:r>
      <w:r>
        <w:rPr>
          <w:rFonts w:ascii="Arial"/>
          <w:color w:val="231F20"/>
          <w:sz w:val="20"/>
        </w:rPr>
        <w:t xml:space="preserve">: </w:t>
      </w:r>
      <w:hyperlink r:id="rId7">
        <w:r>
          <w:rPr>
            <w:color w:val="231F20"/>
            <w:sz w:val="20"/>
          </w:rPr>
          <w:t>Ben.vancalster@med.kuleuven.be</w:t>
        </w:r>
      </w:hyperlink>
    </w:p>
    <w:p w:rsidR="00966BA7" w:rsidRDefault="00966BA7">
      <w:pPr>
        <w:pStyle w:val="BodyText"/>
        <w:rPr>
          <w:sz w:val="20"/>
        </w:rPr>
      </w:pPr>
    </w:p>
    <w:p w:rsidR="00966BA7" w:rsidRDefault="00966BA7">
      <w:pPr>
        <w:pStyle w:val="BodyText"/>
        <w:rPr>
          <w:sz w:val="20"/>
        </w:rPr>
      </w:pPr>
    </w:p>
    <w:p w:rsidR="00966BA7" w:rsidRDefault="00966BA7">
      <w:pPr>
        <w:pStyle w:val="BodyText"/>
        <w:rPr>
          <w:sz w:val="20"/>
        </w:rPr>
      </w:pPr>
    </w:p>
    <w:p w:rsidR="00966BA7" w:rsidRDefault="00F255A2">
      <w:pPr>
        <w:spacing w:before="133"/>
        <w:ind w:left="170"/>
        <w:rPr>
          <w:b/>
          <w:i/>
          <w:sz w:val="24"/>
        </w:rPr>
      </w:pPr>
      <w:r>
        <w:rPr>
          <w:b/>
          <w:i/>
          <w:color w:val="231F20"/>
          <w:w w:val="105"/>
          <w:sz w:val="24"/>
        </w:rPr>
        <w:t>Abstract</w:t>
      </w:r>
    </w:p>
    <w:p w:rsidR="00966BA7" w:rsidRDefault="00966BA7">
      <w:pPr>
        <w:pStyle w:val="BodyText"/>
        <w:rPr>
          <w:b/>
          <w:i/>
          <w:sz w:val="21"/>
        </w:rPr>
      </w:pPr>
    </w:p>
    <w:p w:rsidR="00966BA7" w:rsidRDefault="00F255A2">
      <w:pPr>
        <w:spacing w:line="249" w:lineRule="auto"/>
        <w:ind w:left="170" w:right="105"/>
        <w:jc w:val="both"/>
        <w:rPr>
          <w:b/>
          <w:sz w:val="20"/>
        </w:rPr>
      </w:pPr>
      <w:r>
        <w:rPr>
          <w:b/>
          <w:color w:val="231F20"/>
          <w:sz w:val="20"/>
        </w:rPr>
        <w:t>All</w:t>
      </w:r>
      <w:r>
        <w:rPr>
          <w:b/>
          <w:color w:val="231F20"/>
          <w:spacing w:val="-18"/>
          <w:sz w:val="20"/>
        </w:rPr>
        <w:t xml:space="preserve"> </w:t>
      </w:r>
      <w:r>
        <w:rPr>
          <w:b/>
          <w:color w:val="231F20"/>
          <w:sz w:val="20"/>
        </w:rPr>
        <w:t>gynecologists</w:t>
      </w:r>
      <w:r>
        <w:rPr>
          <w:b/>
          <w:color w:val="231F20"/>
          <w:spacing w:val="-17"/>
          <w:sz w:val="20"/>
        </w:rPr>
        <w:t xml:space="preserve"> </w:t>
      </w:r>
      <w:r>
        <w:rPr>
          <w:b/>
          <w:color w:val="231F20"/>
          <w:sz w:val="20"/>
        </w:rPr>
        <w:t>are</w:t>
      </w:r>
      <w:r>
        <w:rPr>
          <w:b/>
          <w:color w:val="231F20"/>
          <w:spacing w:val="-18"/>
          <w:sz w:val="20"/>
        </w:rPr>
        <w:t xml:space="preserve"> </w:t>
      </w:r>
      <w:r>
        <w:rPr>
          <w:b/>
          <w:color w:val="231F20"/>
          <w:sz w:val="20"/>
        </w:rPr>
        <w:t>faced</w:t>
      </w:r>
      <w:r>
        <w:rPr>
          <w:b/>
          <w:color w:val="231F20"/>
          <w:spacing w:val="-17"/>
          <w:sz w:val="20"/>
        </w:rPr>
        <w:t xml:space="preserve"> </w:t>
      </w:r>
      <w:r>
        <w:rPr>
          <w:b/>
          <w:color w:val="231F20"/>
          <w:sz w:val="20"/>
        </w:rPr>
        <w:t>with</w:t>
      </w:r>
      <w:r>
        <w:rPr>
          <w:b/>
          <w:color w:val="231F20"/>
          <w:spacing w:val="-18"/>
          <w:sz w:val="20"/>
        </w:rPr>
        <w:t xml:space="preserve"> </w:t>
      </w:r>
      <w:r>
        <w:rPr>
          <w:b/>
          <w:color w:val="231F20"/>
          <w:sz w:val="20"/>
        </w:rPr>
        <w:t>ovarian</w:t>
      </w:r>
      <w:r>
        <w:rPr>
          <w:b/>
          <w:color w:val="231F20"/>
          <w:spacing w:val="-17"/>
          <w:sz w:val="20"/>
        </w:rPr>
        <w:t xml:space="preserve"> </w:t>
      </w:r>
      <w:r>
        <w:rPr>
          <w:b/>
          <w:color w:val="231F20"/>
          <w:sz w:val="20"/>
        </w:rPr>
        <w:t>tumors</w:t>
      </w:r>
      <w:r>
        <w:rPr>
          <w:b/>
          <w:color w:val="231F20"/>
          <w:spacing w:val="-18"/>
          <w:sz w:val="20"/>
        </w:rPr>
        <w:t xml:space="preserve"> </w:t>
      </w:r>
      <w:r>
        <w:rPr>
          <w:b/>
          <w:color w:val="231F20"/>
          <w:sz w:val="20"/>
        </w:rPr>
        <w:t>on</w:t>
      </w:r>
      <w:r>
        <w:rPr>
          <w:b/>
          <w:color w:val="231F20"/>
          <w:spacing w:val="-17"/>
          <w:sz w:val="20"/>
        </w:rPr>
        <w:t xml:space="preserve"> </w:t>
      </w:r>
      <w:r>
        <w:rPr>
          <w:b/>
          <w:color w:val="231F20"/>
          <w:sz w:val="20"/>
        </w:rPr>
        <w:t>a</w:t>
      </w:r>
      <w:r>
        <w:rPr>
          <w:b/>
          <w:color w:val="231F20"/>
          <w:spacing w:val="-18"/>
          <w:sz w:val="20"/>
        </w:rPr>
        <w:t xml:space="preserve"> </w:t>
      </w:r>
      <w:r>
        <w:rPr>
          <w:b/>
          <w:color w:val="231F20"/>
          <w:sz w:val="20"/>
        </w:rPr>
        <w:t>regular</w:t>
      </w:r>
      <w:r>
        <w:rPr>
          <w:b/>
          <w:color w:val="231F20"/>
          <w:spacing w:val="-17"/>
          <w:sz w:val="20"/>
        </w:rPr>
        <w:t xml:space="preserve"> </w:t>
      </w:r>
      <w:r>
        <w:rPr>
          <w:b/>
          <w:color w:val="231F20"/>
          <w:sz w:val="20"/>
        </w:rPr>
        <w:t>basis,</w:t>
      </w:r>
      <w:r>
        <w:rPr>
          <w:b/>
          <w:color w:val="231F20"/>
          <w:spacing w:val="-17"/>
          <w:sz w:val="20"/>
        </w:rPr>
        <w:t xml:space="preserve"> </w:t>
      </w:r>
      <w:r>
        <w:rPr>
          <w:b/>
          <w:color w:val="231F20"/>
          <w:sz w:val="20"/>
        </w:rPr>
        <w:t>and</w:t>
      </w:r>
      <w:r>
        <w:rPr>
          <w:b/>
          <w:color w:val="231F20"/>
          <w:spacing w:val="-18"/>
          <w:sz w:val="20"/>
        </w:rPr>
        <w:t xml:space="preserve"> </w:t>
      </w:r>
      <w:r>
        <w:rPr>
          <w:b/>
          <w:color w:val="231F20"/>
          <w:sz w:val="20"/>
        </w:rPr>
        <w:t>the</w:t>
      </w:r>
      <w:r>
        <w:rPr>
          <w:b/>
          <w:color w:val="231F20"/>
          <w:spacing w:val="-17"/>
          <w:sz w:val="20"/>
        </w:rPr>
        <w:t xml:space="preserve"> </w:t>
      </w:r>
      <w:r>
        <w:rPr>
          <w:b/>
          <w:color w:val="231F20"/>
          <w:sz w:val="20"/>
        </w:rPr>
        <w:t>accurate</w:t>
      </w:r>
      <w:r>
        <w:rPr>
          <w:b/>
          <w:color w:val="231F20"/>
          <w:spacing w:val="-18"/>
          <w:sz w:val="20"/>
        </w:rPr>
        <w:t xml:space="preserve"> </w:t>
      </w:r>
      <w:r>
        <w:rPr>
          <w:b/>
          <w:color w:val="231F20"/>
          <w:sz w:val="20"/>
        </w:rPr>
        <w:t>preoperative</w:t>
      </w:r>
      <w:r>
        <w:rPr>
          <w:b/>
          <w:color w:val="231F20"/>
          <w:spacing w:val="-17"/>
          <w:sz w:val="20"/>
        </w:rPr>
        <w:t xml:space="preserve"> </w:t>
      </w:r>
      <w:r>
        <w:rPr>
          <w:b/>
          <w:color w:val="231F20"/>
          <w:sz w:val="20"/>
        </w:rPr>
        <w:t>diagnosis</w:t>
      </w:r>
      <w:r>
        <w:rPr>
          <w:b/>
          <w:color w:val="231F20"/>
          <w:spacing w:val="-18"/>
          <w:sz w:val="20"/>
        </w:rPr>
        <w:t xml:space="preserve"> </w:t>
      </w:r>
      <w:r>
        <w:rPr>
          <w:b/>
          <w:color w:val="231F20"/>
          <w:sz w:val="20"/>
        </w:rPr>
        <w:t>of</w:t>
      </w:r>
      <w:r>
        <w:rPr>
          <w:b/>
          <w:color w:val="231F20"/>
          <w:spacing w:val="-17"/>
          <w:sz w:val="20"/>
        </w:rPr>
        <w:t xml:space="preserve"> </w:t>
      </w:r>
      <w:r>
        <w:rPr>
          <w:b/>
          <w:color w:val="231F20"/>
          <w:sz w:val="20"/>
        </w:rPr>
        <w:t>these masses is important because appropriate management depends on the type of tumor. Recently, the International Ovarian Tumor Analysis (IOTA) consortium published the Assessment of Different NEoplasias in the adneXa (ADNEX)</w:t>
      </w:r>
      <w:r>
        <w:rPr>
          <w:b/>
          <w:color w:val="231F20"/>
          <w:spacing w:val="-26"/>
          <w:sz w:val="20"/>
        </w:rPr>
        <w:t xml:space="preserve"> </w:t>
      </w:r>
      <w:r>
        <w:rPr>
          <w:b/>
          <w:color w:val="231F20"/>
          <w:sz w:val="20"/>
        </w:rPr>
        <w:t>model,</w:t>
      </w:r>
      <w:r>
        <w:rPr>
          <w:b/>
          <w:color w:val="231F20"/>
          <w:spacing w:val="-26"/>
          <w:sz w:val="20"/>
        </w:rPr>
        <w:t xml:space="preserve"> </w:t>
      </w:r>
      <w:r>
        <w:rPr>
          <w:b/>
          <w:color w:val="231F20"/>
          <w:sz w:val="20"/>
        </w:rPr>
        <w:t>the</w:t>
      </w:r>
      <w:r>
        <w:rPr>
          <w:b/>
          <w:color w:val="231F20"/>
          <w:spacing w:val="-26"/>
          <w:sz w:val="20"/>
        </w:rPr>
        <w:t xml:space="preserve"> </w:t>
      </w:r>
      <w:r>
        <w:rPr>
          <w:b/>
          <w:color w:val="231F20"/>
          <w:sz w:val="20"/>
        </w:rPr>
        <w:t>first</w:t>
      </w:r>
      <w:r>
        <w:rPr>
          <w:b/>
          <w:color w:val="231F20"/>
          <w:spacing w:val="-26"/>
          <w:sz w:val="20"/>
        </w:rPr>
        <w:t xml:space="preserve"> </w:t>
      </w:r>
      <w:r>
        <w:rPr>
          <w:b/>
          <w:color w:val="231F20"/>
          <w:sz w:val="20"/>
        </w:rPr>
        <w:t>risk</w:t>
      </w:r>
      <w:r>
        <w:rPr>
          <w:b/>
          <w:color w:val="231F20"/>
          <w:spacing w:val="-26"/>
          <w:sz w:val="20"/>
        </w:rPr>
        <w:t xml:space="preserve"> </w:t>
      </w:r>
      <w:r>
        <w:rPr>
          <w:b/>
          <w:color w:val="231F20"/>
          <w:sz w:val="20"/>
        </w:rPr>
        <w:t>model</w:t>
      </w:r>
      <w:r>
        <w:rPr>
          <w:b/>
          <w:color w:val="231F20"/>
          <w:spacing w:val="-26"/>
          <w:sz w:val="20"/>
        </w:rPr>
        <w:t xml:space="preserve"> </w:t>
      </w:r>
      <w:r>
        <w:rPr>
          <w:b/>
          <w:color w:val="231F20"/>
          <w:sz w:val="20"/>
        </w:rPr>
        <w:t>t</w:t>
      </w:r>
      <w:r>
        <w:rPr>
          <w:b/>
          <w:color w:val="231F20"/>
          <w:sz w:val="20"/>
        </w:rPr>
        <w:t>hat</w:t>
      </w:r>
      <w:r>
        <w:rPr>
          <w:b/>
          <w:color w:val="231F20"/>
          <w:spacing w:val="-26"/>
          <w:sz w:val="20"/>
        </w:rPr>
        <w:t xml:space="preserve"> </w:t>
      </w:r>
      <w:r>
        <w:rPr>
          <w:b/>
          <w:color w:val="231F20"/>
          <w:sz w:val="20"/>
        </w:rPr>
        <w:t>differentiates</w:t>
      </w:r>
      <w:r>
        <w:rPr>
          <w:b/>
          <w:color w:val="231F20"/>
          <w:spacing w:val="-26"/>
          <w:sz w:val="20"/>
        </w:rPr>
        <w:t xml:space="preserve"> </w:t>
      </w:r>
      <w:r>
        <w:rPr>
          <w:b/>
          <w:color w:val="231F20"/>
          <w:sz w:val="20"/>
        </w:rPr>
        <w:t>between</w:t>
      </w:r>
      <w:r>
        <w:rPr>
          <w:b/>
          <w:color w:val="231F20"/>
          <w:spacing w:val="-26"/>
          <w:sz w:val="20"/>
        </w:rPr>
        <w:t xml:space="preserve"> </w:t>
      </w:r>
      <w:r>
        <w:rPr>
          <w:b/>
          <w:color w:val="231F20"/>
          <w:sz w:val="20"/>
        </w:rPr>
        <w:t>benign</w:t>
      </w:r>
      <w:r>
        <w:rPr>
          <w:b/>
          <w:color w:val="231F20"/>
          <w:spacing w:val="-26"/>
          <w:sz w:val="20"/>
        </w:rPr>
        <w:t xml:space="preserve"> </w:t>
      </w:r>
      <w:r>
        <w:rPr>
          <w:b/>
          <w:color w:val="231F20"/>
          <w:sz w:val="20"/>
        </w:rPr>
        <w:t>and</w:t>
      </w:r>
      <w:r>
        <w:rPr>
          <w:b/>
          <w:color w:val="231F20"/>
          <w:spacing w:val="-26"/>
          <w:sz w:val="20"/>
        </w:rPr>
        <w:t xml:space="preserve"> </w:t>
      </w:r>
      <w:r>
        <w:rPr>
          <w:b/>
          <w:color w:val="231F20"/>
          <w:sz w:val="20"/>
        </w:rPr>
        <w:t>four</w:t>
      </w:r>
      <w:r>
        <w:rPr>
          <w:b/>
          <w:color w:val="231F20"/>
          <w:spacing w:val="-26"/>
          <w:sz w:val="20"/>
        </w:rPr>
        <w:t xml:space="preserve"> </w:t>
      </w:r>
      <w:r>
        <w:rPr>
          <w:b/>
          <w:color w:val="231F20"/>
          <w:sz w:val="20"/>
        </w:rPr>
        <w:t>types</w:t>
      </w:r>
      <w:r>
        <w:rPr>
          <w:b/>
          <w:color w:val="231F20"/>
          <w:spacing w:val="-25"/>
          <w:sz w:val="20"/>
        </w:rPr>
        <w:t xml:space="preserve"> </w:t>
      </w:r>
      <w:r>
        <w:rPr>
          <w:b/>
          <w:color w:val="231F20"/>
          <w:sz w:val="20"/>
        </w:rPr>
        <w:t>of</w:t>
      </w:r>
      <w:r>
        <w:rPr>
          <w:b/>
          <w:color w:val="231F20"/>
          <w:spacing w:val="-26"/>
          <w:sz w:val="20"/>
        </w:rPr>
        <w:t xml:space="preserve"> </w:t>
      </w:r>
      <w:r>
        <w:rPr>
          <w:b/>
          <w:color w:val="231F20"/>
          <w:sz w:val="20"/>
        </w:rPr>
        <w:t>malignant</w:t>
      </w:r>
      <w:r>
        <w:rPr>
          <w:b/>
          <w:color w:val="231F20"/>
          <w:spacing w:val="-26"/>
          <w:sz w:val="20"/>
        </w:rPr>
        <w:t xml:space="preserve"> </w:t>
      </w:r>
      <w:r>
        <w:rPr>
          <w:b/>
          <w:color w:val="231F20"/>
          <w:sz w:val="20"/>
        </w:rPr>
        <w:t>ovarian</w:t>
      </w:r>
      <w:r>
        <w:rPr>
          <w:b/>
          <w:color w:val="231F20"/>
          <w:spacing w:val="-26"/>
          <w:sz w:val="20"/>
        </w:rPr>
        <w:t xml:space="preserve"> </w:t>
      </w:r>
      <w:r>
        <w:rPr>
          <w:b/>
          <w:color w:val="231F20"/>
          <w:sz w:val="20"/>
        </w:rPr>
        <w:t>tumors: borderline,</w:t>
      </w:r>
      <w:r>
        <w:rPr>
          <w:b/>
          <w:color w:val="231F20"/>
          <w:spacing w:val="-20"/>
          <w:sz w:val="20"/>
        </w:rPr>
        <w:t xml:space="preserve"> </w:t>
      </w:r>
      <w:r>
        <w:rPr>
          <w:b/>
          <w:color w:val="231F20"/>
          <w:sz w:val="20"/>
        </w:rPr>
        <w:t>stage</w:t>
      </w:r>
      <w:r>
        <w:rPr>
          <w:b/>
          <w:color w:val="231F20"/>
          <w:spacing w:val="-19"/>
          <w:sz w:val="20"/>
        </w:rPr>
        <w:t xml:space="preserve"> </w:t>
      </w:r>
      <w:r>
        <w:rPr>
          <w:b/>
          <w:color w:val="231F20"/>
          <w:sz w:val="20"/>
        </w:rPr>
        <w:t>I</w:t>
      </w:r>
      <w:r>
        <w:rPr>
          <w:b/>
          <w:color w:val="231F20"/>
          <w:spacing w:val="-19"/>
          <w:sz w:val="20"/>
        </w:rPr>
        <w:t xml:space="preserve"> </w:t>
      </w:r>
      <w:r>
        <w:rPr>
          <w:b/>
          <w:color w:val="231F20"/>
          <w:sz w:val="20"/>
        </w:rPr>
        <w:t>cancer,</w:t>
      </w:r>
      <w:r>
        <w:rPr>
          <w:b/>
          <w:color w:val="231F20"/>
          <w:spacing w:val="-20"/>
          <w:sz w:val="20"/>
        </w:rPr>
        <w:t xml:space="preserve"> </w:t>
      </w:r>
      <w:r>
        <w:rPr>
          <w:b/>
          <w:color w:val="231F20"/>
          <w:sz w:val="20"/>
        </w:rPr>
        <w:t>stage</w:t>
      </w:r>
      <w:r>
        <w:rPr>
          <w:b/>
          <w:color w:val="231F20"/>
          <w:spacing w:val="-19"/>
          <w:sz w:val="20"/>
        </w:rPr>
        <w:t xml:space="preserve"> </w:t>
      </w:r>
      <w:r>
        <w:rPr>
          <w:b/>
          <w:color w:val="231F20"/>
          <w:sz w:val="20"/>
        </w:rPr>
        <w:t>II-IV</w:t>
      </w:r>
      <w:r>
        <w:rPr>
          <w:b/>
          <w:color w:val="231F20"/>
          <w:spacing w:val="-19"/>
          <w:sz w:val="20"/>
        </w:rPr>
        <w:t xml:space="preserve"> </w:t>
      </w:r>
      <w:r>
        <w:rPr>
          <w:b/>
          <w:color w:val="231F20"/>
          <w:sz w:val="20"/>
        </w:rPr>
        <w:t>cancer,</w:t>
      </w:r>
      <w:r>
        <w:rPr>
          <w:b/>
          <w:color w:val="231F20"/>
          <w:spacing w:val="-20"/>
          <w:sz w:val="20"/>
        </w:rPr>
        <w:t xml:space="preserve"> </w:t>
      </w:r>
      <w:r>
        <w:rPr>
          <w:b/>
          <w:color w:val="231F20"/>
          <w:sz w:val="20"/>
        </w:rPr>
        <w:t>and</w:t>
      </w:r>
      <w:r>
        <w:rPr>
          <w:b/>
          <w:color w:val="231F20"/>
          <w:spacing w:val="-19"/>
          <w:sz w:val="20"/>
        </w:rPr>
        <w:t xml:space="preserve"> </w:t>
      </w:r>
      <w:r>
        <w:rPr>
          <w:b/>
          <w:color w:val="231F20"/>
          <w:sz w:val="20"/>
        </w:rPr>
        <w:t>secondary</w:t>
      </w:r>
      <w:r>
        <w:rPr>
          <w:b/>
          <w:color w:val="231F20"/>
          <w:spacing w:val="-19"/>
          <w:sz w:val="20"/>
        </w:rPr>
        <w:t xml:space="preserve"> </w:t>
      </w:r>
      <w:r>
        <w:rPr>
          <w:b/>
          <w:color w:val="231F20"/>
          <w:sz w:val="20"/>
        </w:rPr>
        <w:t>metastatic</w:t>
      </w:r>
      <w:r>
        <w:rPr>
          <w:b/>
          <w:color w:val="231F20"/>
          <w:spacing w:val="-20"/>
          <w:sz w:val="20"/>
        </w:rPr>
        <w:t xml:space="preserve"> </w:t>
      </w:r>
      <w:r>
        <w:rPr>
          <w:b/>
          <w:color w:val="231F20"/>
          <w:sz w:val="20"/>
        </w:rPr>
        <w:t>cancer.</w:t>
      </w:r>
      <w:r>
        <w:rPr>
          <w:b/>
          <w:color w:val="231F20"/>
          <w:spacing w:val="-19"/>
          <w:sz w:val="20"/>
        </w:rPr>
        <w:t xml:space="preserve"> </w:t>
      </w:r>
      <w:r>
        <w:rPr>
          <w:b/>
          <w:color w:val="231F20"/>
          <w:sz w:val="20"/>
        </w:rPr>
        <w:t>This</w:t>
      </w:r>
      <w:r>
        <w:rPr>
          <w:b/>
          <w:color w:val="231F20"/>
          <w:spacing w:val="-19"/>
          <w:sz w:val="20"/>
        </w:rPr>
        <w:t xml:space="preserve"> </w:t>
      </w:r>
      <w:r>
        <w:rPr>
          <w:b/>
          <w:color w:val="231F20"/>
          <w:sz w:val="20"/>
        </w:rPr>
        <w:t>approach</w:t>
      </w:r>
      <w:r>
        <w:rPr>
          <w:b/>
          <w:color w:val="231F20"/>
          <w:spacing w:val="-20"/>
          <w:sz w:val="20"/>
        </w:rPr>
        <w:t xml:space="preserve"> </w:t>
      </w:r>
      <w:r>
        <w:rPr>
          <w:b/>
          <w:color w:val="231F20"/>
          <w:sz w:val="20"/>
        </w:rPr>
        <w:t>is</w:t>
      </w:r>
      <w:r>
        <w:rPr>
          <w:b/>
          <w:color w:val="231F20"/>
          <w:spacing w:val="-19"/>
          <w:sz w:val="20"/>
        </w:rPr>
        <w:t xml:space="preserve"> </w:t>
      </w:r>
      <w:r>
        <w:rPr>
          <w:b/>
          <w:color w:val="231F20"/>
          <w:sz w:val="20"/>
        </w:rPr>
        <w:t>novel</w:t>
      </w:r>
      <w:r>
        <w:rPr>
          <w:b/>
          <w:color w:val="231F20"/>
          <w:spacing w:val="-19"/>
          <w:sz w:val="20"/>
        </w:rPr>
        <w:t xml:space="preserve"> </w:t>
      </w:r>
      <w:r>
        <w:rPr>
          <w:b/>
          <w:color w:val="231F20"/>
          <w:sz w:val="20"/>
        </w:rPr>
        <w:t>compared</w:t>
      </w:r>
      <w:r>
        <w:rPr>
          <w:b/>
          <w:color w:val="231F20"/>
          <w:spacing w:val="-20"/>
          <w:sz w:val="20"/>
        </w:rPr>
        <w:t xml:space="preserve"> </w:t>
      </w:r>
      <w:r>
        <w:rPr>
          <w:b/>
          <w:color w:val="231F20"/>
          <w:sz w:val="20"/>
        </w:rPr>
        <w:t>to existing tools that only differentiate between benign and malignant tumors, and therefore questions may arise</w:t>
      </w:r>
      <w:r>
        <w:rPr>
          <w:b/>
          <w:color w:val="231F20"/>
          <w:spacing w:val="-27"/>
          <w:sz w:val="20"/>
        </w:rPr>
        <w:t xml:space="preserve"> </w:t>
      </w:r>
      <w:r>
        <w:rPr>
          <w:b/>
          <w:color w:val="231F20"/>
          <w:sz w:val="20"/>
        </w:rPr>
        <w:t>on how ADNEX can be used in clinical practice. In the present paper, we first provide an in-depth discussion about the</w:t>
      </w:r>
      <w:r>
        <w:rPr>
          <w:b/>
          <w:color w:val="231F20"/>
          <w:spacing w:val="-17"/>
          <w:sz w:val="20"/>
        </w:rPr>
        <w:t xml:space="preserve"> </w:t>
      </w:r>
      <w:r>
        <w:rPr>
          <w:b/>
          <w:color w:val="231F20"/>
          <w:sz w:val="20"/>
        </w:rPr>
        <w:t>predictors</w:t>
      </w:r>
      <w:r>
        <w:rPr>
          <w:b/>
          <w:color w:val="231F20"/>
          <w:spacing w:val="-17"/>
          <w:sz w:val="20"/>
        </w:rPr>
        <w:t xml:space="preserve"> </w:t>
      </w:r>
      <w:r>
        <w:rPr>
          <w:b/>
          <w:color w:val="231F20"/>
          <w:sz w:val="20"/>
        </w:rPr>
        <w:t>used</w:t>
      </w:r>
      <w:r>
        <w:rPr>
          <w:b/>
          <w:color w:val="231F20"/>
          <w:spacing w:val="-17"/>
          <w:sz w:val="20"/>
        </w:rPr>
        <w:t xml:space="preserve"> </w:t>
      </w:r>
      <w:r>
        <w:rPr>
          <w:b/>
          <w:color w:val="231F20"/>
          <w:sz w:val="20"/>
        </w:rPr>
        <w:t>in</w:t>
      </w:r>
      <w:r>
        <w:rPr>
          <w:b/>
          <w:color w:val="231F20"/>
          <w:spacing w:val="-17"/>
          <w:sz w:val="20"/>
        </w:rPr>
        <w:t xml:space="preserve"> </w:t>
      </w:r>
      <w:r>
        <w:rPr>
          <w:b/>
          <w:color w:val="231F20"/>
          <w:sz w:val="20"/>
        </w:rPr>
        <w:t>ADNEX</w:t>
      </w:r>
      <w:r>
        <w:rPr>
          <w:b/>
          <w:color w:val="231F20"/>
          <w:spacing w:val="-16"/>
          <w:sz w:val="20"/>
        </w:rPr>
        <w:t xml:space="preserve"> </w:t>
      </w:r>
      <w:r>
        <w:rPr>
          <w:b/>
          <w:color w:val="231F20"/>
          <w:sz w:val="20"/>
        </w:rPr>
        <w:t>and</w:t>
      </w:r>
      <w:r>
        <w:rPr>
          <w:b/>
          <w:color w:val="231F20"/>
          <w:spacing w:val="-17"/>
          <w:sz w:val="20"/>
        </w:rPr>
        <w:t xml:space="preserve"> </w:t>
      </w:r>
      <w:r>
        <w:rPr>
          <w:b/>
          <w:color w:val="231F20"/>
          <w:sz w:val="20"/>
        </w:rPr>
        <w:t>the</w:t>
      </w:r>
      <w:r>
        <w:rPr>
          <w:b/>
          <w:color w:val="231F20"/>
          <w:spacing w:val="-17"/>
          <w:sz w:val="20"/>
        </w:rPr>
        <w:t xml:space="preserve"> </w:t>
      </w:r>
      <w:r>
        <w:rPr>
          <w:b/>
          <w:color w:val="231F20"/>
          <w:sz w:val="20"/>
        </w:rPr>
        <w:t>ability</w:t>
      </w:r>
      <w:r>
        <w:rPr>
          <w:b/>
          <w:color w:val="231F20"/>
          <w:spacing w:val="-17"/>
          <w:sz w:val="20"/>
        </w:rPr>
        <w:t xml:space="preserve"> </w:t>
      </w:r>
      <w:r>
        <w:rPr>
          <w:b/>
          <w:color w:val="231F20"/>
          <w:sz w:val="20"/>
        </w:rPr>
        <w:t>for</w:t>
      </w:r>
      <w:r>
        <w:rPr>
          <w:b/>
          <w:color w:val="231F20"/>
          <w:spacing w:val="-17"/>
          <w:sz w:val="20"/>
        </w:rPr>
        <w:t xml:space="preserve"> </w:t>
      </w:r>
      <w:r>
        <w:rPr>
          <w:b/>
          <w:color w:val="231F20"/>
          <w:sz w:val="20"/>
        </w:rPr>
        <w:t>risk</w:t>
      </w:r>
      <w:r>
        <w:rPr>
          <w:b/>
          <w:color w:val="231F20"/>
          <w:spacing w:val="-16"/>
          <w:sz w:val="20"/>
        </w:rPr>
        <w:t xml:space="preserve"> </w:t>
      </w:r>
      <w:r>
        <w:rPr>
          <w:b/>
          <w:color w:val="231F20"/>
          <w:sz w:val="20"/>
        </w:rPr>
        <w:t>prediction</w:t>
      </w:r>
      <w:r>
        <w:rPr>
          <w:b/>
          <w:color w:val="231F20"/>
          <w:spacing w:val="-17"/>
          <w:sz w:val="20"/>
        </w:rPr>
        <w:t xml:space="preserve"> </w:t>
      </w:r>
      <w:r>
        <w:rPr>
          <w:b/>
          <w:color w:val="231F20"/>
          <w:sz w:val="20"/>
        </w:rPr>
        <w:t>with</w:t>
      </w:r>
      <w:r>
        <w:rPr>
          <w:b/>
          <w:color w:val="231F20"/>
          <w:spacing w:val="-17"/>
          <w:sz w:val="20"/>
        </w:rPr>
        <w:t xml:space="preserve"> </w:t>
      </w:r>
      <w:r>
        <w:rPr>
          <w:b/>
          <w:color w:val="231F20"/>
          <w:sz w:val="20"/>
        </w:rPr>
        <w:t>different</w:t>
      </w:r>
      <w:r>
        <w:rPr>
          <w:b/>
          <w:color w:val="231F20"/>
          <w:spacing w:val="-17"/>
          <w:sz w:val="20"/>
        </w:rPr>
        <w:t xml:space="preserve"> </w:t>
      </w:r>
      <w:r>
        <w:rPr>
          <w:b/>
          <w:color w:val="231F20"/>
          <w:sz w:val="20"/>
        </w:rPr>
        <w:t>tumor</w:t>
      </w:r>
      <w:r>
        <w:rPr>
          <w:b/>
          <w:color w:val="231F20"/>
          <w:spacing w:val="-16"/>
          <w:sz w:val="20"/>
        </w:rPr>
        <w:t xml:space="preserve"> </w:t>
      </w:r>
      <w:r>
        <w:rPr>
          <w:b/>
          <w:color w:val="231F20"/>
          <w:sz w:val="20"/>
        </w:rPr>
        <w:t>histologies.</w:t>
      </w:r>
      <w:r>
        <w:rPr>
          <w:b/>
          <w:color w:val="231F20"/>
          <w:spacing w:val="-17"/>
          <w:sz w:val="20"/>
        </w:rPr>
        <w:t xml:space="preserve"> </w:t>
      </w:r>
      <w:r>
        <w:rPr>
          <w:b/>
          <w:color w:val="231F20"/>
          <w:sz w:val="20"/>
        </w:rPr>
        <w:t>Furthermore,</w:t>
      </w:r>
      <w:r>
        <w:rPr>
          <w:b/>
          <w:color w:val="231F20"/>
          <w:spacing w:val="-17"/>
          <w:sz w:val="20"/>
        </w:rPr>
        <w:t xml:space="preserve"> </w:t>
      </w:r>
      <w:r>
        <w:rPr>
          <w:b/>
          <w:color w:val="231F20"/>
          <w:sz w:val="20"/>
        </w:rPr>
        <w:t>we formulate</w:t>
      </w:r>
      <w:r>
        <w:rPr>
          <w:b/>
          <w:color w:val="231F20"/>
          <w:spacing w:val="-8"/>
          <w:sz w:val="20"/>
        </w:rPr>
        <w:t xml:space="preserve"> </w:t>
      </w:r>
      <w:r>
        <w:rPr>
          <w:b/>
          <w:color w:val="231F20"/>
          <w:sz w:val="20"/>
        </w:rPr>
        <w:t>suggestions</w:t>
      </w:r>
      <w:r>
        <w:rPr>
          <w:b/>
          <w:color w:val="231F20"/>
          <w:spacing w:val="-8"/>
          <w:sz w:val="20"/>
        </w:rPr>
        <w:t xml:space="preserve"> </w:t>
      </w:r>
      <w:r>
        <w:rPr>
          <w:b/>
          <w:color w:val="231F20"/>
          <w:sz w:val="20"/>
        </w:rPr>
        <w:t>about</w:t>
      </w:r>
      <w:r>
        <w:rPr>
          <w:b/>
          <w:color w:val="231F20"/>
          <w:spacing w:val="-8"/>
          <w:sz w:val="20"/>
        </w:rPr>
        <w:t xml:space="preserve"> </w:t>
      </w:r>
      <w:r>
        <w:rPr>
          <w:b/>
          <w:color w:val="231F20"/>
          <w:sz w:val="20"/>
        </w:rPr>
        <w:t>the</w:t>
      </w:r>
      <w:r>
        <w:rPr>
          <w:b/>
          <w:color w:val="231F20"/>
          <w:spacing w:val="-7"/>
          <w:sz w:val="20"/>
        </w:rPr>
        <w:t xml:space="preserve"> </w:t>
      </w:r>
      <w:r>
        <w:rPr>
          <w:b/>
          <w:color w:val="231F20"/>
          <w:sz w:val="20"/>
        </w:rPr>
        <w:t>selection</w:t>
      </w:r>
      <w:r>
        <w:rPr>
          <w:b/>
          <w:color w:val="231F20"/>
          <w:spacing w:val="-8"/>
          <w:sz w:val="20"/>
        </w:rPr>
        <w:t xml:space="preserve"> </w:t>
      </w:r>
      <w:r>
        <w:rPr>
          <w:b/>
          <w:color w:val="231F20"/>
          <w:sz w:val="20"/>
        </w:rPr>
        <w:t>and</w:t>
      </w:r>
      <w:r>
        <w:rPr>
          <w:b/>
          <w:color w:val="231F20"/>
          <w:spacing w:val="-8"/>
          <w:sz w:val="20"/>
        </w:rPr>
        <w:t xml:space="preserve"> </w:t>
      </w:r>
      <w:r>
        <w:rPr>
          <w:b/>
          <w:color w:val="231F20"/>
          <w:sz w:val="20"/>
        </w:rPr>
        <w:t>interpretation</w:t>
      </w:r>
      <w:r>
        <w:rPr>
          <w:b/>
          <w:color w:val="231F20"/>
          <w:spacing w:val="-7"/>
          <w:sz w:val="20"/>
        </w:rPr>
        <w:t xml:space="preserve"> </w:t>
      </w:r>
      <w:r>
        <w:rPr>
          <w:b/>
          <w:color w:val="231F20"/>
          <w:sz w:val="20"/>
        </w:rPr>
        <w:t>of</w:t>
      </w:r>
      <w:r>
        <w:rPr>
          <w:b/>
          <w:color w:val="231F20"/>
          <w:spacing w:val="-8"/>
          <w:sz w:val="20"/>
        </w:rPr>
        <w:t xml:space="preserve"> </w:t>
      </w:r>
      <w:r>
        <w:rPr>
          <w:b/>
          <w:color w:val="231F20"/>
          <w:sz w:val="20"/>
        </w:rPr>
        <w:t>risk</w:t>
      </w:r>
      <w:r>
        <w:rPr>
          <w:b/>
          <w:color w:val="231F20"/>
          <w:spacing w:val="-8"/>
          <w:sz w:val="20"/>
        </w:rPr>
        <w:t xml:space="preserve"> </w:t>
      </w:r>
      <w:r>
        <w:rPr>
          <w:b/>
          <w:color w:val="231F20"/>
          <w:sz w:val="20"/>
        </w:rPr>
        <w:t>cut-offs</w:t>
      </w:r>
      <w:r>
        <w:rPr>
          <w:b/>
          <w:color w:val="231F20"/>
          <w:spacing w:val="-8"/>
          <w:sz w:val="20"/>
        </w:rPr>
        <w:t xml:space="preserve"> </w:t>
      </w:r>
      <w:r>
        <w:rPr>
          <w:b/>
          <w:color w:val="231F20"/>
          <w:sz w:val="20"/>
        </w:rPr>
        <w:t>for</w:t>
      </w:r>
      <w:r>
        <w:rPr>
          <w:b/>
          <w:color w:val="231F20"/>
          <w:spacing w:val="-7"/>
          <w:sz w:val="20"/>
        </w:rPr>
        <w:t xml:space="preserve"> </w:t>
      </w:r>
      <w:r>
        <w:rPr>
          <w:b/>
          <w:color w:val="231F20"/>
          <w:sz w:val="20"/>
        </w:rPr>
        <w:t>patient</w:t>
      </w:r>
      <w:r>
        <w:rPr>
          <w:b/>
          <w:color w:val="231F20"/>
          <w:spacing w:val="-8"/>
          <w:sz w:val="20"/>
        </w:rPr>
        <w:t xml:space="preserve"> </w:t>
      </w:r>
      <w:r>
        <w:rPr>
          <w:b/>
          <w:color w:val="231F20"/>
          <w:sz w:val="20"/>
        </w:rPr>
        <w:t>stratification</w:t>
      </w:r>
      <w:r>
        <w:rPr>
          <w:b/>
          <w:color w:val="231F20"/>
          <w:spacing w:val="-8"/>
          <w:sz w:val="20"/>
        </w:rPr>
        <w:t xml:space="preserve"> </w:t>
      </w:r>
      <w:r>
        <w:rPr>
          <w:b/>
          <w:color w:val="231F20"/>
          <w:sz w:val="20"/>
        </w:rPr>
        <w:t>and</w:t>
      </w:r>
      <w:r>
        <w:rPr>
          <w:b/>
          <w:color w:val="231F20"/>
          <w:spacing w:val="-7"/>
          <w:sz w:val="20"/>
        </w:rPr>
        <w:t xml:space="preserve"> </w:t>
      </w:r>
      <w:r>
        <w:rPr>
          <w:b/>
          <w:color w:val="231F20"/>
          <w:sz w:val="20"/>
        </w:rPr>
        <w:t>choice</w:t>
      </w:r>
      <w:r>
        <w:rPr>
          <w:b/>
          <w:color w:val="231F20"/>
          <w:spacing w:val="-8"/>
          <w:sz w:val="20"/>
        </w:rPr>
        <w:t xml:space="preserve"> </w:t>
      </w:r>
      <w:r>
        <w:rPr>
          <w:b/>
          <w:color w:val="231F20"/>
          <w:sz w:val="20"/>
        </w:rPr>
        <w:t>of appropriate clinical management. This is illustrated with a few example patients. We cannot propose a generally applicable</w:t>
      </w:r>
      <w:r>
        <w:rPr>
          <w:b/>
          <w:color w:val="231F20"/>
          <w:spacing w:val="-19"/>
          <w:sz w:val="20"/>
        </w:rPr>
        <w:t xml:space="preserve"> </w:t>
      </w:r>
      <w:r>
        <w:rPr>
          <w:b/>
          <w:color w:val="231F20"/>
          <w:sz w:val="20"/>
        </w:rPr>
        <w:t>algorithm</w:t>
      </w:r>
      <w:r>
        <w:rPr>
          <w:b/>
          <w:color w:val="231F20"/>
          <w:spacing w:val="-19"/>
          <w:sz w:val="20"/>
        </w:rPr>
        <w:t xml:space="preserve"> </w:t>
      </w:r>
      <w:r>
        <w:rPr>
          <w:b/>
          <w:color w:val="231F20"/>
          <w:sz w:val="20"/>
        </w:rPr>
        <w:t>with</w:t>
      </w:r>
      <w:r>
        <w:rPr>
          <w:b/>
          <w:color w:val="231F20"/>
          <w:spacing w:val="-18"/>
          <w:sz w:val="20"/>
        </w:rPr>
        <w:t xml:space="preserve"> </w:t>
      </w:r>
      <w:r>
        <w:rPr>
          <w:b/>
          <w:color w:val="231F20"/>
          <w:sz w:val="20"/>
        </w:rPr>
        <w:t>fixed</w:t>
      </w:r>
      <w:r>
        <w:rPr>
          <w:b/>
          <w:color w:val="231F20"/>
          <w:spacing w:val="-19"/>
          <w:sz w:val="20"/>
        </w:rPr>
        <w:t xml:space="preserve"> </w:t>
      </w:r>
      <w:r>
        <w:rPr>
          <w:b/>
          <w:color w:val="231F20"/>
          <w:sz w:val="20"/>
        </w:rPr>
        <w:t>cut-offs,</w:t>
      </w:r>
      <w:r>
        <w:rPr>
          <w:b/>
          <w:color w:val="231F20"/>
          <w:spacing w:val="-18"/>
          <w:sz w:val="20"/>
        </w:rPr>
        <w:t xml:space="preserve"> </w:t>
      </w:r>
      <w:r>
        <w:rPr>
          <w:b/>
          <w:color w:val="231F20"/>
          <w:sz w:val="20"/>
        </w:rPr>
        <w:t>because</w:t>
      </w:r>
      <w:r>
        <w:rPr>
          <w:b/>
          <w:color w:val="231F20"/>
          <w:spacing w:val="-19"/>
          <w:sz w:val="20"/>
        </w:rPr>
        <w:t xml:space="preserve"> </w:t>
      </w:r>
      <w:r>
        <w:rPr>
          <w:b/>
          <w:color w:val="231F20"/>
          <w:sz w:val="20"/>
        </w:rPr>
        <w:t>(as</w:t>
      </w:r>
      <w:r>
        <w:rPr>
          <w:b/>
          <w:color w:val="231F20"/>
          <w:spacing w:val="-19"/>
          <w:sz w:val="20"/>
        </w:rPr>
        <w:t xml:space="preserve"> </w:t>
      </w:r>
      <w:r>
        <w:rPr>
          <w:b/>
          <w:color w:val="231F20"/>
          <w:sz w:val="20"/>
        </w:rPr>
        <w:t>with</w:t>
      </w:r>
      <w:r>
        <w:rPr>
          <w:b/>
          <w:color w:val="231F20"/>
          <w:spacing w:val="-18"/>
          <w:sz w:val="20"/>
        </w:rPr>
        <w:t xml:space="preserve"> </w:t>
      </w:r>
      <w:r>
        <w:rPr>
          <w:b/>
          <w:color w:val="231F20"/>
          <w:sz w:val="20"/>
        </w:rPr>
        <w:t>any</w:t>
      </w:r>
      <w:r>
        <w:rPr>
          <w:b/>
          <w:color w:val="231F20"/>
          <w:spacing w:val="-19"/>
          <w:sz w:val="20"/>
        </w:rPr>
        <w:t xml:space="preserve"> </w:t>
      </w:r>
      <w:r>
        <w:rPr>
          <w:b/>
          <w:color w:val="231F20"/>
          <w:sz w:val="20"/>
        </w:rPr>
        <w:t>risk</w:t>
      </w:r>
      <w:r>
        <w:rPr>
          <w:b/>
          <w:color w:val="231F20"/>
          <w:spacing w:val="-18"/>
          <w:sz w:val="20"/>
        </w:rPr>
        <w:t xml:space="preserve"> </w:t>
      </w:r>
      <w:r>
        <w:rPr>
          <w:b/>
          <w:color w:val="231F20"/>
          <w:sz w:val="20"/>
        </w:rPr>
        <w:t>model)</w:t>
      </w:r>
      <w:r>
        <w:rPr>
          <w:b/>
          <w:color w:val="231F20"/>
          <w:spacing w:val="-19"/>
          <w:sz w:val="20"/>
        </w:rPr>
        <w:t xml:space="preserve"> </w:t>
      </w:r>
      <w:r>
        <w:rPr>
          <w:b/>
          <w:color w:val="231F20"/>
          <w:sz w:val="20"/>
        </w:rPr>
        <w:t>this</w:t>
      </w:r>
      <w:r>
        <w:rPr>
          <w:b/>
          <w:color w:val="231F20"/>
          <w:spacing w:val="-19"/>
          <w:sz w:val="20"/>
        </w:rPr>
        <w:t xml:space="preserve"> </w:t>
      </w:r>
      <w:r>
        <w:rPr>
          <w:b/>
          <w:color w:val="231F20"/>
          <w:sz w:val="20"/>
        </w:rPr>
        <w:t>depends</w:t>
      </w:r>
      <w:r>
        <w:rPr>
          <w:b/>
          <w:color w:val="231F20"/>
          <w:spacing w:val="-18"/>
          <w:sz w:val="20"/>
        </w:rPr>
        <w:t xml:space="preserve"> </w:t>
      </w:r>
      <w:r>
        <w:rPr>
          <w:b/>
          <w:color w:val="231F20"/>
          <w:sz w:val="20"/>
        </w:rPr>
        <w:t>on</w:t>
      </w:r>
      <w:r>
        <w:rPr>
          <w:b/>
          <w:color w:val="231F20"/>
          <w:spacing w:val="-19"/>
          <w:sz w:val="20"/>
        </w:rPr>
        <w:t xml:space="preserve"> </w:t>
      </w:r>
      <w:r>
        <w:rPr>
          <w:b/>
          <w:color w:val="231F20"/>
          <w:sz w:val="20"/>
        </w:rPr>
        <w:t>the</w:t>
      </w:r>
      <w:r>
        <w:rPr>
          <w:b/>
          <w:color w:val="231F20"/>
          <w:spacing w:val="-18"/>
          <w:sz w:val="20"/>
        </w:rPr>
        <w:t xml:space="preserve"> </w:t>
      </w:r>
      <w:r>
        <w:rPr>
          <w:b/>
          <w:color w:val="231F20"/>
          <w:sz w:val="20"/>
        </w:rPr>
        <w:t>specific</w:t>
      </w:r>
      <w:r>
        <w:rPr>
          <w:b/>
          <w:color w:val="231F20"/>
          <w:spacing w:val="-19"/>
          <w:sz w:val="20"/>
        </w:rPr>
        <w:t xml:space="preserve"> </w:t>
      </w:r>
      <w:r>
        <w:rPr>
          <w:b/>
          <w:color w:val="231F20"/>
          <w:sz w:val="20"/>
        </w:rPr>
        <w:t>clinical</w:t>
      </w:r>
      <w:r>
        <w:rPr>
          <w:b/>
          <w:color w:val="231F20"/>
          <w:spacing w:val="-19"/>
          <w:sz w:val="20"/>
        </w:rPr>
        <w:t xml:space="preserve"> </w:t>
      </w:r>
      <w:r>
        <w:rPr>
          <w:b/>
          <w:color w:val="231F20"/>
          <w:sz w:val="20"/>
        </w:rPr>
        <w:t>setting in which the model w</w:t>
      </w:r>
      <w:r>
        <w:rPr>
          <w:b/>
          <w:color w:val="231F20"/>
          <w:sz w:val="20"/>
        </w:rPr>
        <w:t xml:space="preserve">ill be used. Nevertheless, this paper provides </w:t>
      </w:r>
      <w:proofErr w:type="gramStart"/>
      <w:r>
        <w:rPr>
          <w:b/>
          <w:color w:val="231F20"/>
          <w:sz w:val="20"/>
        </w:rPr>
        <w:t>a guidance</w:t>
      </w:r>
      <w:proofErr w:type="gramEnd"/>
      <w:r>
        <w:rPr>
          <w:b/>
          <w:color w:val="231F20"/>
          <w:sz w:val="20"/>
        </w:rPr>
        <w:t xml:space="preserve"> on how the ADNEX model may be adopted into clinical</w:t>
      </w:r>
      <w:r>
        <w:rPr>
          <w:b/>
          <w:color w:val="231F20"/>
          <w:spacing w:val="-1"/>
          <w:sz w:val="20"/>
        </w:rPr>
        <w:t xml:space="preserve"> </w:t>
      </w:r>
      <w:r>
        <w:rPr>
          <w:b/>
          <w:color w:val="231F20"/>
          <w:sz w:val="20"/>
        </w:rPr>
        <w:t>practice.</w:t>
      </w:r>
    </w:p>
    <w:p w:rsidR="00966BA7" w:rsidRDefault="00F255A2">
      <w:pPr>
        <w:spacing w:before="131"/>
        <w:ind w:left="170"/>
        <w:rPr>
          <w:b/>
          <w:sz w:val="20"/>
        </w:rPr>
      </w:pPr>
      <w:r>
        <w:rPr>
          <w:b/>
          <w:i/>
          <w:color w:val="231F20"/>
          <w:sz w:val="20"/>
        </w:rPr>
        <w:t xml:space="preserve">Key words: </w:t>
      </w:r>
      <w:r>
        <w:rPr>
          <w:b/>
          <w:color w:val="231F20"/>
          <w:sz w:val="20"/>
        </w:rPr>
        <w:t>Ovarian neoplasms, ultrasonography, CA-125, decision support techniques, practical guidance.</w:t>
      </w:r>
    </w:p>
    <w:p w:rsidR="00966BA7" w:rsidRDefault="00966BA7">
      <w:pPr>
        <w:pStyle w:val="BodyText"/>
        <w:rPr>
          <w:b/>
          <w:sz w:val="20"/>
        </w:rPr>
      </w:pPr>
    </w:p>
    <w:p w:rsidR="00324890" w:rsidRPr="00324890" w:rsidRDefault="00324890" w:rsidP="00324890">
      <w:pPr>
        <w:pStyle w:val="BodyText"/>
        <w:rPr>
          <w:b/>
          <w:sz w:val="20"/>
        </w:rPr>
      </w:pPr>
      <w:r w:rsidRPr="00324890">
        <w:rPr>
          <w:b/>
          <w:sz w:val="20"/>
        </w:rPr>
        <w:t xml:space="preserve">Tất cả các bác sĩ phụ khoa đều phải đối mặt với các khối u buồng trứng một cách thường xuyên, và chẩn đoán chính xác trước phẫu thuật của các khối này là rất quan trọng vì cách xử trí thích hợp phụ thuộc vào loại khối u. Gần đây, Hiệp hội phân tích khối u buồng trứng quốc tế (IOTA) đã công bố Đánh giá các NEoplasias khác nhau trong mô hình adneXa (ADNEX), mô hình rủi ro đầu tiên phân biệt giữa khối u lành tính và bốn loại khối u ác tính: giai đoạn II, ung thư giai đoạn II, giai đoạn II- Ung thư IV, và ung thư di căn thứ phát. Cách tiếp cận này mới lạ so với các công cụ hiện có chỉ phân biệt giữa khối u lành tính và ác tính, và do đó, có thể đặt ra câu hỏi về cách sử dụng ADNEX trong thực hành lâm sàng. </w:t>
      </w:r>
      <w:proofErr w:type="gramStart"/>
      <w:r w:rsidRPr="00324890">
        <w:rPr>
          <w:b/>
          <w:sz w:val="20"/>
        </w:rPr>
        <w:t>Trong bài báo hiện tại, trước tiên chúng tôi cung cấp một cuộc thảo luận chuyên sâu về các yếu tố dự đoán được sử dụng trong ADNEX và khả năng dự đoán rủi ro với các mô học khối u khác nhau.</w:t>
      </w:r>
      <w:proofErr w:type="gramEnd"/>
      <w:r w:rsidRPr="00324890">
        <w:rPr>
          <w:b/>
          <w:sz w:val="20"/>
        </w:rPr>
        <w:t xml:space="preserve"> Hơn nữa, chúng tôi xây dựng các đề xuất về việc lựa chọn và giải thích các giới hạn rủi ro để phân tầng bệnh nhân và lựa chọn quản lý lâm sàng phù hợp. </w:t>
      </w:r>
      <w:proofErr w:type="gramStart"/>
      <w:r w:rsidRPr="00324890">
        <w:rPr>
          <w:b/>
          <w:sz w:val="20"/>
        </w:rPr>
        <w:t>Điều này được minh họa với một vài ví dụ bệnh nhân.</w:t>
      </w:r>
      <w:proofErr w:type="gramEnd"/>
      <w:r w:rsidRPr="00324890">
        <w:rPr>
          <w:b/>
          <w:sz w:val="20"/>
        </w:rPr>
        <w:t xml:space="preserve"> Chúng tôi không thể đề xuất một thuật toán áp dụng chung với các giới hạn cố định, bởi vì (như với bất kỳ mô hình rủi ro nào), điều này phụ thuộc vào cài đặt lâm sàng cụ thể mà mô hình sẽ được sử dụng. Tuy nhiên, bài viết này cung cấp một hướng dẫn về cách mô hình ADNEX có thể được áp dụng vào thực hành lâm sàng.</w:t>
      </w:r>
    </w:p>
    <w:p w:rsidR="00966BA7" w:rsidRDefault="00324890" w:rsidP="00324890">
      <w:pPr>
        <w:pStyle w:val="BodyText"/>
        <w:rPr>
          <w:b/>
          <w:sz w:val="20"/>
        </w:rPr>
      </w:pPr>
      <w:r w:rsidRPr="00324890">
        <w:rPr>
          <w:b/>
          <w:sz w:val="20"/>
        </w:rPr>
        <w:t>Từ khóa: Hạch buồng trứng, siêu âm, CA-125, kỹ thuật hỗ trợ quyết định, hướng dẫn thực hành.</w:t>
      </w:r>
    </w:p>
    <w:p w:rsidR="00324890" w:rsidRPr="00324890" w:rsidRDefault="00324890" w:rsidP="00324890">
      <w:pPr>
        <w:pStyle w:val="BodyText"/>
        <w:rPr>
          <w:sz w:val="20"/>
        </w:rPr>
      </w:pPr>
      <w:r w:rsidRPr="00324890">
        <w:rPr>
          <w:sz w:val="20"/>
        </w:rPr>
        <w:t>Giới thiệu</w:t>
      </w:r>
    </w:p>
    <w:p w:rsidR="00324890" w:rsidRPr="00324890" w:rsidRDefault="00324890" w:rsidP="00324890">
      <w:pPr>
        <w:pStyle w:val="BodyText"/>
        <w:rPr>
          <w:sz w:val="20"/>
        </w:rPr>
      </w:pPr>
    </w:p>
    <w:p w:rsidR="00324890" w:rsidRPr="00324890" w:rsidRDefault="00324890" w:rsidP="00324890">
      <w:pPr>
        <w:pStyle w:val="BodyText"/>
        <w:rPr>
          <w:sz w:val="20"/>
        </w:rPr>
      </w:pPr>
      <w:proofErr w:type="gramStart"/>
      <w:r w:rsidRPr="00324890">
        <w:rPr>
          <w:sz w:val="20"/>
        </w:rPr>
        <w:t>Mặc dù thường bị bỏ qua, đặc tính trước phẫu thuật của một khối adnexal có tầm quan trọng quyết định để lựa chọn chiến lược quản lý tối ưu.</w:t>
      </w:r>
      <w:proofErr w:type="gramEnd"/>
      <w:r w:rsidRPr="00324890">
        <w:rPr>
          <w:sz w:val="20"/>
        </w:rPr>
        <w:t xml:space="preserve"> Thứ nhất, sự khác biệt chính xác giữa các khối u lành tính và ác tính có thể dẫn đến việc đưa bệnh nhân có khối u ác tính đến các trung tâm ung </w:t>
      </w:r>
      <w:proofErr w:type="gramStart"/>
      <w:r w:rsidRPr="00324890">
        <w:rPr>
          <w:sz w:val="20"/>
        </w:rPr>
        <w:t>thư</w:t>
      </w:r>
      <w:proofErr w:type="gramEnd"/>
      <w:r w:rsidRPr="00324890">
        <w:rPr>
          <w:sz w:val="20"/>
        </w:rPr>
        <w:t xml:space="preserve"> phụ khoa để chẩn đoán hoặc dàn dựng thêm, sau đó là phẫu thuật gỡ rối và / hoặc điều trị toàn thân. Đây là một yếu tố quan trọng ảnh hưởng tích cực đến tiên lượng (Earle et al., 2006; Engelen et al., 2006; Woo et al., 2012; Bristow et</w:t>
      </w:r>
    </w:p>
    <w:p w:rsidR="00324890" w:rsidRPr="00324890" w:rsidRDefault="00324890" w:rsidP="00324890">
      <w:pPr>
        <w:pStyle w:val="BodyText"/>
        <w:rPr>
          <w:sz w:val="20"/>
        </w:rPr>
      </w:pPr>
      <w:r w:rsidRPr="00324890">
        <w:rPr>
          <w:sz w:val="20"/>
        </w:rPr>
        <w:lastRenderedPageBreak/>
        <w:t> </w:t>
      </w:r>
    </w:p>
    <w:p w:rsidR="00324890" w:rsidRPr="00324890" w:rsidRDefault="00324890" w:rsidP="00324890">
      <w:pPr>
        <w:pStyle w:val="BodyText"/>
        <w:rPr>
          <w:sz w:val="20"/>
        </w:rPr>
      </w:pPr>
      <w:proofErr w:type="gramStart"/>
      <w:r w:rsidRPr="00324890">
        <w:rPr>
          <w:sz w:val="20"/>
        </w:rPr>
        <w:t>al., 2013).</w:t>
      </w:r>
      <w:proofErr w:type="gramEnd"/>
      <w:r w:rsidRPr="00324890">
        <w:rPr>
          <w:sz w:val="20"/>
        </w:rPr>
        <w:t xml:space="preserve"> </w:t>
      </w:r>
      <w:proofErr w:type="gramStart"/>
      <w:r w:rsidRPr="00324890">
        <w:rPr>
          <w:sz w:val="20"/>
        </w:rPr>
        <w:t>Khối lượng buồng trứng lành tính có thể được quản lý một cách mong đợi hoặc bằng cách quản lý phẫu thuật bảo tồn với giảm tỷ lệ mắc bệnh và bảo tồn khả năng sinh sản (Carley et al., 2002).</w:t>
      </w:r>
      <w:proofErr w:type="gramEnd"/>
      <w:r w:rsidRPr="00324890">
        <w:rPr>
          <w:sz w:val="20"/>
        </w:rPr>
        <w:t xml:space="preserve"> Thứ hai, điều trị tối ưu các khối u ác tính adnexal phụ thuộc vào loại khối u. Các khối u biên giới có thể được điều trị bằng các kỹ thuật ít xâm lấn hơn các khối u xâm lấn, điều đáng quan tâm khi muốn bảo tồn khả năng sinh sản (Tinelli et al., 2006; Daraï et al., 2013). Hơn nữa, ung </w:t>
      </w:r>
      <w:proofErr w:type="gramStart"/>
      <w:r w:rsidRPr="00324890">
        <w:rPr>
          <w:sz w:val="20"/>
        </w:rPr>
        <w:t>thư</w:t>
      </w:r>
      <w:proofErr w:type="gramEnd"/>
      <w:r w:rsidRPr="00324890">
        <w:rPr>
          <w:sz w:val="20"/>
        </w:rPr>
        <w:t xml:space="preserve"> buồng trứng giai đoạn I có thể được kiểm soát bảo tồn hơn so với bệnh ở giai đoạn II-IV (Trimbos et al., 2003). Cuối cùng, đối với bệnh ung </w:t>
      </w:r>
      <w:proofErr w:type="gramStart"/>
      <w:r w:rsidRPr="00324890">
        <w:rPr>
          <w:sz w:val="20"/>
        </w:rPr>
        <w:t>thư</w:t>
      </w:r>
      <w:proofErr w:type="gramEnd"/>
      <w:r w:rsidRPr="00324890">
        <w:rPr>
          <w:sz w:val="20"/>
        </w:rPr>
        <w:t xml:space="preserve"> có nguồn gốc nguyên phát khác di căn vào buồng trứng, việc điều trị phụ thuộc vào</w:t>
      </w:r>
    </w:p>
    <w:p w:rsidR="00324890" w:rsidRPr="00324890" w:rsidRDefault="00324890" w:rsidP="00324890">
      <w:pPr>
        <w:pStyle w:val="BodyText"/>
        <w:rPr>
          <w:sz w:val="20"/>
        </w:rPr>
      </w:pPr>
      <w:r w:rsidRPr="00324890">
        <w:rPr>
          <w:sz w:val="20"/>
        </w:rPr>
        <w:t> </w:t>
      </w:r>
    </w:p>
    <w:p w:rsidR="00324890" w:rsidRDefault="00324890" w:rsidP="00324890">
      <w:pPr>
        <w:pStyle w:val="BodyText"/>
        <w:rPr>
          <w:sz w:val="20"/>
        </w:rPr>
      </w:pPr>
      <w:proofErr w:type="gramStart"/>
      <w:r w:rsidRPr="00324890">
        <w:rPr>
          <w:sz w:val="20"/>
        </w:rPr>
        <w:t>loại</w:t>
      </w:r>
      <w:proofErr w:type="gramEnd"/>
      <w:r w:rsidRPr="00324890">
        <w:rPr>
          <w:sz w:val="20"/>
        </w:rPr>
        <w:t xml:space="preserve"> khối u. Gần đây, nhóm Phân tích khối u buồng trứng quốc tế (IOTA) đã đề xuất Đánh giá các NEoplasias khác nhau trong mô hình adneXa (ADNEX). Đây là mô hình rủi ro đầu tiên để phân biệt giữa lành tính, khối u biên, xâm lấn giai đoạn I, ung thư buồng trứng xâm lấn giai đoạn II-IV và ung thư di căn thứ phát (Van Calster et al., 2014). </w:t>
      </w:r>
      <w:proofErr w:type="gramStart"/>
      <w:r w:rsidRPr="00324890">
        <w:rPr>
          <w:sz w:val="20"/>
        </w:rPr>
        <w:t>Một mô hình đa sắc thái hoặc đa giác như vậy là không phổ biến và đặt ra những thách thức thực tế mới.</w:t>
      </w:r>
      <w:proofErr w:type="gramEnd"/>
      <w:r w:rsidRPr="00324890">
        <w:rPr>
          <w:sz w:val="20"/>
        </w:rPr>
        <w:t xml:space="preserve"> Mục đích của bài viết này là thảo luận về mô hình ADNEX chi tiết hơn và cung cấp một số hướng dẫn cho quản lý lâm sàng.</w:t>
      </w:r>
    </w:p>
    <w:p w:rsidR="00324890" w:rsidRDefault="00324890" w:rsidP="00324890">
      <w:pPr>
        <w:pStyle w:val="BodyText"/>
        <w:rPr>
          <w:sz w:val="20"/>
        </w:rPr>
      </w:pPr>
    </w:p>
    <w:p w:rsidR="00324890" w:rsidRPr="00324890" w:rsidRDefault="00324890" w:rsidP="00324890">
      <w:pPr>
        <w:pStyle w:val="BodyText"/>
        <w:rPr>
          <w:sz w:val="20"/>
        </w:rPr>
      </w:pPr>
      <w:r w:rsidRPr="00324890">
        <w:rPr>
          <w:sz w:val="20"/>
        </w:rPr>
        <w:t>Giải thích về ADNEX</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Dân số dự định</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Mô hình ADNEX đã được phát triển và xác nhận bằng cách sử dụng dữ liệu từ bộ dữ liệu IOTA giai đoạn 1-3, bao gồm các bệnh nhân được thu thập tiền cứu được giới thiệu để kiểm tra siêu âm đến một trong những trung tâm tham gia cho một khối adnexal đã biết hoặc nghi ngờ (Timmerman et al., 2005; Van Holsbeke và cộng sự, 2009; Van Calster và cộng sự, 2012; Kaijser và cộng sự, 2014). Bệnh nhân đủ điều kiện để tham gia nếu họ có ít nhất một khối adnexal được đánh giá là không phải là u nang sinh lý và nếu họ được chọn can thiệp phẫu thuật bằng cách</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proofErr w:type="gramStart"/>
      <w:r w:rsidRPr="00324890">
        <w:rPr>
          <w:sz w:val="20"/>
        </w:rPr>
        <w:t>các</w:t>
      </w:r>
      <w:proofErr w:type="gramEnd"/>
      <w:r w:rsidRPr="00324890">
        <w:rPr>
          <w:sz w:val="20"/>
        </w:rPr>
        <w:t xml:space="preserve"> bác sĩ lâm sàng quản lý theo các giao thức địa phương. Tiêu chí loại trừ là từ chối siêu âm qua ngã âm đạo, mang </w:t>
      </w:r>
      <w:proofErr w:type="gramStart"/>
      <w:r w:rsidRPr="00324890">
        <w:rPr>
          <w:sz w:val="20"/>
        </w:rPr>
        <w:t>thai</w:t>
      </w:r>
      <w:proofErr w:type="gramEnd"/>
      <w:r w:rsidRPr="00324890">
        <w:rPr>
          <w:sz w:val="20"/>
        </w:rPr>
        <w:t xml:space="preserve"> tại thời điểm đặt trước và can thiệp phẫu thuật hơn 120 ngày sau khi siêu âm kiểm tra. </w:t>
      </w:r>
      <w:proofErr w:type="gramStart"/>
      <w:r w:rsidRPr="00324890">
        <w:rPr>
          <w:sz w:val="20"/>
        </w:rPr>
        <w:t>Nếu một bệnh nhân xuất hiện với nhiều khối, thì khối có hình thái phức tạp nhất trên ngoại lệ siêu âm đã được chọn để phân tích.</w:t>
      </w:r>
      <w:proofErr w:type="gramEnd"/>
      <w:r w:rsidRPr="00324890">
        <w:rPr>
          <w:sz w:val="20"/>
        </w:rPr>
        <w:t xml:space="preserve"> </w:t>
      </w:r>
      <w:proofErr w:type="gramStart"/>
      <w:r w:rsidRPr="00324890">
        <w:rPr>
          <w:sz w:val="20"/>
        </w:rPr>
        <w:t>Nếu có nhiều hơn một khối có hình thái tương tự, thì khối lớn nhất hoặc dễ tiếp cận nhất đã được sử dụng.</w:t>
      </w:r>
      <w:proofErr w:type="gramEnd"/>
      <w:r w:rsidRPr="00324890">
        <w:rPr>
          <w:sz w:val="20"/>
        </w:rPr>
        <w:t xml:space="preserve"> Mô hình được phát triển trên 3506 bệnh nhân được tuyển dụng từ năm 1999 đến 2007, được xác nhận tạm thời trên 2403 bệnh nhân được tuyển dụng từ năm 2009 đến 2012, và sau đó cập nhật trên tất cả 5909 bệnh nhân trong phân tích cuối cùng. </w:t>
      </w:r>
      <w:proofErr w:type="gramStart"/>
      <w:r w:rsidRPr="00324890">
        <w:rPr>
          <w:sz w:val="20"/>
        </w:rPr>
        <w:t>Hai mươi bốn trung tâm ở 10 quốc gia đã tham gia (Van Calster et al., 2014).</w:t>
      </w:r>
      <w:proofErr w:type="gramEnd"/>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Lựa chọn các yếu tố dự đoán</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 xml:space="preserve">Mô hình ADNEX bao gồm ba dự đoán lâm sàng và sáu dự đoán siêu âm. Các dự đoán lâm sàng là tuổi (năm), huyết thanh CA-125 (U / mL) và loại trung tâm mà bệnh nhân đã được giới thiệu để kiểm tra siêu âm. Loại trung tâm đã được chia thành các trung tâm ung </w:t>
      </w:r>
      <w:proofErr w:type="gramStart"/>
      <w:r w:rsidRPr="00324890">
        <w:rPr>
          <w:sz w:val="20"/>
        </w:rPr>
        <w:t>thư</w:t>
      </w:r>
      <w:proofErr w:type="gramEnd"/>
      <w:r w:rsidRPr="00324890">
        <w:rPr>
          <w:sz w:val="20"/>
        </w:rPr>
        <w:t xml:space="preserve"> so với các bệnh viện khác, và sẽ được thảo luận thêm trong phần tiếp theo. Các dự đoán siêu âm là đường kính tối đa của tổn thương (mm), tỷ lệ mô rắn (%)</w:t>
      </w:r>
      <w:proofErr w:type="gramStart"/>
      <w:r w:rsidRPr="00324890">
        <w:rPr>
          <w:sz w:val="20"/>
        </w:rPr>
        <w:t>,số</w:t>
      </w:r>
      <w:proofErr w:type="gramEnd"/>
      <w:r w:rsidRPr="00324890">
        <w:rPr>
          <w:sz w:val="20"/>
        </w:rPr>
        <w:t xml:space="preserve"> lượng hình chiếu nhú (0, 1, 2, 3,&gt; 3), sự hiện diện của hơn 10 vị trí nang (có / không), bóng âm (có / không) và sự hiện diện của cổ trướng (có / không) (Hình. 1). </w:t>
      </w:r>
      <w:proofErr w:type="gramStart"/>
      <w:r w:rsidRPr="00324890">
        <w:rPr>
          <w:sz w:val="20"/>
        </w:rPr>
        <w:t>Tỷ lệ mô rắn được định nghĩa là tỷ lệ đường kính tối đa của thành phần rắn lớn nhất và đường kính tối đa của tổn thương.</w:t>
      </w:r>
      <w:proofErr w:type="gramEnd"/>
    </w:p>
    <w:p w:rsidR="00324890" w:rsidRPr="00324890" w:rsidRDefault="00324890" w:rsidP="00324890">
      <w:pPr>
        <w:pStyle w:val="BodyText"/>
        <w:rPr>
          <w:sz w:val="20"/>
        </w:rPr>
      </w:pPr>
      <w:proofErr w:type="gramStart"/>
      <w:r w:rsidRPr="00324890">
        <w:rPr>
          <w:sz w:val="20"/>
        </w:rPr>
        <w:t>Các dự đoán ADNEX đã được chọn như sau.</w:t>
      </w:r>
      <w:proofErr w:type="gramEnd"/>
      <w:r w:rsidRPr="00324890">
        <w:rPr>
          <w:sz w:val="20"/>
        </w:rPr>
        <w:t xml:space="preserve"> Các bác sĩ lâm sàng có kinh nghiệm trong việc mô tả các khối u ngoại tiết, một tiên nghiệm đã chọn một tập hợp các biến giới hạn được coi là các yếu tố dự đoán hữu ích. </w:t>
      </w:r>
      <w:proofErr w:type="gramStart"/>
      <w:r w:rsidRPr="00324890">
        <w:rPr>
          <w:sz w:val="20"/>
        </w:rPr>
        <w:t>Điều này dựa trên các biến số mà giá trị tiên đoán cảm nhận được để phân biệt giữa bốn loại bệnh lý buồng trứng ác tính, sự chủ quan, sự phụ thuộc vào kinh nghiệm của người khám siêu âm và tác động lên bệnh nhân.</w:t>
      </w:r>
      <w:proofErr w:type="gramEnd"/>
      <w:r w:rsidRPr="00324890">
        <w:rPr>
          <w:sz w:val="20"/>
        </w:rPr>
        <w:t xml:space="preserve"> Cách tiếp cận này phù hợp với các khuyến nghị về phương pháp đo lường hiện tại (Steyerberg, 2009). </w:t>
      </w:r>
      <w:proofErr w:type="gramStart"/>
      <w:r w:rsidRPr="00324890">
        <w:rPr>
          <w:sz w:val="20"/>
        </w:rPr>
        <w:t>Ngoài ra, lựa chọn biến cũng dựa trên phân tích tính nhất quán của các biến trên các trung tâm nghiên cứu IOTA (Wynants et al., 2013).</w:t>
      </w:r>
      <w:proofErr w:type="gramEnd"/>
      <w:r w:rsidRPr="00324890">
        <w:rPr>
          <w:sz w:val="20"/>
        </w:rPr>
        <w:t xml:space="preserve"> </w:t>
      </w:r>
      <w:proofErr w:type="gramStart"/>
      <w:r w:rsidRPr="00324890">
        <w:rPr>
          <w:sz w:val="20"/>
        </w:rPr>
        <w:t>Kết quả là, nó đã cố tình quyết định không bao gồm các biến Doppler màu hoặc sự hiện diện của các bất thường của thành nang.</w:t>
      </w:r>
      <w:proofErr w:type="gramEnd"/>
      <w:r w:rsidRPr="00324890">
        <w:rPr>
          <w:sz w:val="20"/>
        </w:rPr>
        <w:t xml:space="preserve"> Mười biến dự đoán tiềm năng đã được chọn, trên đó lựa chọn biến thống kê tiếp </w:t>
      </w:r>
      <w:proofErr w:type="gramStart"/>
      <w:r w:rsidRPr="00324890">
        <w:rPr>
          <w:sz w:val="20"/>
        </w:rPr>
        <w:t>theo</w:t>
      </w:r>
      <w:proofErr w:type="gramEnd"/>
      <w:r w:rsidRPr="00324890">
        <w:rPr>
          <w:sz w:val="20"/>
        </w:rPr>
        <w:t xml:space="preserve"> được thực hiện (Van Calster et al., 2014). Điều này dẫn đến sự thiếu sót của một biến số (tiền sử gia đình mắc bệnh ung </w:t>
      </w:r>
      <w:proofErr w:type="gramStart"/>
      <w:r w:rsidRPr="00324890">
        <w:rPr>
          <w:sz w:val="20"/>
        </w:rPr>
        <w:t>thư</w:t>
      </w:r>
      <w:proofErr w:type="gramEnd"/>
      <w:r w:rsidRPr="00324890">
        <w:rPr>
          <w:sz w:val="20"/>
        </w:rPr>
        <w:t xml:space="preserve"> buồng trứng). </w:t>
      </w:r>
      <w:proofErr w:type="gramStart"/>
      <w:r w:rsidRPr="00324890">
        <w:rPr>
          <w:sz w:val="20"/>
        </w:rPr>
        <w:t>Kết quả là ADNEX chứa chín yếu tố dự đoán có giá trị chẩn đoán mạnh.</w:t>
      </w:r>
      <w:proofErr w:type="gramEnd"/>
    </w:p>
    <w:p w:rsidR="00324890" w:rsidRPr="00324890" w:rsidRDefault="00324890" w:rsidP="00324890">
      <w:pPr>
        <w:pStyle w:val="BodyText"/>
        <w:rPr>
          <w:sz w:val="20"/>
        </w:rPr>
      </w:pPr>
      <w:proofErr w:type="gramStart"/>
      <w:r w:rsidRPr="00324890">
        <w:rPr>
          <w:sz w:val="20"/>
        </w:rPr>
        <w:t>Sáu yếu tố dự đoán trong mô hình ADNEX là các biến siêu âm.</w:t>
      </w:r>
      <w:proofErr w:type="gramEnd"/>
      <w:r w:rsidRPr="00324890">
        <w:rPr>
          <w:sz w:val="20"/>
        </w:rPr>
        <w:t xml:space="preserve"> Một mối quan tâm có thể là kinh nghiệm cần thiết để đo lường chính xác các biến này. Tuy nhiên, hiện nay có bằng chứng cho thấy rằng các mô hình và quy tắc dự đoán dựa trên siêu âm vẫn duy trì hiệu suất của chúng trong tay của các bác sĩ và người vẽ đồ họa tương đối thiếu kinh nghiệm (Nunes et al., 2012; Alcazar et al., 2013; Sayasneh et al. , 2013a; Sayasneh và cộng sự, 2013b) với điều kiện các giám khảo đã quen thuộc với các thuật ngữ và định nghĩa của IOTA và sử dụng đúng kỹ thuật kiểm tra và đo lường IOTA (Timmerman et al., 2000).</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r w:rsidRPr="00324890">
        <w:rPr>
          <w:sz w:val="20"/>
        </w:rPr>
        <w:t>Loại trung tâm</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 xml:space="preserve">Một trong những dự đoán của ADNEX là loại trung tâm, được chia thành các trung tâm ung </w:t>
      </w:r>
      <w:proofErr w:type="gramStart"/>
      <w:r w:rsidRPr="00324890">
        <w:rPr>
          <w:sz w:val="20"/>
        </w:rPr>
        <w:t>thư</w:t>
      </w:r>
      <w:proofErr w:type="gramEnd"/>
      <w:r w:rsidRPr="00324890">
        <w:rPr>
          <w:sz w:val="20"/>
        </w:rPr>
        <w:t xml:space="preserve"> và các bệnh viện khác. Một trung tâm ung bướu đã được định nghĩa là một trung tâm giới thiệu đại học với một đơn vị ung </w:t>
      </w:r>
      <w:proofErr w:type="gramStart"/>
      <w:r w:rsidRPr="00324890">
        <w:rPr>
          <w:sz w:val="20"/>
        </w:rPr>
        <w:t>thư</w:t>
      </w:r>
      <w:proofErr w:type="gramEnd"/>
      <w:r w:rsidRPr="00324890">
        <w:rPr>
          <w:sz w:val="20"/>
        </w:rPr>
        <w:t xml:space="preserve"> phụ khoa cụ thể. </w:t>
      </w:r>
      <w:proofErr w:type="gramStart"/>
      <w:r w:rsidRPr="00324890">
        <w:rPr>
          <w:sz w:val="20"/>
        </w:rPr>
        <w:t>Tỷ lệ mắc các loại khối u ác tính khác nhau cao hơn ở các trung tâm ung bướu so với các trung tâm khác (Bảng I).</w:t>
      </w:r>
      <w:proofErr w:type="gramEnd"/>
      <w:r w:rsidRPr="00324890">
        <w:rPr>
          <w:sz w:val="20"/>
        </w:rPr>
        <w:t xml:space="preserve"> Sử dụng dữ liệu trên tất cả 5909 bệnh nhân, chúng tôi đã quan sát tỷ lệ ác tính từ 22 đến 66% ở các trung tâm ung thư và từ 0 đến 30% ở các trung tâm khác (Van Calster et al., 2014). Điều này phần lớn được giải thích bằng việc quan sát thấy rằng những bệnh nhân có khối lượng trông đáng ngờ thường được chuyển đến các trung tâm chuyên khoa để đánh giá và điều trị. </w:t>
      </w:r>
      <w:proofErr w:type="gramStart"/>
      <w:r w:rsidRPr="00324890">
        <w:rPr>
          <w:sz w:val="20"/>
        </w:rPr>
        <w:t xml:space="preserve">Tuy nhiên, mặc dù mô hình ADNEX chứa tám yếu tố dự đoán bệnh nhân hoặc khối u cụ thể, loại trung tâm vẫn là dự </w:t>
      </w:r>
      <w:r w:rsidRPr="00324890">
        <w:rPr>
          <w:sz w:val="20"/>
        </w:rPr>
        <w:lastRenderedPageBreak/>
        <w:t>đoán (Van Calster et al., 2014).</w:t>
      </w:r>
      <w:proofErr w:type="gramEnd"/>
    </w:p>
    <w:p w:rsidR="00324890" w:rsidRPr="00324890" w:rsidRDefault="00324890" w:rsidP="00324890">
      <w:pPr>
        <w:pStyle w:val="BodyText"/>
        <w:rPr>
          <w:sz w:val="20"/>
        </w:rPr>
      </w:pPr>
      <w:r w:rsidRPr="00324890">
        <w:rPr>
          <w:sz w:val="20"/>
        </w:rPr>
        <w:t xml:space="preserve">Nếu cùng một bệnh nhân sẽ được đánh giá tại một bệnh viện cộng đồng địa phương và sau đó bởi một bác sĩ lâm sàng tại một trung tâm ung bướu, nguy cơ ác tính đối với cùng một khối u sẽ cao hơn ở bệnh viện sau. Theo trực giác điều này nghe có vẻ khó hiểu, nhưng như Candido-dos-Reis (2014) đã nêu, loại trung tâm vẫn có thể là đại diện thay thế cho các dấu hiệu lâm sàng của bệnh ác tính không có trong mô hình ADNEX. Các ví dụ tiềm năng có thể là triệu chứng của ung </w:t>
      </w:r>
      <w:proofErr w:type="gramStart"/>
      <w:r w:rsidRPr="00324890">
        <w:rPr>
          <w:sz w:val="20"/>
        </w:rPr>
        <w:t>thư</w:t>
      </w:r>
      <w:proofErr w:type="gramEnd"/>
      <w:r w:rsidRPr="00324890">
        <w:rPr>
          <w:sz w:val="20"/>
        </w:rPr>
        <w:t xml:space="preserve"> buồng trứng, chẳng hạn như đau và đầy hơi hoặc chế độ phát hiện. </w:t>
      </w:r>
      <w:proofErr w:type="gramStart"/>
      <w:r w:rsidRPr="00324890">
        <w:rPr>
          <w:sz w:val="20"/>
        </w:rPr>
        <w:t>Đây là một vấn đề để nghiên cứu thêm.</w:t>
      </w:r>
      <w:proofErr w:type="gramEnd"/>
    </w:p>
    <w:p w:rsidR="00324890" w:rsidRPr="00324890" w:rsidRDefault="00324890" w:rsidP="00324890">
      <w:pPr>
        <w:pStyle w:val="BodyText"/>
        <w:rPr>
          <w:sz w:val="20"/>
        </w:rPr>
      </w:pPr>
      <w:proofErr w:type="gramStart"/>
      <w:r w:rsidRPr="00324890">
        <w:rPr>
          <w:sz w:val="20"/>
        </w:rPr>
        <w:t>Lưu ý rằng loại trung tâm là yếu nhất trong tất cả chín yếu tố dự đoán ADNEX (Van Calster et al., 2014).</w:t>
      </w:r>
      <w:proofErr w:type="gramEnd"/>
      <w:r w:rsidRPr="00324890">
        <w:rPr>
          <w:sz w:val="20"/>
        </w:rPr>
        <w:t xml:space="preserve"> Điều này ngụ ý rằng các rủi ro cơ bản cao hơn của các loại khối u ác tính ở các trung tâm ung bướu phần lớn (nhưng không hoàn toàn) được giải thích bởi các yếu tố dự đoán cụ thể của bệnh nhân và khối u. Tuy nhiên, việc bao gồm loại trung tâm là rất quan trọng để có được dự đoán rủi ro đáng tin cậy hơn.</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Tiêu chuẩn tham chiếu</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Tiêu chuẩn tham chiếu cho mô hình ADNEX là</w:t>
      </w:r>
    </w:p>
    <w:p w:rsidR="00324890" w:rsidRPr="00324890" w:rsidRDefault="00324890" w:rsidP="00324890">
      <w:pPr>
        <w:pStyle w:val="BodyText"/>
        <w:rPr>
          <w:sz w:val="20"/>
        </w:rPr>
      </w:pPr>
      <w:proofErr w:type="gramStart"/>
      <w:r w:rsidRPr="00324890">
        <w:rPr>
          <w:sz w:val="20"/>
        </w:rPr>
        <w:t>dựa</w:t>
      </w:r>
      <w:proofErr w:type="gramEnd"/>
      <w:r w:rsidRPr="00324890">
        <w:rPr>
          <w:sz w:val="20"/>
        </w:rPr>
        <w:t xml:space="preserve"> trên kiểm tra mô bệnh học của cắt bỏ</w:t>
      </w:r>
      <w:r>
        <w:rPr>
          <w:sz w:val="20"/>
        </w:rPr>
        <w:t xml:space="preserve"> </w:t>
      </w:r>
      <w:r w:rsidRPr="00324890">
        <w:rPr>
          <w:sz w:val="20"/>
        </w:rPr>
        <w:t>mô và đối với các khối u ác tính cũng trên giai đoạn phẫu thuật bằng cách sử dụng phân loại của Liên đoàn Phụ khoa và Sản khoa Quốc tế (FIGO) (Prat, 2014). Trong cơ sở dữ liệu IOTA, 21 nhóm mô học đã được sử dụng (11 nhóm lành tính và 10 nhóm ác tính) đã giảm xuống còn 5 cho mô hình ADNEX: lành tính, khối u biên, xâm lấn giai đoạn I, ung thư buồng trứng xâm lấn giai đoạn II-IV và ung thư di căn thứ phát.</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Dự đoán rủi ro</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Khi chúng tôi xem xét sự phân biệt giữa khối adnexal lành tính và ác tính, diện tích dưới các đặc tính vận hành máy thu (AUC) của mô hình ADNEX là 0,954 (khoảng tin cậy 95% 0,947 đến 0,961) trên dữ liệu phát triển và 0,943 (0,934) đến 0,952) trên dữ liệu valida (Van Calster et al., 2014). Sử dụng mức cắt giảm 10% được đề xuất trước đó (Timmerman và cộng sự, 2005), độ nhạy đối với bệnh ác tính là 96</w:t>
      </w:r>
      <w:proofErr w:type="gramStart"/>
      <w:r w:rsidRPr="00324890">
        <w:rPr>
          <w:sz w:val="20"/>
        </w:rPr>
        <w:t>,5</w:t>
      </w:r>
      <w:proofErr w:type="gramEnd"/>
      <w:r w:rsidRPr="00324890">
        <w:rPr>
          <w:sz w:val="20"/>
        </w:rPr>
        <w:t>% và độ đặc hiệu 71,3% trên dữ liệu xác nhận. Mô hình phân biệt tốt giữa các khối u lành tính và từng loại trong bốn loại ác tính, với AUC trong khoảng 0</w:t>
      </w:r>
      <w:proofErr w:type="gramStart"/>
      <w:r w:rsidRPr="00324890">
        <w:rPr>
          <w:sz w:val="20"/>
        </w:rPr>
        <w:t>,85</w:t>
      </w:r>
      <w:proofErr w:type="gramEnd"/>
      <w:r w:rsidRPr="00324890">
        <w:rPr>
          <w:sz w:val="20"/>
        </w:rPr>
        <w:t xml:space="preserve"> (lành tính so với biên giới) và 0,99 (ung thư lành tính so với giai đoạn II-IV) (Van Calster et al., 2014).</w:t>
      </w:r>
    </w:p>
    <w:p w:rsidR="00324890" w:rsidRPr="00324890" w:rsidRDefault="00324890" w:rsidP="00324890">
      <w:pPr>
        <w:pStyle w:val="BodyText"/>
        <w:rPr>
          <w:sz w:val="20"/>
        </w:rPr>
      </w:pPr>
      <w:r w:rsidRPr="00324890">
        <w:rPr>
          <w:sz w:val="20"/>
        </w:rPr>
        <w:t>Trong phân tích tổng hợp gần đây nhất đánh giá</w:t>
      </w:r>
    </w:p>
    <w:p w:rsidR="00324890" w:rsidRPr="00324890" w:rsidRDefault="00324890" w:rsidP="00324890">
      <w:pPr>
        <w:pStyle w:val="BodyText"/>
        <w:rPr>
          <w:sz w:val="20"/>
        </w:rPr>
      </w:pPr>
      <w:proofErr w:type="gramStart"/>
      <w:r w:rsidRPr="00324890">
        <w:rPr>
          <w:sz w:val="20"/>
        </w:rPr>
        <w:t>hiệu</w:t>
      </w:r>
      <w:proofErr w:type="gramEnd"/>
      <w:r w:rsidRPr="00324890">
        <w:rPr>
          <w:sz w:val="20"/>
        </w:rPr>
        <w:t xml:space="preserve"> suất của các mô hình dự đoán và quy tắc để</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r w:rsidRPr="00324890">
        <w:rPr>
          <w:sz w:val="20"/>
        </w:rPr>
        <w:t>đặc trưng cho bệnh lý adnexal, mô hình hồi quy logistic IOTA LR2 (Timmerman et al., 2005; Van Holsbeke, 2012; Van Calster et al., 2012) và IOTA 'quy tắc đơn giản' (Timmerman et al., 2008; Timmerman et al., 2008</w:t>
      </w:r>
      <w:proofErr w:type="gramStart"/>
      <w:r w:rsidRPr="00324890">
        <w:rPr>
          <w:sz w:val="20"/>
        </w:rPr>
        <w:t>; ,</w:t>
      </w:r>
      <w:proofErr w:type="gramEnd"/>
      <w:r w:rsidRPr="00324890">
        <w:rPr>
          <w:sz w:val="20"/>
        </w:rPr>
        <w:t xml:space="preserve"> 2010) thực hiện tốt nhất cho sự phân biệt tổng thể giữa khối lành tính và tất cả các khối ác tính (Kaijser et al., 2014). Mô hình ADNEX dường như hoạt động tương tự, hoặc thậm chí tốt hơn một chút so với cả LR2 (AUC 0.92) và các quy tắc đơn giản (Testa et al., 2014).</w:t>
      </w:r>
    </w:p>
    <w:p w:rsidR="00324890" w:rsidRPr="00324890" w:rsidRDefault="00324890" w:rsidP="00324890">
      <w:pPr>
        <w:pStyle w:val="BodyText"/>
        <w:rPr>
          <w:sz w:val="20"/>
        </w:rPr>
      </w:pPr>
      <w:r w:rsidRPr="00324890">
        <w:rPr>
          <w:sz w:val="20"/>
        </w:rPr>
        <w:t>Xác nhận AUC cho phân biệt đối xử giữa các phân nhóm ác tính khác nhau giữa 0</w:t>
      </w:r>
      <w:proofErr w:type="gramStart"/>
      <w:r w:rsidRPr="00324890">
        <w:rPr>
          <w:sz w:val="20"/>
        </w:rPr>
        <w:t>,71</w:t>
      </w:r>
      <w:proofErr w:type="gramEnd"/>
      <w:r w:rsidRPr="00324890">
        <w:rPr>
          <w:sz w:val="20"/>
        </w:rPr>
        <w:t xml:space="preserve"> và 0,95. Mô hình phân biệt tốt giữa ung thư giai đoạn I và khối u biên (xác nhận AUC 0</w:t>
      </w:r>
      <w:proofErr w:type="gramStart"/>
      <w:r w:rsidRPr="00324890">
        <w:rPr>
          <w:sz w:val="20"/>
        </w:rPr>
        <w:t>,75</w:t>
      </w:r>
      <w:proofErr w:type="gramEnd"/>
      <w:r w:rsidRPr="00324890">
        <w:rPr>
          <w:sz w:val="20"/>
        </w:rPr>
        <w:t>) và giữa ung thư giai đoạn I và ung thư di căn thứ phát (xác nhận AUC 0,71) (Van Calster et al., 2014). Nó đã thực hiện rất tốt trong việc phân biệt ung thư giai đoạn II-IV với các khối u ác tính khác (AUC xác nhận ung thư giai đoạn II-IV so với khối u biên giới là 0</w:t>
      </w:r>
      <w:proofErr w:type="gramStart"/>
      <w:r w:rsidRPr="00324890">
        <w:rPr>
          <w:sz w:val="20"/>
        </w:rPr>
        <w:t>,95</w:t>
      </w:r>
      <w:proofErr w:type="gramEnd"/>
      <w:r w:rsidRPr="00324890">
        <w:rPr>
          <w:sz w:val="20"/>
        </w:rPr>
        <w:t xml:space="preserve">, so với ung thư giai đoạn I là 0,87 và so với ung thư di căn thứ phát là 0,82) (Van Calster et al. , 2014). Cuối cùng, AUC xác nhận cho đường biên so với ung </w:t>
      </w:r>
      <w:proofErr w:type="gramStart"/>
      <w:r w:rsidRPr="00324890">
        <w:rPr>
          <w:sz w:val="20"/>
        </w:rPr>
        <w:t>thư</w:t>
      </w:r>
      <w:proofErr w:type="gramEnd"/>
      <w:r w:rsidRPr="00324890">
        <w:rPr>
          <w:sz w:val="20"/>
        </w:rPr>
        <w:t xml:space="preserve"> di căn thứ phát là</w:t>
      </w:r>
    </w:p>
    <w:p w:rsidR="00324890" w:rsidRPr="00324890" w:rsidRDefault="00324890" w:rsidP="00324890">
      <w:pPr>
        <w:pStyle w:val="BodyText"/>
        <w:rPr>
          <w:sz w:val="20"/>
        </w:rPr>
      </w:pPr>
      <w:r w:rsidRPr="00324890">
        <w:rPr>
          <w:sz w:val="20"/>
        </w:rPr>
        <w:t>0</w:t>
      </w:r>
      <w:proofErr w:type="gramStart"/>
      <w:r w:rsidRPr="00324890">
        <w:rPr>
          <w:sz w:val="20"/>
        </w:rPr>
        <w:t>,87</w:t>
      </w:r>
      <w:proofErr w:type="gramEnd"/>
      <w:r w:rsidRPr="00324890">
        <w:rPr>
          <w:sz w:val="20"/>
        </w:rPr>
        <w:t xml:space="preserve"> (Van Calster và cộng sự, 2014).</w:t>
      </w:r>
    </w:p>
    <w:p w:rsidR="00324890" w:rsidRPr="00324890" w:rsidRDefault="00324890" w:rsidP="00324890">
      <w:pPr>
        <w:pStyle w:val="BodyText"/>
        <w:rPr>
          <w:sz w:val="20"/>
        </w:rPr>
      </w:pPr>
      <w:proofErr w:type="gramStart"/>
      <w:r w:rsidRPr="00324890">
        <w:rPr>
          <w:sz w:val="20"/>
        </w:rPr>
        <w:t>Thật thú vị khi xem xét kết quả mô học cuối cùng liên quan đến các rủi ro dự đoán trung bình cho năm nhóm ADNEX vì điều này cho thấy sự khó khăn tương đối của việc phân loại các loại khối adnexal khác nhau (Hình 2).</w:t>
      </w:r>
      <w:proofErr w:type="gramEnd"/>
      <w:r w:rsidRPr="00324890">
        <w:rPr>
          <w:sz w:val="20"/>
        </w:rPr>
        <w:t xml:space="preserve"> Như có thể được dự kiến,</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proofErr w:type="gramStart"/>
      <w:r w:rsidRPr="00324890">
        <w:rPr>
          <w:sz w:val="20"/>
        </w:rPr>
        <w:t>u</w:t>
      </w:r>
      <w:proofErr w:type="gramEnd"/>
      <w:r w:rsidRPr="00324890">
        <w:rPr>
          <w:sz w:val="20"/>
        </w:rPr>
        <w:t xml:space="preserve"> quái lành tính và u nang đơn giản có khả năng cao nhất là khối u lành tính. </w:t>
      </w:r>
      <w:proofErr w:type="gramStart"/>
      <w:r w:rsidRPr="00324890">
        <w:rPr>
          <w:sz w:val="20"/>
        </w:rPr>
        <w:t>Trung bình, xác suất dự đoán là lành tính là khoảng 90% hoặc cao hơn đối với tám trong số mười một mô học lành tính.</w:t>
      </w:r>
      <w:proofErr w:type="gramEnd"/>
      <w:r w:rsidRPr="00324890">
        <w:rPr>
          <w:sz w:val="20"/>
        </w:rPr>
        <w:t xml:space="preserve"> Mô hình ADNEX có nhiều khó khăn hơn với áp </w:t>
      </w:r>
      <w:proofErr w:type="gramStart"/>
      <w:r w:rsidRPr="00324890">
        <w:rPr>
          <w:sz w:val="20"/>
        </w:rPr>
        <w:t>xe</w:t>
      </w:r>
      <w:proofErr w:type="gramEnd"/>
      <w:r w:rsidRPr="00324890">
        <w:rPr>
          <w:sz w:val="20"/>
        </w:rPr>
        <w:t xml:space="preserve">, khối u lành tính hiếm gặp và u xơ, với xác suất dự đoán trung bình là lành tính khoảng 70%. Về khối lượng ác tính, nguy cơ trung bình được phân loại là ung </w:t>
      </w:r>
      <w:proofErr w:type="gramStart"/>
      <w:r w:rsidRPr="00324890">
        <w:rPr>
          <w:sz w:val="20"/>
        </w:rPr>
        <w:t>thư</w:t>
      </w:r>
      <w:proofErr w:type="gramEnd"/>
      <w:r w:rsidRPr="00324890">
        <w:rPr>
          <w:sz w:val="20"/>
        </w:rPr>
        <w:t xml:space="preserve"> giai đoạn tiến triển theo mô hình ADNEX tăng theo giai đoạn FIGO. Ngược lại, nguy cơ dự đoán ung </w:t>
      </w:r>
      <w:proofErr w:type="gramStart"/>
      <w:r w:rsidRPr="00324890">
        <w:rPr>
          <w:sz w:val="20"/>
        </w:rPr>
        <w:t>thư</w:t>
      </w:r>
      <w:proofErr w:type="gramEnd"/>
      <w:r w:rsidRPr="00324890">
        <w:rPr>
          <w:sz w:val="20"/>
        </w:rPr>
        <w:t xml:space="preserve"> buồng trứng ở giai đoạn I hoặc biên giới giảm khi tăng giai đoạn FIGO. Cuối cùng, nguy cơ dự đoán trung bình của ung thư di căn thứ phát là cao nhất đối với ung thư di căn đã được chứng minh về mặt mô học, nhưng lưu ý rằng u xơ, khối u lành tính hiếm gặp và ung thư buồng trứng xâm lấn được chỉ định có nguy cơ ung thư di căn khá cao.</w:t>
      </w:r>
    </w:p>
    <w:p w:rsidR="00324890" w:rsidRPr="00324890" w:rsidRDefault="00324890" w:rsidP="00324890">
      <w:pPr>
        <w:pStyle w:val="BodyText"/>
        <w:rPr>
          <w:sz w:val="20"/>
        </w:rPr>
      </w:pPr>
      <w:r w:rsidRPr="00324890">
        <w:rPr>
          <w:sz w:val="20"/>
        </w:rPr>
        <w:t>Mô hình ADNEX cuối cùng có sẵn trực tuyến và trong các ứng dụng di động (www.iotagroup.org/ adnexmodel /).</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Ý nghĩa lâm sàng của mô hình ADNEX</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 xml:space="preserve">Như với bất kỳ công cụ hỗ trợ quyết định nào, không tồn tại một cách tiếp cận cố định duy nhất để sử dụng mô hình trong thực hành lâm sàng. </w:t>
      </w:r>
      <w:proofErr w:type="gramStart"/>
      <w:r w:rsidRPr="00324890">
        <w:rPr>
          <w:sz w:val="20"/>
        </w:rPr>
        <w:t>Các mô hình rủi ro nhằm cung cấp các ước tính rủi ro chính xác cho từng bệnh nhân.</w:t>
      </w:r>
      <w:proofErr w:type="gramEnd"/>
      <w:r w:rsidRPr="00324890">
        <w:rPr>
          <w:sz w:val="20"/>
        </w:rPr>
        <w:t xml:space="preserve"> Làm thế nào những ước tính này được sử dụng để thông báo cho bệnh nhân hoặc đưa ra quyết định phụ thuộc vào vô số yếu tố, chẳng hạn như sở thích cá nhân, đặc điểm của bệnh nhân (ví dụ: tuổi và tỷ lệ mắc bệnh), giá trị bệnh nhân, giao thức địa phương và hướng dẫn khu vực. Trong phần này, chúng tôi sẽ thảo luận về một số gợi ý chung để sử dụng mô hình ADNEX trong thực hành lâm sàng.</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Cắt đứt</w:t>
      </w:r>
    </w:p>
    <w:p w:rsidR="00324890" w:rsidRPr="00324890" w:rsidRDefault="00324890" w:rsidP="00324890">
      <w:pPr>
        <w:pStyle w:val="BodyText"/>
        <w:rPr>
          <w:sz w:val="20"/>
        </w:rPr>
      </w:pPr>
    </w:p>
    <w:p w:rsidR="00324890" w:rsidRPr="00324890" w:rsidRDefault="00324890" w:rsidP="00324890">
      <w:pPr>
        <w:pStyle w:val="BodyText"/>
        <w:rPr>
          <w:sz w:val="20"/>
        </w:rPr>
      </w:pPr>
      <w:proofErr w:type="gramStart"/>
      <w:r w:rsidRPr="00324890">
        <w:rPr>
          <w:sz w:val="20"/>
        </w:rPr>
        <w:t>Sử dụng các dự đoán rủi ro để hướng dẫn phân tầng bệnh nhân và lựa chọn điều trị ngụ ý việc đưa ra các giới hạn.</w:t>
      </w:r>
      <w:proofErr w:type="gramEnd"/>
      <w:r w:rsidRPr="00324890">
        <w:rPr>
          <w:sz w:val="20"/>
        </w:rPr>
        <w:t xml:space="preserve"> Việc lựa chọn cắt bỏ không đơn giản và có thể không phù hợp với y học dựa trên bằng chứng hiện đại (EBM). Thật vậy, Greenhalgh và các đồng nghiệp (2014), trong cuộc thảo luận gần đây về cuộc khủng hoảng EBM đã nói rằng các quy tắc không linh hoạt và nhắc nhở về công nghệ có thể tạo ra sự chăm sóc được quản lý thay vì tập trung vào bệnh nhân và rằng EBM thực sự đòi hỏi bằng chứng cá nhân, là đặc trưng bởi sự đánh giá của chuyên gia thay vì quy tắc cơ học theo sau (Greenhalgh et al., 2014). </w:t>
      </w:r>
      <w:proofErr w:type="gramStart"/>
      <w:r w:rsidRPr="00324890">
        <w:rPr>
          <w:sz w:val="20"/>
        </w:rPr>
        <w:t>Việc sử dụng cứng nhắc của việc cắt đứt có thể dẫn đến đánh giá dưới mức tối ưu và thậm chí phi đạo đức.</w:t>
      </w:r>
      <w:proofErr w:type="gramEnd"/>
    </w:p>
    <w:p w:rsidR="00324890" w:rsidRPr="00324890" w:rsidRDefault="00324890" w:rsidP="00324890">
      <w:pPr>
        <w:pStyle w:val="BodyText"/>
        <w:rPr>
          <w:sz w:val="20"/>
        </w:rPr>
      </w:pPr>
      <w:r w:rsidRPr="00324890">
        <w:rPr>
          <w:sz w:val="20"/>
        </w:rPr>
        <w:t xml:space="preserve">Hơn nữa, một khi các giới hạn này đã được chọn, chúng nên được giải thích cho từng bệnh nhân bình thường tùy thuộc vào đặc điểm của cô ấy (ví dụ: tuổi, tiền sử, độ hấp thụ, khả năng hoạt động, triệu chứng, mong muốn sinh sản) và các giá trị. Chúng tôi sẽ cố gắng minh họa điều này trong các phần tiếp </w:t>
      </w:r>
      <w:proofErr w:type="gramStart"/>
      <w:r w:rsidRPr="00324890">
        <w:rPr>
          <w:sz w:val="20"/>
        </w:rPr>
        <w:t>theo</w:t>
      </w:r>
      <w:proofErr w:type="gramEnd"/>
      <w:r w:rsidRPr="00324890">
        <w:rPr>
          <w:sz w:val="20"/>
        </w:rPr>
        <w:t>.</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Lành tính so với ác tính</w:t>
      </w:r>
    </w:p>
    <w:p w:rsidR="00324890" w:rsidRPr="00324890" w:rsidRDefault="00324890" w:rsidP="00324890">
      <w:pPr>
        <w:pStyle w:val="BodyText"/>
        <w:rPr>
          <w:sz w:val="20"/>
        </w:rPr>
      </w:pPr>
    </w:p>
    <w:p w:rsidR="00324890" w:rsidRPr="00324890" w:rsidRDefault="00324890" w:rsidP="00324890">
      <w:pPr>
        <w:pStyle w:val="BodyText"/>
        <w:rPr>
          <w:sz w:val="20"/>
        </w:rPr>
      </w:pPr>
      <w:proofErr w:type="gramStart"/>
      <w:r w:rsidRPr="00324890">
        <w:rPr>
          <w:sz w:val="20"/>
        </w:rPr>
        <w:t>Khi áp dụng mô hình ADNEX cho từng bệnh nhân, xác suất cho một khối u lành tính và cho bốn loại khối u ác tính được lấy.</w:t>
      </w:r>
      <w:proofErr w:type="gramEnd"/>
      <w:r w:rsidRPr="00324890">
        <w:rPr>
          <w:sz w:val="20"/>
        </w:rPr>
        <w:t xml:space="preserve"> Khi tổng hợp bốn cái sau, nguy cơ ác tính dự đoán </w:t>
      </w:r>
      <w:proofErr w:type="gramStart"/>
      <w:r w:rsidRPr="00324890">
        <w:rPr>
          <w:sz w:val="20"/>
        </w:rPr>
        <w:t>chung</w:t>
      </w:r>
      <w:proofErr w:type="gramEnd"/>
      <w:r w:rsidRPr="00324890">
        <w:rPr>
          <w:sz w:val="20"/>
        </w:rPr>
        <w:t xml:space="preserve"> sẽ thu được. Như đã mô tả ở trên, mô hình ADNEX dường như cũng phân biệt ít nhất là giữa các tổn thương adnexal lành tính và ác tính như các quy tắc đơn giản hoặc LR2. </w:t>
      </w:r>
      <w:proofErr w:type="gramStart"/>
      <w:r w:rsidRPr="00324890">
        <w:rPr>
          <w:sz w:val="20"/>
        </w:rPr>
        <w:t>Lưu ý rằng các nghiên cứu trong tương lai so sánh ADNEX với các mô hình dự đoán khác vẫn phải xác nhận kết quả này.</w:t>
      </w:r>
      <w:proofErr w:type="gramEnd"/>
      <w:r w:rsidRPr="00324890">
        <w:rPr>
          <w:sz w:val="20"/>
        </w:rPr>
        <w:t xml:space="preserve"> Một giá trị giới hạn cụ thể của trung tâm cho phân tầng rủi ro tương đối có thể được chọn để quản lý lâm sàng. </w:t>
      </w:r>
      <w:proofErr w:type="gramStart"/>
      <w:r w:rsidRPr="00324890">
        <w:rPr>
          <w:sz w:val="20"/>
        </w:rPr>
        <w:t>Khi rủi ro của bệnh nhân nằm ở dưới giá trị giới hạn, khối lượng có thể được coi là lành tính.</w:t>
      </w:r>
      <w:proofErr w:type="gramEnd"/>
      <w:r w:rsidRPr="00324890">
        <w:rPr>
          <w:sz w:val="20"/>
        </w:rPr>
        <w:t xml:space="preserve"> Có tính đến các giá trị và triệu chứng của bệnh nhân, </w:t>
      </w:r>
      <w:proofErr w:type="gramStart"/>
      <w:r w:rsidRPr="00324890">
        <w:rPr>
          <w:sz w:val="20"/>
        </w:rPr>
        <w:t>theo</w:t>
      </w:r>
      <w:proofErr w:type="gramEnd"/>
      <w:r w:rsidRPr="00324890">
        <w:rPr>
          <w:sz w:val="20"/>
        </w:rPr>
        <w:t xml:space="preserve"> dõi phẫu thuật hoặc phẫu thuật nội soi bàng quang hoặc cắt bỏ nội soi có thể phù hợp. Trên mức cắt đứt, tổn thương ngoại tiết có thể được coi là đủ đáng ngờ để chuyển đến bác sĩ ung </w:t>
      </w:r>
      <w:proofErr w:type="gramStart"/>
      <w:r w:rsidRPr="00324890">
        <w:rPr>
          <w:sz w:val="20"/>
        </w:rPr>
        <w:t>thư</w:t>
      </w:r>
      <w:proofErr w:type="gramEnd"/>
      <w:r w:rsidRPr="00324890">
        <w:rPr>
          <w:sz w:val="20"/>
        </w:rPr>
        <w:t xml:space="preserve"> phụ khoa để điều trị thích hợp. </w:t>
      </w:r>
      <w:proofErr w:type="gramStart"/>
      <w:r w:rsidRPr="00324890">
        <w:rPr>
          <w:sz w:val="20"/>
        </w:rPr>
        <w:t>Trong bước thứ hai này, chẩn đoán phân biệt khối lượng bằng mô hình ADNEX có thể giúp tối ưu hóa quản lý (Xem 3.3).</w:t>
      </w:r>
      <w:proofErr w:type="gramEnd"/>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proofErr w:type="gramStart"/>
      <w:r w:rsidRPr="00324890">
        <w:rPr>
          <w:sz w:val="20"/>
        </w:rPr>
        <w:t>Lưu ý rằng mô hình dựa trên các bệnh nhân được lựa chọn để phẫu thuật, với kiểm tra mô bệnh học là tham chiếu tiêu chuẩn.</w:t>
      </w:r>
      <w:proofErr w:type="gramEnd"/>
      <w:r w:rsidRPr="00324890">
        <w:rPr>
          <w:sz w:val="20"/>
        </w:rPr>
        <w:t xml:space="preserve"> Những bệnh nhân này trong thực tế đều có chỉ định can thiệp phẫu thuật. Điều này ngụ ý rằng dân số mà mô hình được phát triển và xác nhận có nguy cơ cao hơn dân số bao gồm các bệnh nhân được chọn để quản lý </w:t>
      </w:r>
      <w:proofErr w:type="gramStart"/>
      <w:r w:rsidRPr="00324890">
        <w:rPr>
          <w:sz w:val="20"/>
        </w:rPr>
        <w:t>theo</w:t>
      </w:r>
      <w:proofErr w:type="gramEnd"/>
      <w:r w:rsidRPr="00324890">
        <w:rPr>
          <w:sz w:val="20"/>
        </w:rPr>
        <w:t xml:space="preserve"> dự kiến. </w:t>
      </w:r>
      <w:proofErr w:type="gramStart"/>
      <w:r w:rsidRPr="00324890">
        <w:rPr>
          <w:sz w:val="20"/>
        </w:rPr>
        <w:t>Điều này có nghĩa là dưới mức giới hạn, nguy cơ thực sự là ác tính dự kiến ​​sẽ còn thấp hơn.</w:t>
      </w:r>
      <w:proofErr w:type="gramEnd"/>
    </w:p>
    <w:p w:rsidR="00324890" w:rsidRPr="00324890" w:rsidRDefault="00324890" w:rsidP="00324890">
      <w:pPr>
        <w:pStyle w:val="BodyText"/>
        <w:rPr>
          <w:sz w:val="20"/>
        </w:rPr>
      </w:pPr>
      <w:r w:rsidRPr="00324890">
        <w:rPr>
          <w:sz w:val="20"/>
        </w:rPr>
        <w:t xml:space="preserve">Trong tương lai, một khi mô hình có thể được xác nhận trên các quần thể bao gồm cả những bệnh nhân được </w:t>
      </w:r>
      <w:proofErr w:type="gramStart"/>
      <w:r w:rsidRPr="00324890">
        <w:rPr>
          <w:sz w:val="20"/>
        </w:rPr>
        <w:t>theo</w:t>
      </w:r>
      <w:proofErr w:type="gramEnd"/>
      <w:r w:rsidRPr="00324890">
        <w:rPr>
          <w:sz w:val="20"/>
        </w:rPr>
        <w:t xml:space="preserve"> dõi bảo tồn (như trong IOTA giai đoạn 5), có thể đạt được sự phân biệt tốt hơn giữa các khối u lành tính và ác tính.</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Chẩn đoán phân biệt ác tính: nguy cơ tuyệt đối so với thay đổi tương đối về rủi ro</w:t>
      </w:r>
    </w:p>
    <w:p w:rsidR="00324890" w:rsidRPr="00324890" w:rsidRDefault="00324890" w:rsidP="00324890">
      <w:pPr>
        <w:pStyle w:val="BodyText"/>
        <w:rPr>
          <w:sz w:val="20"/>
        </w:rPr>
      </w:pPr>
    </w:p>
    <w:p w:rsidR="00324890" w:rsidRPr="00324890" w:rsidRDefault="00324890" w:rsidP="00324890">
      <w:pPr>
        <w:pStyle w:val="BodyText"/>
        <w:rPr>
          <w:sz w:val="20"/>
        </w:rPr>
      </w:pPr>
      <w:proofErr w:type="gramStart"/>
      <w:r w:rsidRPr="00324890">
        <w:rPr>
          <w:sz w:val="20"/>
        </w:rPr>
        <w:t>Mô hình ADNEX tính toán ước tính rủi ro tuyệt đối cho bốn loại khối u ác tính.</w:t>
      </w:r>
      <w:proofErr w:type="gramEnd"/>
      <w:r w:rsidRPr="00324890">
        <w:rPr>
          <w:sz w:val="20"/>
        </w:rPr>
        <w:t xml:space="preserve"> Những rủi ro dự đoán cho một bệnh nhân cụ thể có thể là một kết quả quan trọng để dựa vào việc điều trị lâm sàng. Trong số bốn nhóm khối u ác tính, đặc biệt là </w:t>
      </w:r>
      <w:proofErr w:type="gramStart"/>
      <w:r w:rsidRPr="00324890">
        <w:rPr>
          <w:sz w:val="20"/>
        </w:rPr>
        <w:t>di căn</w:t>
      </w:r>
      <w:proofErr w:type="gramEnd"/>
      <w:r w:rsidRPr="00324890">
        <w:rPr>
          <w:sz w:val="20"/>
        </w:rPr>
        <w:t xml:space="preserve"> thứ phát đến buồng trứng và khối u buồng trứng ác tính biên giới được đặc biệt quan tâm để xác định trước phẫu thuật. </w:t>
      </w:r>
      <w:proofErr w:type="gramStart"/>
      <w:r w:rsidRPr="00324890">
        <w:rPr>
          <w:sz w:val="20"/>
        </w:rPr>
        <w:t>Tuy nhiên, do tỷ lệ phổ biến thấp của hầu hết các loại kết quả xấu, các rủi ro dự đoán cho các loại này sẽ không phải lúc nào cũng rất cao.</w:t>
      </w:r>
      <w:proofErr w:type="gramEnd"/>
      <w:r w:rsidRPr="00324890">
        <w:rPr>
          <w:sz w:val="20"/>
        </w:rPr>
        <w:t xml:space="preserve"> Ví dụ, ung </w:t>
      </w:r>
      <w:proofErr w:type="gramStart"/>
      <w:r w:rsidRPr="00324890">
        <w:rPr>
          <w:sz w:val="20"/>
        </w:rPr>
        <w:t>thư</w:t>
      </w:r>
      <w:proofErr w:type="gramEnd"/>
      <w:r w:rsidRPr="00324890">
        <w:rPr>
          <w:sz w:val="20"/>
        </w:rPr>
        <w:t xml:space="preserve"> di căn thứ phát có nguy cơ cơ bản chỉ 4% (Bảng I). Do đó, khó có thể quan sát các rủi ro dự đoán rất cao đối với loại này so với ung thư buồng trứng giai đoạn II-IV (nguy cơ cơ bản 14</w:t>
      </w:r>
      <w:proofErr w:type="gramStart"/>
      <w:r w:rsidRPr="00324890">
        <w:rPr>
          <w:sz w:val="20"/>
        </w:rPr>
        <w:t>,1</w:t>
      </w:r>
      <w:proofErr w:type="gramEnd"/>
      <w:r w:rsidRPr="00324890">
        <w:rPr>
          <w:sz w:val="20"/>
        </w:rPr>
        <w:t>%). Chúng tôi quan sát thấy nguy cơ dự đoán tối đa là 68,4% khi bị ranh giới, 48,9% là ung thư giai đoạn I, 99,6% là ung thư giai đoạn II-IV,</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proofErr w:type="gramStart"/>
      <w:r w:rsidRPr="00324890">
        <w:rPr>
          <w:sz w:val="20"/>
        </w:rPr>
        <w:t>và</w:t>
      </w:r>
      <w:proofErr w:type="gramEnd"/>
      <w:r w:rsidRPr="00324890">
        <w:rPr>
          <w:sz w:val="20"/>
        </w:rPr>
        <w:t xml:space="preserve"> 44,6% là ung thư di căn thứ phát. Do đó, không thực tế khi hy vọng rằng nguy cơ dự đoán là ranh giới, ung </w:t>
      </w:r>
      <w:proofErr w:type="gramStart"/>
      <w:r w:rsidRPr="00324890">
        <w:rPr>
          <w:sz w:val="20"/>
        </w:rPr>
        <w:t>thư</w:t>
      </w:r>
      <w:proofErr w:type="gramEnd"/>
      <w:r w:rsidRPr="00324890">
        <w:rPr>
          <w:sz w:val="20"/>
        </w:rPr>
        <w:t xml:space="preserve"> giai đoạn I hoặc ung thư di căn thứ phát có thể lên tới 80%. Điều này không có nghĩa là mô hình không hoạt động tốt: AUC cho các cặp loại kết quả trên thực tế khá cao đối với một mô hình nhằm phân biệt giữa năm loại. </w:t>
      </w:r>
      <w:proofErr w:type="gramStart"/>
      <w:r w:rsidRPr="00324890">
        <w:rPr>
          <w:sz w:val="20"/>
        </w:rPr>
        <w:t>Thay vào đó, phát hiện này có thể ngụ ý rằng mô hình ADNEX là một công cụ rất thú vị để đánh giá liệu có khả năng tăng một trong những loại hiếm hơn không.</w:t>
      </w:r>
      <w:proofErr w:type="gramEnd"/>
      <w:r w:rsidRPr="00324890">
        <w:rPr>
          <w:sz w:val="20"/>
        </w:rPr>
        <w:t xml:space="preserve"> </w:t>
      </w:r>
      <w:proofErr w:type="gramStart"/>
      <w:r w:rsidRPr="00324890">
        <w:rPr>
          <w:sz w:val="20"/>
        </w:rPr>
        <w:t>Theo nghĩa đó, rất hữu ích để kiểm tra mức độ rủi ro dự đoán cho từng bệnh nhân so với rủi ro cơ bản.</w:t>
      </w:r>
      <w:proofErr w:type="gramEnd"/>
      <w:r w:rsidRPr="00324890">
        <w:rPr>
          <w:sz w:val="20"/>
        </w:rPr>
        <w:t xml:space="preserve"> </w:t>
      </w:r>
      <w:proofErr w:type="gramStart"/>
      <w:r w:rsidRPr="00324890">
        <w:rPr>
          <w:sz w:val="20"/>
        </w:rPr>
        <w:t>Với mục đích này, rủi ro tương đối, tức là rủi ro dự đoán tuyệt đối chia cho rủi ro cơ sở và giá trị dự báo dương tương ứng của chúng (PPV) có thể được tính toán (Bảng II).</w:t>
      </w:r>
      <w:proofErr w:type="gramEnd"/>
      <w:r w:rsidRPr="00324890">
        <w:rPr>
          <w:sz w:val="20"/>
        </w:rPr>
        <w:t xml:space="preserve"> Ví dụ, bệnh nhân có nguy cơ tương đối có khối u biên giới trên 2 có nguy cơ dự đoán tuyệt đối trên 12</w:t>
      </w:r>
      <w:proofErr w:type="gramStart"/>
      <w:r w:rsidRPr="00324890">
        <w:rPr>
          <w:sz w:val="20"/>
        </w:rPr>
        <w:t>,6</w:t>
      </w:r>
      <w:proofErr w:type="gramEnd"/>
      <w:r w:rsidRPr="00324890">
        <w:rPr>
          <w:sz w:val="20"/>
        </w:rPr>
        <w:t>%. Trong nhóm bệnh nhân này, 23</w:t>
      </w:r>
      <w:proofErr w:type="gramStart"/>
      <w:r w:rsidRPr="00324890">
        <w:rPr>
          <w:sz w:val="20"/>
        </w:rPr>
        <w:t>,9</w:t>
      </w:r>
      <w:proofErr w:type="gramEnd"/>
      <w:r w:rsidRPr="00324890">
        <w:rPr>
          <w:sz w:val="20"/>
        </w:rPr>
        <w:t>% cuối cùng được chẩn đoán có khối u ở đường biên trong tập dữ liệu của chúng tôi.</w:t>
      </w:r>
    </w:p>
    <w:p w:rsidR="00324890" w:rsidRPr="00324890" w:rsidRDefault="00324890" w:rsidP="00324890">
      <w:pPr>
        <w:pStyle w:val="BodyText"/>
        <w:rPr>
          <w:sz w:val="20"/>
        </w:rPr>
      </w:pPr>
      <w:r w:rsidRPr="00324890">
        <w:rPr>
          <w:sz w:val="20"/>
        </w:rPr>
        <w:t xml:space="preserve">Mô hình ADNEX là mô hình được biết đến đầu tiên có thể phân biệt giữa các loại khối u ác tính khác nhau, do đó không đơn giản làm thế nào để sử dụng nó trên lâm sàng. Về mặt này, kiến ​​thức về những rủi ro tương đối này là thông tin bổ sung cho các rủi ro dự đoán có thể giúp điều chỉnh quản lý cho từng bệnh nhân. </w:t>
      </w:r>
      <w:proofErr w:type="gramStart"/>
      <w:r w:rsidRPr="00324890">
        <w:rPr>
          <w:sz w:val="20"/>
        </w:rPr>
        <w:t>Chúng tôi tin rằng mục tiêu không nên là phân loại các khối u thành một nhóm nhỏ ác tính và quản lý bệnh nhân phù hợp.</w:t>
      </w:r>
      <w:proofErr w:type="gramEnd"/>
      <w:r w:rsidRPr="00324890">
        <w:rPr>
          <w:sz w:val="20"/>
        </w:rPr>
        <w:t xml:space="preserve"> </w:t>
      </w:r>
      <w:proofErr w:type="gramStart"/>
      <w:r w:rsidRPr="00324890">
        <w:rPr>
          <w:sz w:val="20"/>
        </w:rPr>
        <w:t>Thay vào đó, sẽ hợp lý hơn khi đánh giá từng loại bệnh ác tính cho dù rủi ro dự đoán và / hoặc rủi ro tương đối là cao hay thấp.</w:t>
      </w:r>
      <w:proofErr w:type="gramEnd"/>
      <w:r w:rsidRPr="00324890">
        <w:rPr>
          <w:sz w:val="20"/>
        </w:rPr>
        <w:t xml:space="preserve"> Di căn thứ phát đến buồng trứng (khối u Krukenberg) bắt nguồn từ 76% trường hợp ở dạ dày, 11% ở ruột (thường là đại tràng hoặc trực tràng), 4% ở vú, 3% ở hệ mật, 3% ở</w:t>
      </w:r>
      <w:r>
        <w:rPr>
          <w:sz w:val="20"/>
        </w:rPr>
        <w:t xml:space="preserve"> </w:t>
      </w:r>
      <w:r w:rsidRPr="00324890">
        <w:rPr>
          <w:sz w:val="20"/>
        </w:rPr>
        <w:t xml:space="preserve">ruột thừa và 3% còn lại ở các vị trí linh tinh, chẳng hạn như tuyến tụy, cổ tử cung, bàng quang tiết niệu (bao gồm urachus) và khung chậu thận (Irving et al., 2006). Khi nghi ngờ ác tính buồng trứng trên siêu âm âm đạo, giai đoạn trước phẫu thuật được lên kế hoạch bằng cách sử dụng X-quang ngực, chụp cắt lớp vi tính (CT) bụng hoặc chụp cộng hưởng từ (MRI) để đánh giá sự mở rộng của bệnh. Khi mô hình ADNEX sẽ tăng nguy cơ ung </w:t>
      </w:r>
      <w:proofErr w:type="gramStart"/>
      <w:r w:rsidRPr="00324890">
        <w:rPr>
          <w:sz w:val="20"/>
        </w:rPr>
        <w:t>thư</w:t>
      </w:r>
      <w:proofErr w:type="gramEnd"/>
      <w:r w:rsidRPr="00324890">
        <w:rPr>
          <w:sz w:val="20"/>
        </w:rPr>
        <w:t xml:space="preserve"> di căn thứ phát (ví dụ: nguy cơ tương đối&gt; 3 hoặc&gt; 4, PPV tương ứng</w:t>
      </w:r>
    </w:p>
    <w:p w:rsidR="00324890" w:rsidRPr="00324890" w:rsidRDefault="00324890" w:rsidP="00324890">
      <w:pPr>
        <w:pStyle w:val="BodyText"/>
        <w:rPr>
          <w:sz w:val="20"/>
        </w:rPr>
      </w:pPr>
      <w:r w:rsidRPr="00324890">
        <w:rPr>
          <w:sz w:val="20"/>
        </w:rPr>
        <w:t>26</w:t>
      </w:r>
      <w:proofErr w:type="gramStart"/>
      <w:r w:rsidRPr="00324890">
        <w:rPr>
          <w:sz w:val="20"/>
        </w:rPr>
        <w:t>,4</w:t>
      </w:r>
      <w:proofErr w:type="gramEnd"/>
      <w:r w:rsidRPr="00324890">
        <w:rPr>
          <w:sz w:val="20"/>
        </w:rPr>
        <w:t xml:space="preserve"> và 31,6%), điều này có thể giúp bác sĩ lâm sàng lên kế hoạch chẩn đoán thích hợp để loại trừ một nguồn gốc ác tính khác. Tùy thuộc vào tình hình lâm sàng, các nghiên cứu bổ sung này có thể bao gồm PET-CT, khuếch tán toàn thân MRI, nội soi dạ dày, nội soi đại tràng và chụp X-quang.</w:t>
      </w:r>
    </w:p>
    <w:p w:rsidR="00324890" w:rsidRPr="00324890" w:rsidRDefault="00324890" w:rsidP="00324890">
      <w:pPr>
        <w:pStyle w:val="BodyText"/>
        <w:rPr>
          <w:sz w:val="20"/>
        </w:rPr>
      </w:pPr>
      <w:r w:rsidRPr="00324890">
        <w:rPr>
          <w:sz w:val="20"/>
        </w:rPr>
        <w:t xml:space="preserve">Các khối u biểu mô ác tính biên giới chủ yếu là không xâm lấn nhưng có thể (hiếm khi) dẫn đến </w:t>
      </w:r>
      <w:proofErr w:type="gramStart"/>
      <w:r w:rsidRPr="00324890">
        <w:rPr>
          <w:sz w:val="20"/>
        </w:rPr>
        <w:t>di căn</w:t>
      </w:r>
      <w:proofErr w:type="gramEnd"/>
      <w:r w:rsidRPr="00324890">
        <w:rPr>
          <w:sz w:val="20"/>
        </w:rPr>
        <w:t xml:space="preserve"> xâm lấn. </w:t>
      </w:r>
      <w:proofErr w:type="gramStart"/>
      <w:r w:rsidRPr="00324890">
        <w:rPr>
          <w:sz w:val="20"/>
        </w:rPr>
        <w:t>Mức độ phẫu thuật phụ thuộc vào giai đoạn (phẫu thuật) và mong muốn bảo tồn khả năng sinh sản (Cadron et al., 2007).</w:t>
      </w:r>
      <w:proofErr w:type="gramEnd"/>
      <w:r w:rsidRPr="00324890">
        <w:rPr>
          <w:sz w:val="20"/>
        </w:rPr>
        <w:t xml:space="preserve"> Nếu bệnh </w:t>
      </w:r>
      <w:r w:rsidRPr="00324890">
        <w:rPr>
          <w:sz w:val="20"/>
        </w:rPr>
        <w:lastRenderedPageBreak/>
        <w:t xml:space="preserve">nhân không mong muốn, phẫu thuật bao gồm cắt tử cung bằng phẫu thuật cắt bỏ hai bên, cắt bỏ và </w:t>
      </w:r>
      <w:proofErr w:type="gramStart"/>
      <w:r w:rsidRPr="00324890">
        <w:rPr>
          <w:sz w:val="20"/>
        </w:rPr>
        <w:t>thu</w:t>
      </w:r>
      <w:proofErr w:type="gramEnd"/>
      <w:r w:rsidRPr="00324890">
        <w:rPr>
          <w:sz w:val="20"/>
        </w:rPr>
        <w:t xml:space="preserve"> thập sinh thiết phúc mạc và tế bào học. Nếu bệnh nhân muốn bảo tồn khả năng sinh sản của mình, có thể phẫu thuật cắt bỏ khả năng sinh sản (phẫu thuật cắt bỏ tuyến vú đơn phương hoặc cắt bàng quang hoặc cắt bỏ khối u đơn phương bằng phẫu thuật cắt bỏ nang hai bên nếu bệnh lý hai bên, bằng phẫu thuật cắt bỏ và sinh thiết màng bụng). </w:t>
      </w:r>
      <w:proofErr w:type="gramStart"/>
      <w:r w:rsidRPr="00324890">
        <w:rPr>
          <w:sz w:val="20"/>
        </w:rPr>
        <w:t>Thủ tục này thường được thực hiện bằng phẫu thuật nội soi, nhưng cũng có thể được thực hiện bằng nội soi.</w:t>
      </w:r>
      <w:proofErr w:type="gramEnd"/>
      <w:r w:rsidRPr="00324890">
        <w:rPr>
          <w:sz w:val="20"/>
        </w:rPr>
        <w:t xml:space="preserve"> Các quy trình tránh sinh này có thể được xem xét khi mô hình ADNEX chỉ ra nguy cơ mắc bệnh ác tính ở biên giới (ví dụ: rủi ro tương đối&gt; 3 hoặc&gt; 4, PPV tương ứng 26</w:t>
      </w:r>
      <w:proofErr w:type="gramStart"/>
      <w:r w:rsidRPr="00324890">
        <w:rPr>
          <w:sz w:val="20"/>
        </w:rPr>
        <w:t>,0</w:t>
      </w:r>
      <w:proofErr w:type="gramEnd"/>
      <w:r w:rsidRPr="00324890">
        <w:rPr>
          <w:sz w:val="20"/>
        </w:rPr>
        <w:t xml:space="preserve"> và 29,7%).</w:t>
      </w:r>
    </w:p>
    <w:p w:rsidR="00324890" w:rsidRPr="00324890" w:rsidRDefault="00324890" w:rsidP="00324890">
      <w:pPr>
        <w:pStyle w:val="BodyText"/>
        <w:rPr>
          <w:sz w:val="20"/>
        </w:rPr>
      </w:pPr>
      <w:r w:rsidRPr="00324890">
        <w:rPr>
          <w:sz w:val="20"/>
        </w:rPr>
        <w:t xml:space="preserve">Điều trị phẫu thuật giai đoạn ung </w:t>
      </w:r>
      <w:proofErr w:type="gramStart"/>
      <w:r w:rsidRPr="00324890">
        <w:rPr>
          <w:sz w:val="20"/>
        </w:rPr>
        <w:t>thư</w:t>
      </w:r>
      <w:proofErr w:type="gramEnd"/>
      <w:r w:rsidRPr="00324890">
        <w:rPr>
          <w:sz w:val="20"/>
        </w:rPr>
        <w:t xml:space="preserve"> buồng trứng xâm lấn I phụ thuộc vào mô học và mức độ biệt hóa của khối u (Vergote et al., 2001). </w:t>
      </w:r>
      <w:proofErr w:type="gramStart"/>
      <w:r w:rsidRPr="00324890">
        <w:rPr>
          <w:sz w:val="20"/>
        </w:rPr>
        <w:t>Các khối u dây rốn giới tính và các khối u tế bào mầm hầu hết có thể được vận hành bằng các biện pháp tránh sinh.</w:t>
      </w:r>
      <w:proofErr w:type="gramEnd"/>
      <w:r w:rsidRPr="00324890">
        <w:rPr>
          <w:sz w:val="20"/>
        </w:rPr>
        <w:t xml:space="preserve"> Trong trường hợp ung </w:t>
      </w:r>
      <w:proofErr w:type="gramStart"/>
      <w:r w:rsidRPr="00324890">
        <w:rPr>
          <w:sz w:val="20"/>
        </w:rPr>
        <w:t>thư</w:t>
      </w:r>
      <w:proofErr w:type="gramEnd"/>
      <w:r w:rsidRPr="00324890">
        <w:rPr>
          <w:sz w:val="20"/>
        </w:rPr>
        <w:t xml:space="preserve"> buồng trứng biểu mô, điều này phụ thuộc vào mức độ biệt hóa hoặc loại mô học (ví dụ: ung thư biểu mô niêm mạc xâm lấn xâm lấn) và chỉ có thể ở giai đoạn Ia (Muyldermans et al., 2013). </w:t>
      </w:r>
      <w:proofErr w:type="gramStart"/>
      <w:r w:rsidRPr="00324890">
        <w:rPr>
          <w:sz w:val="20"/>
        </w:rPr>
        <w:t>Ở những bệnh nhân này, thường được phẫu thuật nội soi được thực hiện với kiểm tra mô bệnh học trước phẫu thuật trên phần đông lạnh.</w:t>
      </w:r>
      <w:proofErr w:type="gramEnd"/>
    </w:p>
    <w:p w:rsidR="00324890" w:rsidRPr="00324890" w:rsidRDefault="00324890" w:rsidP="00324890">
      <w:pPr>
        <w:pStyle w:val="BodyText"/>
        <w:rPr>
          <w:sz w:val="20"/>
        </w:rPr>
      </w:pPr>
      <w:r w:rsidRPr="00324890">
        <w:rPr>
          <w:sz w:val="20"/>
        </w:rPr>
        <w:t xml:space="preserve">Trong trường hợp nghi ngờ ung </w:t>
      </w:r>
      <w:proofErr w:type="gramStart"/>
      <w:r w:rsidRPr="00324890">
        <w:rPr>
          <w:sz w:val="20"/>
        </w:rPr>
        <w:t>thư</w:t>
      </w:r>
      <w:proofErr w:type="gramEnd"/>
      <w:r w:rsidRPr="00324890">
        <w:rPr>
          <w:sz w:val="20"/>
        </w:rPr>
        <w:t xml:space="preserve"> buồng trứng giai đoạn tiến triển, có thể thực hiện nội soi chẩn đoán để đánh giá tính khả thi của phẫu thuật cắt bỏ tiên phát. </w:t>
      </w:r>
      <w:proofErr w:type="gramStart"/>
      <w:r w:rsidRPr="00324890">
        <w:rPr>
          <w:sz w:val="20"/>
        </w:rPr>
        <w:t>Tùy chọn hóa trị tân dược bổ trợ sau phẫu thuật debulking có thể được ưu tiên trong một số trường hợp (Vergote et al., 2010).</w:t>
      </w:r>
      <w:proofErr w:type="gramEnd"/>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r w:rsidRPr="00324890">
        <w:rPr>
          <w:sz w:val="20"/>
        </w:rPr>
        <w:t>Mô hình ADNEX cũng có thể giúp bác sĩ lâm sàng hoạch định chiến lược phù hợp khi dự đoán ung thư buồng trứng xâm lấn, nhưng có lẽ sẽ đóng góp ít hơn ở đây, vì các hình ảnh khác, giai đoạn phẫu thuật và đặc điểm bệnh nhân sẽ quyết định mạnh mẽ hơn cho chiến lược phù hợp.</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Sử dụng ADNEX có hoặc không có điểm đánh dấu CA-125</w:t>
      </w:r>
    </w:p>
    <w:p w:rsidR="00324890" w:rsidRPr="00324890" w:rsidRDefault="00324890" w:rsidP="00324890">
      <w:pPr>
        <w:pStyle w:val="BodyText"/>
        <w:rPr>
          <w:sz w:val="20"/>
        </w:rPr>
      </w:pPr>
    </w:p>
    <w:p w:rsidR="00324890" w:rsidRPr="00324890" w:rsidRDefault="00324890" w:rsidP="00324890">
      <w:pPr>
        <w:pStyle w:val="BodyText"/>
        <w:rPr>
          <w:sz w:val="20"/>
        </w:rPr>
      </w:pPr>
      <w:proofErr w:type="gramStart"/>
      <w:r w:rsidRPr="00324890">
        <w:rPr>
          <w:sz w:val="20"/>
        </w:rPr>
        <w:t>Mặc dù mô hình ADNEX bao gồm mức CA-125 huyết thanh, các ứng dụng trực tuyến và di động cho phép tính toán rủi ro mà không có thông tin này.</w:t>
      </w:r>
      <w:proofErr w:type="gramEnd"/>
      <w:r w:rsidRPr="00324890">
        <w:rPr>
          <w:sz w:val="20"/>
        </w:rPr>
        <w:t xml:space="preserve"> </w:t>
      </w:r>
      <w:proofErr w:type="gramStart"/>
      <w:r w:rsidRPr="00324890">
        <w:rPr>
          <w:sz w:val="20"/>
        </w:rPr>
        <w:t>Nếu làm như vậy, một cảnh báo được đưa ra Kết quả tính toán mà không có mức CA-125 huyết thanh?</w:t>
      </w:r>
      <w:proofErr w:type="gramEnd"/>
      <w:r w:rsidRPr="00324890">
        <w:rPr>
          <w:sz w:val="20"/>
        </w:rPr>
        <w:t xml:space="preserve"> </w:t>
      </w:r>
      <w:proofErr w:type="gramStart"/>
      <w:r w:rsidRPr="00324890">
        <w:rPr>
          <w:sz w:val="20"/>
        </w:rPr>
        <w:t>Lĩnh vực này thực sự là tùy chọn nhưng điều này sẽ làm giảm sự phân biệt giữa các khối u xâm lấn Giai đoạn II-IV và các phân nhóm ác tính khác.</w:t>
      </w:r>
      <w:proofErr w:type="gramEnd"/>
      <w:r w:rsidRPr="00324890">
        <w:rPr>
          <w:sz w:val="20"/>
        </w:rPr>
        <w:t xml:space="preserve"> Một cách có thể để sử dụng ADNEX, đặc biệt là khi CA-125 không phải lúc nào cũng được đo tại bệnh viện của bạn, trước tiên là áp dụng mô hình ADNEX không có mức CA-125 huyết thanh và sử dụng các dự đoán rủi ro này để phân biệt các khối u lành tính và ác tính. Kết quả chỉ ra rằng thiếu sót của CA-125 đã tác động hạn chế đến sự phân biệt giữa khối u lành tính và tất cả các khối u ác tính: AUC xác nhận là 0,943 với mức độ CA-125 được đưa vào như một công cụ dự đoán và 0,932 mà không sử dụng cấp độ CA-125 như một công cụ dự đoán (Van Calster et al., 2014). Thứ hai, trong trường hợp có nguy cơ ác tính cao (đủ), mức CA-125 có thể được đưa vào để cập nhật dự đoán rủi ro. Điều này dẫn đến sự khác biệt vượt trội giữa đường biên giới, giai đoạn I xâm lấn, ung thư di căn giai đoạn II-IV và ung thư di căn thứ phát (Van Calster et al., 2011, 2014). Bằng cách này, việc đo nồng độ CA-125 trong huyết thanh có thể bị hạn chế ở những bệnh nhân có nguy cơ mắc ung </w:t>
      </w:r>
      <w:proofErr w:type="gramStart"/>
      <w:r w:rsidRPr="00324890">
        <w:rPr>
          <w:sz w:val="20"/>
        </w:rPr>
        <w:t>thư</w:t>
      </w:r>
      <w:proofErr w:type="gramEnd"/>
      <w:r w:rsidRPr="00324890">
        <w:rPr>
          <w:sz w:val="20"/>
        </w:rPr>
        <w:t xml:space="preserve"> buồng trứng.</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Ví dụ thực tế</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Trường hợp 1</w:t>
      </w:r>
    </w:p>
    <w:p w:rsidR="00324890" w:rsidRPr="00324890" w:rsidRDefault="00324890" w:rsidP="00324890">
      <w:pPr>
        <w:pStyle w:val="BodyText"/>
        <w:rPr>
          <w:sz w:val="20"/>
        </w:rPr>
      </w:pPr>
    </w:p>
    <w:p w:rsidR="00324890" w:rsidRDefault="00324890" w:rsidP="00324890">
      <w:pPr>
        <w:pStyle w:val="BodyText"/>
        <w:rPr>
          <w:sz w:val="20"/>
        </w:rPr>
      </w:pPr>
      <w:r w:rsidRPr="00324890">
        <w:rPr>
          <w:sz w:val="20"/>
        </w:rPr>
        <w:t xml:space="preserve">Chúng tôi đánh giá một phụ nữ 59 tuổi trong một trung tâm ung </w:t>
      </w:r>
      <w:proofErr w:type="gramStart"/>
      <w:r w:rsidRPr="00324890">
        <w:rPr>
          <w:sz w:val="20"/>
        </w:rPr>
        <w:t>thư</w:t>
      </w:r>
      <w:proofErr w:type="gramEnd"/>
      <w:r w:rsidRPr="00324890">
        <w:rPr>
          <w:sz w:val="20"/>
        </w:rPr>
        <w:t xml:space="preserve"> phụ khoa. Mức CA125 là 153 U / ml. Trên siêu âm qua ngã âm đạo, chúng tôi mô tả một khối buồng trứng rắn với đường kính tổn thương tối đa là 59 mm, đường kính tối đa của thành phần rắn lớn nhất là 59 mm, và không có bóng âm. </w:t>
      </w:r>
      <w:proofErr w:type="gramStart"/>
      <w:r w:rsidRPr="00324890">
        <w:rPr>
          <w:sz w:val="20"/>
        </w:rPr>
        <w:t>Có sự hiện diện của chất lỏng bên ngoài túi Douglas (cổ trướng).</w:t>
      </w:r>
      <w:proofErr w:type="gramEnd"/>
      <w:r w:rsidRPr="00324890">
        <w:rPr>
          <w:sz w:val="20"/>
        </w:rPr>
        <w:t xml:space="preserve"> Nếu chúng tôi giới thiệu các tham số này trong mô hình ADNEX (trong trường hợp này là ứng dụng cho điện thoại thông minh), chúng tôi sẽ </w:t>
      </w:r>
      <w:proofErr w:type="gramStart"/>
      <w:r w:rsidRPr="00324890">
        <w:rPr>
          <w:sz w:val="20"/>
        </w:rPr>
        <w:t>thu</w:t>
      </w:r>
      <w:proofErr w:type="gramEnd"/>
      <w:r w:rsidRPr="00324890">
        <w:rPr>
          <w:sz w:val="20"/>
        </w:rPr>
        <w:t xml:space="preserve"> được các kết quả và biểu đồ cột như minh họa trong Hình 3. Đầu tiên, chúng tôi thêm các dự đoán rủi ro cho bốn nhóm phụ ác tính để có được tổng rủi ro ác </w:t>
      </w:r>
      <w:proofErr w:type="gramStart"/>
      <w:r w:rsidRPr="00324890">
        <w:rPr>
          <w:sz w:val="20"/>
        </w:rPr>
        <w:t>tính ,</w:t>
      </w:r>
      <w:proofErr w:type="gramEnd"/>
      <w:r w:rsidRPr="00324890">
        <w:rPr>
          <w:sz w:val="20"/>
        </w:rPr>
        <w:t xml:space="preserve"> là 95,3% cho bệnh nhân này. Do đó, khối u là l</w:t>
      </w:r>
    </w:p>
    <w:p w:rsidR="00324890" w:rsidRPr="00324890" w:rsidRDefault="00324890" w:rsidP="00324890">
      <w:pPr>
        <w:pStyle w:val="BodyText"/>
        <w:rPr>
          <w:sz w:val="20"/>
        </w:rPr>
      </w:pPr>
      <w:r w:rsidRPr="00324890">
        <w:rPr>
          <w:sz w:val="20"/>
        </w:rPr>
        <w:t>giữa bốn phân nhóm ác tính và quan sát nguy cơ dự đoán ung thư di căn thứ phát là 21,2% (so với nguy cơ cơ bản là 4,0%) và nguy cơ ung thư buồng trứng giai đoạn II-IV là 67,9% (so với nguy cơ ban đầu là 14,1%). Rủi ro dự đoán cho các nhóm nhỏ khác thấp hơn (4</w:t>
      </w:r>
      <w:proofErr w:type="gramStart"/>
      <w:r w:rsidRPr="00324890">
        <w:rPr>
          <w:sz w:val="20"/>
        </w:rPr>
        <w:t>,6</w:t>
      </w:r>
      <w:proofErr w:type="gramEnd"/>
      <w:r w:rsidRPr="00324890">
        <w:rPr>
          <w:sz w:val="20"/>
        </w:rPr>
        <w:t>% đối với ung thư giai đoạn I và 1,6% đối với đường biên giới) và cũng nhỏ hơn so với rủi ro cơ bản.</w:t>
      </w:r>
    </w:p>
    <w:p w:rsidR="00324890" w:rsidRPr="00324890" w:rsidRDefault="00324890" w:rsidP="00324890">
      <w:pPr>
        <w:pStyle w:val="BodyText"/>
        <w:rPr>
          <w:sz w:val="20"/>
        </w:rPr>
      </w:pPr>
      <w:r w:rsidRPr="00324890">
        <w:rPr>
          <w:sz w:val="20"/>
        </w:rPr>
        <w:t xml:space="preserve">Các rủi ro tương đối tương ứng (nghĩa là tỷ lệ rủi ro dự đoán và rủi ro cơ bản) đối với ung </w:t>
      </w:r>
      <w:proofErr w:type="gramStart"/>
      <w:r w:rsidRPr="00324890">
        <w:rPr>
          <w:sz w:val="20"/>
        </w:rPr>
        <w:t>thư</w:t>
      </w:r>
      <w:proofErr w:type="gramEnd"/>
      <w:r w:rsidRPr="00324890">
        <w:rPr>
          <w:sz w:val="20"/>
        </w:rPr>
        <w:t xml:space="preserve"> di căn thứ phát và ung thư buồng trứng giai đoạn II-IV là</w:t>
      </w:r>
    </w:p>
    <w:p w:rsidR="00324890" w:rsidRPr="00324890" w:rsidRDefault="00324890" w:rsidP="00324890">
      <w:pPr>
        <w:pStyle w:val="BodyText"/>
        <w:rPr>
          <w:sz w:val="20"/>
        </w:rPr>
      </w:pPr>
      <w:r w:rsidRPr="00324890">
        <w:rPr>
          <w:sz w:val="20"/>
        </w:rPr>
        <w:t>5</w:t>
      </w:r>
      <w:proofErr w:type="gramStart"/>
      <w:r w:rsidRPr="00324890">
        <w:rPr>
          <w:sz w:val="20"/>
        </w:rPr>
        <w:t>,3</w:t>
      </w:r>
      <w:proofErr w:type="gramEnd"/>
      <w:r w:rsidRPr="00324890">
        <w:rPr>
          <w:sz w:val="20"/>
        </w:rPr>
        <w:t xml:space="preserve"> và 4,8, tương ứng. Nguy cơ tương đối đối với ung </w:t>
      </w:r>
      <w:proofErr w:type="gramStart"/>
      <w:r w:rsidRPr="00324890">
        <w:rPr>
          <w:sz w:val="20"/>
        </w:rPr>
        <w:t>thư</w:t>
      </w:r>
      <w:proofErr w:type="gramEnd"/>
      <w:r w:rsidRPr="00324890">
        <w:rPr>
          <w:sz w:val="20"/>
        </w:rPr>
        <w:t xml:space="preserve"> buồng trứng ở giai đoạn I hoặc giai đoạn I là dưới 1. Với kiến ​​thức về nguy cơ gia tăng ung thư buồng trứng giai đoạn tiến triển và quan trọng hơn là ung thư di căn thứ phát, các bác sĩ lâm sàng có thể điều chỉnh chẩn đoán trước phẫu thuật bằng cách loại trừ một khối u có nguồn gốc chính khác, chẳng hạn như ung thư dạ dày hoặc ung thư vú. </w:t>
      </w:r>
      <w:proofErr w:type="gramStart"/>
      <w:r w:rsidRPr="00324890">
        <w:rPr>
          <w:sz w:val="20"/>
        </w:rPr>
        <w:t>Trong trường hợp khối u rắn, các nghiên cứu này có thể bao gồm PET-CT, khuếch tán toàn thân MRI, nội soi dạ dày, nội soi đại tràng hoặc chụp nhũ ảnh.</w:t>
      </w:r>
      <w:proofErr w:type="gramEnd"/>
      <w:r w:rsidRPr="00324890">
        <w:rPr>
          <w:sz w:val="20"/>
        </w:rPr>
        <w:t xml:space="preserve"> </w:t>
      </w:r>
      <w:proofErr w:type="gramStart"/>
      <w:r w:rsidRPr="00324890">
        <w:rPr>
          <w:sz w:val="20"/>
        </w:rPr>
        <w:t>Điều này rất quan trọng vì liệu pháp thích hợp phụ thuộc vào nguồn gốc của khối u nguyên phát.</w:t>
      </w:r>
      <w:proofErr w:type="gramEnd"/>
      <w:r w:rsidRPr="00324890">
        <w:rPr>
          <w:sz w:val="20"/>
        </w:rPr>
        <w:t xml:space="preserve"> Bệnh nhân này cuối cùng được chẩn đoán mắc bệnh ung </w:t>
      </w:r>
      <w:proofErr w:type="gramStart"/>
      <w:r w:rsidRPr="00324890">
        <w:rPr>
          <w:sz w:val="20"/>
        </w:rPr>
        <w:t>thư</w:t>
      </w:r>
      <w:proofErr w:type="gramEnd"/>
      <w:r w:rsidRPr="00324890">
        <w:rPr>
          <w:sz w:val="20"/>
        </w:rPr>
        <w:t xml:space="preserve"> dạ dày di căn (khối u Krukenberg).</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r w:rsidRPr="00324890">
        <w:rPr>
          <w:sz w:val="20"/>
        </w:rPr>
        <w:t>Trường hợp 2</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 xml:space="preserve">Chúng tôi đánh giá một phụ nữ 48 tuổi trong một trung tâm ung </w:t>
      </w:r>
      <w:proofErr w:type="gramStart"/>
      <w:r w:rsidRPr="00324890">
        <w:rPr>
          <w:sz w:val="20"/>
        </w:rPr>
        <w:t>thư</w:t>
      </w:r>
      <w:proofErr w:type="gramEnd"/>
      <w:r w:rsidRPr="00324890">
        <w:rPr>
          <w:sz w:val="20"/>
        </w:rPr>
        <w:t xml:space="preserve"> logic gyneco. Cô được chẩn đoán có khối adnexal đơn bào - rắn với đường kính tối đa 66 mm. Đường kính tối đa của thành phần rắn lớn nhất là 27 mm (một hình chiếu nhú) và không có bóng âm hoặc cổ trướng. CA125 là 22 U / ml. Nếu chúng tôi giới thiệu các tham số này trong mô hình ADNEX bằng ứng dụng điện thoại thông minh, chúng tôi sẽ </w:t>
      </w:r>
      <w:proofErr w:type="gramStart"/>
      <w:r w:rsidRPr="00324890">
        <w:rPr>
          <w:sz w:val="20"/>
        </w:rPr>
        <w:t>thu</w:t>
      </w:r>
      <w:proofErr w:type="gramEnd"/>
      <w:r w:rsidRPr="00324890">
        <w:rPr>
          <w:sz w:val="20"/>
        </w:rPr>
        <w:t xml:space="preserve"> được kết quả và biểu đồ cột như minh họa trong Hình 4. Tổng rủi </w:t>
      </w:r>
      <w:r w:rsidRPr="00324890">
        <w:rPr>
          <w:sz w:val="20"/>
        </w:rPr>
        <w:lastRenderedPageBreak/>
        <w:t>ro ác tính là 40</w:t>
      </w:r>
      <w:proofErr w:type="gramStart"/>
      <w:r w:rsidRPr="00324890">
        <w:rPr>
          <w:sz w:val="20"/>
        </w:rPr>
        <w:t>,9</w:t>
      </w:r>
      <w:proofErr w:type="gramEnd"/>
      <w:r w:rsidRPr="00324890">
        <w:rPr>
          <w:sz w:val="20"/>
        </w:rPr>
        <w:t>%. Nguy cơ dự đoán cho ung thư buồng trứng giai đoạn I là 13</w:t>
      </w:r>
      <w:proofErr w:type="gramStart"/>
      <w:r w:rsidRPr="00324890">
        <w:rPr>
          <w:sz w:val="20"/>
        </w:rPr>
        <w:t>,3</w:t>
      </w:r>
      <w:proofErr w:type="gramEnd"/>
      <w:r w:rsidRPr="00324890">
        <w:rPr>
          <w:sz w:val="20"/>
        </w:rPr>
        <w:t>% (so với nguy cơ cơ bản là 7,4%), nguy cơ dự đoán cho khối u ở biên giới là 18,7% (so với nguy cơ cơ bản là 6,3%). Rủi ro dự đoán cho các phân nhóm khác thấp hơn (5</w:t>
      </w:r>
      <w:proofErr w:type="gramStart"/>
      <w:r w:rsidRPr="00324890">
        <w:rPr>
          <w:sz w:val="20"/>
        </w:rPr>
        <w:t>,9</w:t>
      </w:r>
      <w:proofErr w:type="gramEnd"/>
      <w:r w:rsidRPr="00324890">
        <w:rPr>
          <w:sz w:val="20"/>
        </w:rPr>
        <w:t>% đối với ung thư giai đoạn II-IV và 3,0% đối với ung thư di căn thứ phát) và cũng nhỏ hơn so với rủi ro cơ bản. Nguy cơ tương đối đối với ung thư buồng trứng giai đoạn I và đối với khối u ở đường biên giới lần lượt là 1</w:t>
      </w:r>
      <w:proofErr w:type="gramStart"/>
      <w:r w:rsidRPr="00324890">
        <w:rPr>
          <w:sz w:val="20"/>
        </w:rPr>
        <w:t>,8</w:t>
      </w:r>
      <w:proofErr w:type="gramEnd"/>
      <w:r w:rsidRPr="00324890">
        <w:rPr>
          <w:sz w:val="20"/>
        </w:rPr>
        <w:t xml:space="preserve"> và 3. Nguy cơ tương đối đối với ung </w:t>
      </w:r>
      <w:proofErr w:type="gramStart"/>
      <w:r w:rsidRPr="00324890">
        <w:rPr>
          <w:sz w:val="20"/>
        </w:rPr>
        <w:t>thư</w:t>
      </w:r>
      <w:proofErr w:type="gramEnd"/>
      <w:r w:rsidRPr="00324890">
        <w:rPr>
          <w:sz w:val="20"/>
        </w:rPr>
        <w:t xml:space="preserve"> buồng trứng giai đoạn tiến triển và ung thư di căn thứ phát là dưới 1. </w:t>
      </w:r>
      <w:proofErr w:type="gramStart"/>
      <w:r w:rsidRPr="00324890">
        <w:rPr>
          <w:sz w:val="20"/>
        </w:rPr>
        <w:t>Bệnh nhân này được chẩn đoán chính xác với một khối u buồng trứng biên.</w:t>
      </w:r>
      <w:proofErr w:type="gramEnd"/>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proofErr w:type="gramStart"/>
      <w:r w:rsidRPr="00324890">
        <w:rPr>
          <w:sz w:val="20"/>
        </w:rPr>
        <w:t>Hình 5.</w:t>
      </w:r>
      <w:proofErr w:type="gramEnd"/>
      <w:r w:rsidRPr="00324890">
        <w:rPr>
          <w:sz w:val="20"/>
        </w:rPr>
        <w:t xml:space="preserve"> - Ví dụ về cách tiếp cận hai bước đối với việc sử dụng lâm sàng các rủi ro dự đoán của ADNEX</w:t>
      </w:r>
    </w:p>
    <w:p w:rsidR="00324890" w:rsidRPr="00324890" w:rsidRDefault="00324890" w:rsidP="00324890">
      <w:pPr>
        <w:pStyle w:val="BodyText"/>
        <w:rPr>
          <w:sz w:val="20"/>
        </w:rPr>
      </w:pP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r w:rsidRPr="00324890">
        <w:rPr>
          <w:sz w:val="20"/>
        </w:rPr>
        <w:t>Thảo luận</w:t>
      </w:r>
    </w:p>
    <w:p w:rsidR="00324890" w:rsidRPr="00324890" w:rsidRDefault="00324890" w:rsidP="00324890">
      <w:pPr>
        <w:pStyle w:val="BodyText"/>
        <w:rPr>
          <w:sz w:val="20"/>
        </w:rPr>
      </w:pPr>
    </w:p>
    <w:p w:rsidR="00324890" w:rsidRPr="00324890" w:rsidRDefault="00324890" w:rsidP="00324890">
      <w:pPr>
        <w:pStyle w:val="BodyText"/>
        <w:rPr>
          <w:sz w:val="20"/>
        </w:rPr>
      </w:pPr>
      <w:proofErr w:type="gramStart"/>
      <w:r w:rsidRPr="00324890">
        <w:rPr>
          <w:sz w:val="20"/>
        </w:rPr>
        <w:t>Mô hình ADNEX là mô hình rủi ro đầu tiên phân biệt giữa lành tính và bốn nhóm phụ của khối u adnexal ác tính.</w:t>
      </w:r>
      <w:proofErr w:type="gramEnd"/>
      <w:r w:rsidRPr="00324890">
        <w:rPr>
          <w:sz w:val="20"/>
        </w:rPr>
        <w:t xml:space="preserve"> Mô hình này bao gồm ba dự đoán lâm sàng và sáu dự đoán siêu âm, có thể được đánh giá bởi các giám khảo quen thuộc với các thuật ngữ và định nghĩa của IOTA. Mặc dù mô hình ADNEX bao gồm mức CA-125 huyết thanh, ứng dụng trực tuyến và di động cho phép tính toán rủi ro mà không cần phép đo này. Cách tiếp cận hai bước có thể được áp dụng để sử dụng lâm sàng các rủi ro dự đoán từ ADNEX (xem Hình 5 để biết ví dụ). Đầu tiên, tính toán rủi ro có thể được sử dụng để phân biệt giữa khối lượng lành tính và ác tính dựa trên giá trị cắt giảm rủi ro cụ thể được sử dụng bởi các trung tâm riêng lẻ để xác định bệnh ác tính, trong đó việc cắt bỏ được thông qua có thể phụ thuộc vào chính sách chăm sóc sức khỏe tại địa phương. Sự phân biệt giữa khối lành tính và ác tính có thể được thực hiện</w:t>
      </w:r>
    </w:p>
    <w:p w:rsidR="00324890" w:rsidRPr="00324890" w:rsidRDefault="00324890" w:rsidP="00324890">
      <w:pPr>
        <w:pStyle w:val="BodyText"/>
        <w:rPr>
          <w:sz w:val="20"/>
        </w:rPr>
      </w:pPr>
      <w:r w:rsidRPr="00324890">
        <w:rPr>
          <w:sz w:val="20"/>
        </w:rPr>
        <w:t> </w:t>
      </w:r>
    </w:p>
    <w:p w:rsidR="00324890" w:rsidRPr="00324890" w:rsidRDefault="00324890" w:rsidP="00324890">
      <w:pPr>
        <w:pStyle w:val="BodyText"/>
        <w:rPr>
          <w:sz w:val="20"/>
        </w:rPr>
      </w:pPr>
      <w:proofErr w:type="gramStart"/>
      <w:r w:rsidRPr="00324890">
        <w:rPr>
          <w:sz w:val="20"/>
        </w:rPr>
        <w:t>không</w:t>
      </w:r>
      <w:proofErr w:type="gramEnd"/>
      <w:r w:rsidRPr="00324890">
        <w:rPr>
          <w:sz w:val="20"/>
        </w:rPr>
        <w:t xml:space="preserve"> có CA-125 nên điều này được mong muốn, bởi vì kết quả cho thấy không làm giảm hiệu suất về AUC. </w:t>
      </w:r>
      <w:proofErr w:type="gramStart"/>
      <w:r w:rsidRPr="00324890">
        <w:rPr>
          <w:sz w:val="20"/>
        </w:rPr>
        <w:t>Thứ hai, chúng ta có thể phân biệt giữa bốn nhóm phụ của khối u ác tính bằng cách sử dụng các rủi ro dự đoán cho các nhóm phụ này.</w:t>
      </w:r>
      <w:proofErr w:type="gramEnd"/>
      <w:r w:rsidRPr="00324890">
        <w:rPr>
          <w:sz w:val="20"/>
        </w:rPr>
        <w:t xml:space="preserve"> Trong bước này, các rủi ro dự đoán tuyệt đối cũng như sự thay đổi tương đối của các rủi ro này so với các rủi ro cơ bản cung cấp thông tin hữu ích về mặt lâm sàng để lựa chọn chiến lược quản lý bệnh nhân cụ thể phù hợp. Chúng tôi không thể đề xuất một thuật toán áp dụng chung với các giới hạn cố định, bởi vì điều này phụ thuộc vào cài đặt lâm sàng cụ thể nơi mô hình sẽ được sử dụng. Tuy nhiên, bài viết này cung cấp hướng dẫn về cách mô hình rủi ro ADNEX có thể được áp dụng vào thực hành lâm sàng.</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Sự nhìn nhận</w:t>
      </w:r>
    </w:p>
    <w:p w:rsidR="00324890" w:rsidRPr="00324890" w:rsidRDefault="00324890" w:rsidP="00324890">
      <w:pPr>
        <w:pStyle w:val="BodyText"/>
        <w:rPr>
          <w:sz w:val="20"/>
        </w:rPr>
      </w:pPr>
    </w:p>
    <w:p w:rsidR="00324890" w:rsidRPr="00324890" w:rsidRDefault="00324890" w:rsidP="00324890">
      <w:pPr>
        <w:pStyle w:val="BodyText"/>
        <w:rPr>
          <w:sz w:val="20"/>
        </w:rPr>
      </w:pPr>
      <w:r w:rsidRPr="00324890">
        <w:rPr>
          <w:sz w:val="20"/>
        </w:rPr>
        <w:t xml:space="preserve">Nghiên cứu này được hỗ trợ bởi Chính phủ Flemish: Dự án FWO G049312N, Dự </w:t>
      </w:r>
      <w:proofErr w:type="gramStart"/>
      <w:r w:rsidRPr="00324890">
        <w:rPr>
          <w:sz w:val="20"/>
        </w:rPr>
        <w:t>án</w:t>
      </w:r>
      <w:proofErr w:type="gramEnd"/>
      <w:r w:rsidRPr="00324890">
        <w:rPr>
          <w:sz w:val="20"/>
        </w:rPr>
        <w:t xml:space="preserve"> Cơ quan đổi mới của Khoa học và Công nghệ (IWT) của Flanders</w:t>
      </w:r>
    </w:p>
    <w:p w:rsidR="00324890" w:rsidRPr="00324890" w:rsidRDefault="00324890" w:rsidP="00324890">
      <w:pPr>
        <w:pStyle w:val="BodyText"/>
        <w:rPr>
          <w:sz w:val="20"/>
        </w:rPr>
      </w:pPr>
      <w:r w:rsidRPr="00324890">
        <w:rPr>
          <w:sz w:val="20"/>
        </w:rPr>
        <w:t> </w:t>
      </w:r>
    </w:p>
    <w:p w:rsidR="00324890" w:rsidRDefault="00324890" w:rsidP="00324890">
      <w:pPr>
        <w:pStyle w:val="BodyText"/>
        <w:rPr>
          <w:sz w:val="20"/>
        </w:rPr>
      </w:pPr>
      <w:proofErr w:type="gramStart"/>
      <w:r w:rsidRPr="00324890">
        <w:rPr>
          <w:sz w:val="20"/>
        </w:rPr>
        <w:t>IWT-TBM 070706-IOTA3 và iMinds 2013.</w:t>
      </w:r>
      <w:proofErr w:type="gramEnd"/>
      <w:r w:rsidRPr="00324890">
        <w:rPr>
          <w:sz w:val="20"/>
        </w:rPr>
        <w:t xml:space="preserve"> </w:t>
      </w:r>
      <w:proofErr w:type="gramStart"/>
      <w:r w:rsidRPr="00324890">
        <w:rPr>
          <w:sz w:val="20"/>
        </w:rPr>
        <w:t>Kirsten Van Hoorde và Laure Wynants là nghiên cứu sinh của Viện Khoa học và Công nghệ (IWT).</w:t>
      </w:r>
      <w:proofErr w:type="gramEnd"/>
      <w:r w:rsidRPr="00324890">
        <w:rPr>
          <w:sz w:val="20"/>
        </w:rPr>
        <w:t xml:space="preserve"> Dirk Timmerman là nhà điều tra lâm sàng cao cấp của Quỹ nghiên cứu - Flanders (Bỉ) (FWO). Tom Bourne được hỗ trợ bởi Trung tâm nghiên cứu y sinh của Viện nghiên cứu sức khỏe quốc gia (NIHR) có trụ sở tại Imperial College chăm sóc sức khỏe NHS Trust và Imperial College London. </w:t>
      </w:r>
      <w:proofErr w:type="gramStart"/>
      <w:r w:rsidRPr="00324890">
        <w:rPr>
          <w:sz w:val="20"/>
        </w:rPr>
        <w:t>Các quan điểm thể hiện là của các tác giả và không nhất thiết là của NHS, NIHR hoặc Bộ Y tế.</w:t>
      </w:r>
      <w:bookmarkStart w:id="0" w:name="_GoBack"/>
      <w:bookmarkEnd w:id="0"/>
      <w:proofErr w:type="gramEnd"/>
    </w:p>
    <w:p w:rsidR="00324890" w:rsidRPr="00324890" w:rsidRDefault="00324890" w:rsidP="00324890">
      <w:pPr>
        <w:pStyle w:val="BodyText"/>
        <w:rPr>
          <w:sz w:val="20"/>
        </w:rPr>
      </w:pPr>
    </w:p>
    <w:p w:rsidR="00966BA7" w:rsidRDefault="00966BA7">
      <w:pPr>
        <w:pStyle w:val="BodyText"/>
        <w:spacing w:before="5"/>
        <w:rPr>
          <w:b/>
          <w:sz w:val="25"/>
        </w:rPr>
      </w:pPr>
    </w:p>
    <w:p w:rsidR="00966BA7" w:rsidRDefault="00966BA7">
      <w:pPr>
        <w:rPr>
          <w:sz w:val="25"/>
        </w:rPr>
        <w:sectPr w:rsidR="00966BA7">
          <w:footerReference w:type="even" r:id="rId8"/>
          <w:footerReference w:type="default" r:id="rId9"/>
          <w:type w:val="continuous"/>
          <w:pgSz w:w="11910" w:h="16840"/>
          <w:pgMar w:top="880" w:right="1020" w:bottom="720" w:left="1020" w:header="720" w:footer="537" w:gutter="0"/>
          <w:pgNumType w:start="32"/>
          <w:cols w:space="720"/>
        </w:sectPr>
      </w:pPr>
    </w:p>
    <w:p w:rsidR="00966BA7" w:rsidRDefault="00F255A2">
      <w:pPr>
        <w:pStyle w:val="Heading1"/>
        <w:spacing w:before="59"/>
      </w:pPr>
      <w:r>
        <w:lastRenderedPageBreak/>
        <w:pict>
          <v:line id="_x0000_s1026" style="position:absolute;left:0;text-align:left;z-index:15728640;mso-position-horizontal-relative:page;mso-position-vertical-relative:page" from="490.4pt,65.2pt" to="595.25pt,65.2pt" strokecolor="#939598" strokeweight=".5pt">
            <w10:wrap anchorx="page" anchory="page"/>
          </v:line>
        </w:pict>
      </w:r>
      <w:r>
        <w:rPr>
          <w:color w:val="6D6E71"/>
        </w:rPr>
        <w:t>Introduction</w:t>
      </w:r>
    </w:p>
    <w:p w:rsidR="00966BA7" w:rsidRDefault="00966BA7">
      <w:pPr>
        <w:pStyle w:val="BodyText"/>
        <w:spacing w:before="3"/>
        <w:rPr>
          <w:b/>
          <w:sz w:val="23"/>
        </w:rPr>
      </w:pPr>
    </w:p>
    <w:p w:rsidR="00966BA7" w:rsidRDefault="00F255A2">
      <w:pPr>
        <w:pStyle w:val="BodyText"/>
        <w:spacing w:line="247" w:lineRule="auto"/>
        <w:ind w:left="170" w:right="38"/>
        <w:jc w:val="both"/>
      </w:pPr>
      <w:r>
        <w:rPr>
          <w:color w:val="231F20"/>
          <w:spacing w:val="5"/>
        </w:rPr>
        <w:t xml:space="preserve">Although </w:t>
      </w:r>
      <w:r>
        <w:rPr>
          <w:color w:val="231F20"/>
          <w:spacing w:val="4"/>
        </w:rPr>
        <w:t xml:space="preserve">often </w:t>
      </w:r>
      <w:r>
        <w:rPr>
          <w:color w:val="231F20"/>
          <w:spacing w:val="5"/>
        </w:rPr>
        <w:t xml:space="preserve">overlooked, </w:t>
      </w:r>
      <w:r>
        <w:rPr>
          <w:color w:val="231F20"/>
          <w:spacing w:val="4"/>
        </w:rPr>
        <w:t xml:space="preserve">the </w:t>
      </w:r>
      <w:r>
        <w:rPr>
          <w:color w:val="231F20"/>
          <w:spacing w:val="6"/>
        </w:rPr>
        <w:t>preoperative</w:t>
      </w:r>
      <w:r>
        <w:rPr>
          <w:color w:val="231F20"/>
          <w:spacing w:val="67"/>
        </w:rPr>
        <w:t xml:space="preserve"> </w:t>
      </w:r>
      <w:r>
        <w:rPr>
          <w:color w:val="231F20"/>
        </w:rPr>
        <w:t>characterization of an adnexal mass is of crucial importance for selecting the optimal management strategy. Firstly, accurate differentiation between benign and malignant tumors can lead to referral of patients with malignant tumors to gynecological oncolo</w:t>
      </w:r>
      <w:r>
        <w:rPr>
          <w:color w:val="231F20"/>
        </w:rPr>
        <w:t>gy centers for further diagnosis or staging, followed</w:t>
      </w:r>
      <w:r>
        <w:rPr>
          <w:color w:val="231F20"/>
          <w:spacing w:val="-27"/>
        </w:rPr>
        <w:t xml:space="preserve"> </w:t>
      </w:r>
      <w:r>
        <w:rPr>
          <w:color w:val="231F20"/>
        </w:rPr>
        <w:t>by</w:t>
      </w:r>
      <w:r>
        <w:rPr>
          <w:color w:val="231F20"/>
          <w:spacing w:val="-27"/>
        </w:rPr>
        <w:t xml:space="preserve"> </w:t>
      </w:r>
      <w:r>
        <w:rPr>
          <w:color w:val="231F20"/>
        </w:rPr>
        <w:t>debulking</w:t>
      </w:r>
      <w:r>
        <w:rPr>
          <w:color w:val="231F20"/>
          <w:spacing w:val="-26"/>
        </w:rPr>
        <w:t xml:space="preserve"> </w:t>
      </w:r>
      <w:r>
        <w:rPr>
          <w:color w:val="231F20"/>
        </w:rPr>
        <w:t>surgery</w:t>
      </w:r>
      <w:r>
        <w:rPr>
          <w:color w:val="231F20"/>
          <w:spacing w:val="-27"/>
        </w:rPr>
        <w:t xml:space="preserve"> </w:t>
      </w:r>
      <w:r>
        <w:rPr>
          <w:color w:val="231F20"/>
        </w:rPr>
        <w:t>and/or</w:t>
      </w:r>
      <w:r>
        <w:rPr>
          <w:color w:val="231F20"/>
          <w:spacing w:val="-26"/>
        </w:rPr>
        <w:t xml:space="preserve"> </w:t>
      </w:r>
      <w:r>
        <w:rPr>
          <w:color w:val="231F20"/>
        </w:rPr>
        <w:t>administration of systemic therapy. This is an important factor</w:t>
      </w:r>
      <w:r>
        <w:rPr>
          <w:color w:val="231F20"/>
          <w:spacing w:val="-27"/>
        </w:rPr>
        <w:t xml:space="preserve"> </w:t>
      </w:r>
      <w:r>
        <w:rPr>
          <w:color w:val="231F20"/>
        </w:rPr>
        <w:t>that positively influences prognosis (Earle et al., 2006; Engelen</w:t>
      </w:r>
      <w:r>
        <w:rPr>
          <w:color w:val="231F20"/>
          <w:spacing w:val="19"/>
        </w:rPr>
        <w:t xml:space="preserve"> </w:t>
      </w:r>
      <w:r>
        <w:rPr>
          <w:color w:val="231F20"/>
        </w:rPr>
        <w:t>et</w:t>
      </w:r>
      <w:r>
        <w:rPr>
          <w:color w:val="231F20"/>
          <w:spacing w:val="19"/>
        </w:rPr>
        <w:t xml:space="preserve"> </w:t>
      </w:r>
      <w:r>
        <w:rPr>
          <w:color w:val="231F20"/>
        </w:rPr>
        <w:t>al.,</w:t>
      </w:r>
      <w:r>
        <w:rPr>
          <w:color w:val="231F20"/>
          <w:spacing w:val="20"/>
        </w:rPr>
        <w:t xml:space="preserve"> </w:t>
      </w:r>
      <w:r>
        <w:rPr>
          <w:color w:val="231F20"/>
        </w:rPr>
        <w:t>2006;</w:t>
      </w:r>
      <w:r>
        <w:rPr>
          <w:color w:val="231F20"/>
          <w:spacing w:val="19"/>
        </w:rPr>
        <w:t xml:space="preserve"> </w:t>
      </w:r>
      <w:r>
        <w:rPr>
          <w:color w:val="231F20"/>
        </w:rPr>
        <w:t>Woo</w:t>
      </w:r>
      <w:r>
        <w:rPr>
          <w:color w:val="231F20"/>
          <w:spacing w:val="20"/>
        </w:rPr>
        <w:t xml:space="preserve"> </w:t>
      </w:r>
      <w:r>
        <w:rPr>
          <w:color w:val="231F20"/>
        </w:rPr>
        <w:t>et</w:t>
      </w:r>
      <w:r>
        <w:rPr>
          <w:color w:val="231F20"/>
          <w:spacing w:val="19"/>
        </w:rPr>
        <w:t xml:space="preserve"> </w:t>
      </w:r>
      <w:r>
        <w:rPr>
          <w:color w:val="231F20"/>
        </w:rPr>
        <w:t>al.,</w:t>
      </w:r>
      <w:r>
        <w:rPr>
          <w:color w:val="231F20"/>
          <w:spacing w:val="20"/>
        </w:rPr>
        <w:t xml:space="preserve"> </w:t>
      </w:r>
      <w:r>
        <w:rPr>
          <w:color w:val="231F20"/>
        </w:rPr>
        <w:t>2012;</w:t>
      </w:r>
      <w:r>
        <w:rPr>
          <w:color w:val="231F20"/>
          <w:spacing w:val="19"/>
        </w:rPr>
        <w:t xml:space="preserve"> </w:t>
      </w:r>
      <w:r>
        <w:rPr>
          <w:color w:val="231F20"/>
        </w:rPr>
        <w:t>Bristow</w:t>
      </w:r>
      <w:r>
        <w:rPr>
          <w:color w:val="231F20"/>
          <w:spacing w:val="20"/>
        </w:rPr>
        <w:t xml:space="preserve"> </w:t>
      </w:r>
      <w:proofErr w:type="gramStart"/>
      <w:r>
        <w:rPr>
          <w:color w:val="231F20"/>
        </w:rPr>
        <w:t>et</w:t>
      </w:r>
      <w:proofErr w:type="gramEnd"/>
    </w:p>
    <w:p w:rsidR="00966BA7" w:rsidRDefault="00F255A2">
      <w:pPr>
        <w:pStyle w:val="BodyText"/>
        <w:spacing w:before="59" w:line="247" w:lineRule="auto"/>
        <w:ind w:left="170" w:right="105"/>
        <w:jc w:val="both"/>
      </w:pPr>
      <w:r>
        <w:br w:type="column"/>
      </w:r>
      <w:proofErr w:type="gramStart"/>
      <w:r>
        <w:rPr>
          <w:color w:val="231F20"/>
        </w:rPr>
        <w:lastRenderedPageBreak/>
        <w:t>al., 2013).</w:t>
      </w:r>
      <w:proofErr w:type="gramEnd"/>
      <w:r>
        <w:rPr>
          <w:color w:val="231F20"/>
        </w:rPr>
        <w:t xml:space="preserve"> Benign ovarian masses can be managed expectantly</w:t>
      </w:r>
      <w:r>
        <w:rPr>
          <w:color w:val="231F20"/>
          <w:spacing w:val="-20"/>
        </w:rPr>
        <w:t xml:space="preserve"> </w:t>
      </w:r>
      <w:r>
        <w:rPr>
          <w:color w:val="231F20"/>
        </w:rPr>
        <w:t>or</w:t>
      </w:r>
      <w:r>
        <w:rPr>
          <w:color w:val="231F20"/>
          <w:spacing w:val="-20"/>
        </w:rPr>
        <w:t xml:space="preserve"> </w:t>
      </w:r>
      <w:r>
        <w:rPr>
          <w:color w:val="231F20"/>
        </w:rPr>
        <w:t>by</w:t>
      </w:r>
      <w:r>
        <w:rPr>
          <w:color w:val="231F20"/>
          <w:spacing w:val="-19"/>
        </w:rPr>
        <w:t xml:space="preserve"> </w:t>
      </w:r>
      <w:r>
        <w:rPr>
          <w:color w:val="231F20"/>
        </w:rPr>
        <w:t>conservative</w:t>
      </w:r>
      <w:r>
        <w:rPr>
          <w:color w:val="231F20"/>
          <w:spacing w:val="-20"/>
        </w:rPr>
        <w:t xml:space="preserve"> </w:t>
      </w:r>
      <w:r>
        <w:rPr>
          <w:color w:val="231F20"/>
        </w:rPr>
        <w:t>surgical</w:t>
      </w:r>
      <w:r>
        <w:rPr>
          <w:color w:val="231F20"/>
          <w:spacing w:val="-19"/>
        </w:rPr>
        <w:t xml:space="preserve"> </w:t>
      </w:r>
      <w:r>
        <w:rPr>
          <w:color w:val="231F20"/>
        </w:rPr>
        <w:t xml:space="preserve">management </w:t>
      </w:r>
      <w:proofErr w:type="gramStart"/>
      <w:r>
        <w:rPr>
          <w:color w:val="231F20"/>
        </w:rPr>
        <w:t>with</w:t>
      </w:r>
      <w:proofErr w:type="gramEnd"/>
      <w:r>
        <w:rPr>
          <w:color w:val="231F20"/>
        </w:rPr>
        <w:t xml:space="preserve"> reduced morbidity and fertility </w:t>
      </w:r>
      <w:r>
        <w:rPr>
          <w:color w:val="231F20"/>
          <w:spacing w:val="2"/>
        </w:rPr>
        <w:t xml:space="preserve">preservation </w:t>
      </w:r>
      <w:r>
        <w:rPr>
          <w:color w:val="231F20"/>
        </w:rPr>
        <w:t>(Carley</w:t>
      </w:r>
      <w:r>
        <w:rPr>
          <w:color w:val="231F20"/>
          <w:spacing w:val="-14"/>
        </w:rPr>
        <w:t xml:space="preserve"> </w:t>
      </w:r>
      <w:r>
        <w:rPr>
          <w:color w:val="231F20"/>
        </w:rPr>
        <w:t>et</w:t>
      </w:r>
      <w:r>
        <w:rPr>
          <w:color w:val="231F20"/>
          <w:spacing w:val="-14"/>
        </w:rPr>
        <w:t xml:space="preserve"> </w:t>
      </w:r>
      <w:r>
        <w:rPr>
          <w:color w:val="231F20"/>
        </w:rPr>
        <w:t>al.,</w:t>
      </w:r>
      <w:r>
        <w:rPr>
          <w:color w:val="231F20"/>
          <w:spacing w:val="-14"/>
        </w:rPr>
        <w:t xml:space="preserve"> </w:t>
      </w:r>
      <w:r>
        <w:rPr>
          <w:color w:val="231F20"/>
        </w:rPr>
        <w:t>2002).</w:t>
      </w:r>
      <w:r>
        <w:rPr>
          <w:color w:val="231F20"/>
          <w:spacing w:val="-14"/>
        </w:rPr>
        <w:t xml:space="preserve"> </w:t>
      </w:r>
      <w:r>
        <w:rPr>
          <w:color w:val="231F20"/>
        </w:rPr>
        <w:t>Secondly,</w:t>
      </w:r>
      <w:r>
        <w:rPr>
          <w:color w:val="231F20"/>
          <w:spacing w:val="-14"/>
        </w:rPr>
        <w:t xml:space="preserve"> </w:t>
      </w:r>
      <w:r>
        <w:rPr>
          <w:color w:val="231F20"/>
        </w:rPr>
        <w:t>optimal</w:t>
      </w:r>
      <w:r>
        <w:rPr>
          <w:color w:val="231F20"/>
          <w:spacing w:val="-13"/>
        </w:rPr>
        <w:t xml:space="preserve"> </w:t>
      </w:r>
      <w:r>
        <w:rPr>
          <w:color w:val="231F20"/>
        </w:rPr>
        <w:t>treatment</w:t>
      </w:r>
      <w:r>
        <w:rPr>
          <w:color w:val="231F20"/>
          <w:spacing w:val="-14"/>
        </w:rPr>
        <w:t xml:space="preserve"> </w:t>
      </w:r>
      <w:r>
        <w:rPr>
          <w:color w:val="231F20"/>
        </w:rPr>
        <w:t>of adnexal</w:t>
      </w:r>
      <w:r>
        <w:rPr>
          <w:color w:val="231F20"/>
          <w:spacing w:val="-7"/>
        </w:rPr>
        <w:t xml:space="preserve"> </w:t>
      </w:r>
      <w:r>
        <w:rPr>
          <w:color w:val="231F20"/>
        </w:rPr>
        <w:t>malignancies</w:t>
      </w:r>
      <w:r>
        <w:rPr>
          <w:color w:val="231F20"/>
          <w:spacing w:val="-7"/>
        </w:rPr>
        <w:t xml:space="preserve"> </w:t>
      </w:r>
      <w:r>
        <w:rPr>
          <w:color w:val="231F20"/>
        </w:rPr>
        <w:t>depends</w:t>
      </w:r>
      <w:r>
        <w:rPr>
          <w:color w:val="231F20"/>
          <w:spacing w:val="-7"/>
        </w:rPr>
        <w:t xml:space="preserve"> </w:t>
      </w:r>
      <w:r>
        <w:rPr>
          <w:color w:val="231F20"/>
        </w:rPr>
        <w:t>on</w:t>
      </w:r>
      <w:r>
        <w:rPr>
          <w:color w:val="231F20"/>
          <w:spacing w:val="-7"/>
        </w:rPr>
        <w:t xml:space="preserve"> </w:t>
      </w:r>
      <w:r>
        <w:rPr>
          <w:color w:val="231F20"/>
        </w:rPr>
        <w:t>the</w:t>
      </w:r>
      <w:r>
        <w:rPr>
          <w:color w:val="231F20"/>
          <w:spacing w:val="-7"/>
        </w:rPr>
        <w:t xml:space="preserve"> </w:t>
      </w:r>
      <w:r>
        <w:rPr>
          <w:color w:val="231F20"/>
        </w:rPr>
        <w:t>type</w:t>
      </w:r>
      <w:r>
        <w:rPr>
          <w:color w:val="231F20"/>
          <w:spacing w:val="-7"/>
        </w:rPr>
        <w:t xml:space="preserve"> </w:t>
      </w:r>
      <w:r>
        <w:rPr>
          <w:color w:val="231F20"/>
        </w:rPr>
        <w:t>of</w:t>
      </w:r>
      <w:r>
        <w:rPr>
          <w:color w:val="231F20"/>
          <w:spacing w:val="-7"/>
        </w:rPr>
        <w:t xml:space="preserve"> </w:t>
      </w:r>
      <w:r>
        <w:rPr>
          <w:color w:val="231F20"/>
        </w:rPr>
        <w:t>tumor. Borderline</w:t>
      </w:r>
      <w:r>
        <w:rPr>
          <w:color w:val="231F20"/>
          <w:spacing w:val="-25"/>
        </w:rPr>
        <w:t xml:space="preserve"> </w:t>
      </w:r>
      <w:r>
        <w:rPr>
          <w:color w:val="231F20"/>
        </w:rPr>
        <w:t>tumors</w:t>
      </w:r>
      <w:r>
        <w:rPr>
          <w:color w:val="231F20"/>
          <w:spacing w:val="-25"/>
        </w:rPr>
        <w:t xml:space="preserve"> </w:t>
      </w:r>
      <w:r>
        <w:rPr>
          <w:color w:val="231F20"/>
        </w:rPr>
        <w:t>can</w:t>
      </w:r>
      <w:r>
        <w:rPr>
          <w:color w:val="231F20"/>
          <w:spacing w:val="-25"/>
        </w:rPr>
        <w:t xml:space="preserve"> </w:t>
      </w:r>
      <w:r>
        <w:rPr>
          <w:color w:val="231F20"/>
        </w:rPr>
        <w:t>be</w:t>
      </w:r>
      <w:r>
        <w:rPr>
          <w:color w:val="231F20"/>
          <w:spacing w:val="-25"/>
        </w:rPr>
        <w:t xml:space="preserve"> </w:t>
      </w:r>
      <w:r>
        <w:rPr>
          <w:color w:val="231F20"/>
        </w:rPr>
        <w:t>treated</w:t>
      </w:r>
      <w:r>
        <w:rPr>
          <w:color w:val="231F20"/>
          <w:spacing w:val="-25"/>
        </w:rPr>
        <w:t xml:space="preserve"> </w:t>
      </w:r>
      <w:r>
        <w:rPr>
          <w:color w:val="231F20"/>
        </w:rPr>
        <w:t>with</w:t>
      </w:r>
      <w:r>
        <w:rPr>
          <w:color w:val="231F20"/>
          <w:spacing w:val="-25"/>
        </w:rPr>
        <w:t xml:space="preserve"> </w:t>
      </w:r>
      <w:r>
        <w:rPr>
          <w:color w:val="231F20"/>
        </w:rPr>
        <w:t>less</w:t>
      </w:r>
      <w:r>
        <w:rPr>
          <w:color w:val="231F20"/>
          <w:spacing w:val="-25"/>
        </w:rPr>
        <w:t xml:space="preserve"> </w:t>
      </w:r>
      <w:r>
        <w:rPr>
          <w:color w:val="231F20"/>
        </w:rPr>
        <w:t>aggressive techniques</w:t>
      </w:r>
      <w:r>
        <w:rPr>
          <w:color w:val="231F20"/>
          <w:spacing w:val="-15"/>
        </w:rPr>
        <w:t xml:space="preserve"> </w:t>
      </w:r>
      <w:r>
        <w:rPr>
          <w:color w:val="231F20"/>
        </w:rPr>
        <w:t>than</w:t>
      </w:r>
      <w:r>
        <w:rPr>
          <w:color w:val="231F20"/>
          <w:spacing w:val="-15"/>
        </w:rPr>
        <w:t xml:space="preserve"> </w:t>
      </w:r>
      <w:r>
        <w:rPr>
          <w:color w:val="231F20"/>
        </w:rPr>
        <w:t>invasive</w:t>
      </w:r>
      <w:r>
        <w:rPr>
          <w:color w:val="231F20"/>
          <w:spacing w:val="-15"/>
        </w:rPr>
        <w:t xml:space="preserve"> </w:t>
      </w:r>
      <w:r>
        <w:rPr>
          <w:color w:val="231F20"/>
        </w:rPr>
        <w:t>tumors,</w:t>
      </w:r>
      <w:r>
        <w:rPr>
          <w:color w:val="231F20"/>
          <w:spacing w:val="-15"/>
        </w:rPr>
        <w:t xml:space="preserve"> </w:t>
      </w:r>
      <w:r>
        <w:rPr>
          <w:color w:val="231F20"/>
        </w:rPr>
        <w:t>which</w:t>
      </w:r>
      <w:r>
        <w:rPr>
          <w:color w:val="231F20"/>
          <w:spacing w:val="-15"/>
        </w:rPr>
        <w:t xml:space="preserve"> </w:t>
      </w:r>
      <w:proofErr w:type="gramStart"/>
      <w:r>
        <w:rPr>
          <w:color w:val="231F20"/>
        </w:rPr>
        <w:t>is</w:t>
      </w:r>
      <w:proofErr w:type="gramEnd"/>
      <w:r>
        <w:rPr>
          <w:color w:val="231F20"/>
          <w:spacing w:val="-15"/>
        </w:rPr>
        <w:t xml:space="preserve"> </w:t>
      </w:r>
      <w:r>
        <w:rPr>
          <w:color w:val="231F20"/>
        </w:rPr>
        <w:t>of</w:t>
      </w:r>
      <w:r>
        <w:rPr>
          <w:color w:val="231F20"/>
          <w:spacing w:val="-15"/>
        </w:rPr>
        <w:t xml:space="preserve"> </w:t>
      </w:r>
      <w:r>
        <w:rPr>
          <w:color w:val="231F20"/>
        </w:rPr>
        <w:t xml:space="preserve">interest </w:t>
      </w:r>
      <w:r>
        <w:rPr>
          <w:color w:val="231F20"/>
          <w:spacing w:val="2"/>
        </w:rPr>
        <w:t xml:space="preserve">when fertility preservation </w:t>
      </w:r>
      <w:r>
        <w:rPr>
          <w:color w:val="231F20"/>
        </w:rPr>
        <w:t xml:space="preserve">is </w:t>
      </w:r>
      <w:r>
        <w:rPr>
          <w:color w:val="231F20"/>
          <w:spacing w:val="2"/>
        </w:rPr>
        <w:t xml:space="preserve">desired (Tinelli </w:t>
      </w:r>
      <w:r>
        <w:rPr>
          <w:color w:val="231F20"/>
          <w:spacing w:val="3"/>
        </w:rPr>
        <w:t xml:space="preserve">et </w:t>
      </w:r>
      <w:r>
        <w:rPr>
          <w:color w:val="231F20"/>
        </w:rPr>
        <w:t xml:space="preserve">al., 2006; Daraï et al., 2013). Furthermore, stage </w:t>
      </w:r>
      <w:proofErr w:type="gramStart"/>
      <w:r>
        <w:rPr>
          <w:color w:val="231F20"/>
        </w:rPr>
        <w:t>I</w:t>
      </w:r>
      <w:proofErr w:type="gramEnd"/>
      <w:r>
        <w:rPr>
          <w:color w:val="231F20"/>
        </w:rPr>
        <w:t xml:space="preserve"> ovarian</w:t>
      </w:r>
      <w:r>
        <w:rPr>
          <w:color w:val="231F20"/>
          <w:spacing w:val="-26"/>
        </w:rPr>
        <w:t xml:space="preserve"> </w:t>
      </w:r>
      <w:r>
        <w:rPr>
          <w:color w:val="231F20"/>
        </w:rPr>
        <w:t>cancer</w:t>
      </w:r>
      <w:r>
        <w:rPr>
          <w:color w:val="231F20"/>
          <w:spacing w:val="-26"/>
        </w:rPr>
        <w:t xml:space="preserve"> </w:t>
      </w:r>
      <w:r>
        <w:rPr>
          <w:color w:val="231F20"/>
        </w:rPr>
        <w:t>may</w:t>
      </w:r>
      <w:r>
        <w:rPr>
          <w:color w:val="231F20"/>
          <w:spacing w:val="-26"/>
        </w:rPr>
        <w:t xml:space="preserve"> </w:t>
      </w:r>
      <w:r>
        <w:rPr>
          <w:color w:val="231F20"/>
        </w:rPr>
        <w:t>be</w:t>
      </w:r>
      <w:r>
        <w:rPr>
          <w:color w:val="231F20"/>
          <w:spacing w:val="-26"/>
        </w:rPr>
        <w:t xml:space="preserve"> </w:t>
      </w:r>
      <w:r>
        <w:rPr>
          <w:color w:val="231F20"/>
        </w:rPr>
        <w:t>managed</w:t>
      </w:r>
      <w:r>
        <w:rPr>
          <w:color w:val="231F20"/>
          <w:spacing w:val="-25"/>
        </w:rPr>
        <w:t xml:space="preserve"> </w:t>
      </w:r>
      <w:r>
        <w:rPr>
          <w:color w:val="231F20"/>
        </w:rPr>
        <w:t>more</w:t>
      </w:r>
      <w:r>
        <w:rPr>
          <w:color w:val="231F20"/>
          <w:spacing w:val="-26"/>
        </w:rPr>
        <w:t xml:space="preserve"> </w:t>
      </w:r>
      <w:r>
        <w:rPr>
          <w:color w:val="231F20"/>
        </w:rPr>
        <w:t>co</w:t>
      </w:r>
      <w:r>
        <w:rPr>
          <w:color w:val="231F20"/>
        </w:rPr>
        <w:t xml:space="preserve">nservatively </w:t>
      </w:r>
      <w:r>
        <w:rPr>
          <w:color w:val="231F20"/>
          <w:spacing w:val="2"/>
        </w:rPr>
        <w:t xml:space="preserve">than stage II-IV disease (Trimbos </w:t>
      </w:r>
      <w:r>
        <w:rPr>
          <w:color w:val="231F20"/>
        </w:rPr>
        <w:t xml:space="preserve">et </w:t>
      </w:r>
      <w:r>
        <w:rPr>
          <w:color w:val="231F20"/>
          <w:spacing w:val="2"/>
        </w:rPr>
        <w:t xml:space="preserve">al., </w:t>
      </w:r>
      <w:r>
        <w:rPr>
          <w:color w:val="231F20"/>
          <w:spacing w:val="3"/>
        </w:rPr>
        <w:t xml:space="preserve">2003). </w:t>
      </w:r>
      <w:r>
        <w:rPr>
          <w:color w:val="231F20"/>
          <w:spacing w:val="5"/>
        </w:rPr>
        <w:t xml:space="preserve">Finally, </w:t>
      </w:r>
      <w:r>
        <w:rPr>
          <w:color w:val="231F20"/>
          <w:spacing w:val="4"/>
        </w:rPr>
        <w:t xml:space="preserve">for </w:t>
      </w:r>
      <w:r>
        <w:rPr>
          <w:color w:val="231F20"/>
          <w:spacing w:val="5"/>
        </w:rPr>
        <w:t xml:space="preserve">cancers </w:t>
      </w:r>
      <w:r>
        <w:rPr>
          <w:color w:val="231F20"/>
          <w:spacing w:val="3"/>
        </w:rPr>
        <w:t xml:space="preserve">of </w:t>
      </w:r>
      <w:r>
        <w:rPr>
          <w:color w:val="231F20"/>
          <w:spacing w:val="4"/>
        </w:rPr>
        <w:t xml:space="preserve">other </w:t>
      </w:r>
      <w:r>
        <w:rPr>
          <w:color w:val="231F20"/>
          <w:spacing w:val="5"/>
        </w:rPr>
        <w:t xml:space="preserve">primary </w:t>
      </w:r>
      <w:r>
        <w:rPr>
          <w:color w:val="231F20"/>
          <w:spacing w:val="6"/>
        </w:rPr>
        <w:t xml:space="preserve">origin </w:t>
      </w:r>
      <w:r>
        <w:rPr>
          <w:color w:val="231F20"/>
        </w:rPr>
        <w:t>metastasized to the ovary, treatment depends on</w:t>
      </w:r>
      <w:r>
        <w:rPr>
          <w:color w:val="231F20"/>
          <w:spacing w:val="-14"/>
        </w:rPr>
        <w:t xml:space="preserve"> </w:t>
      </w:r>
      <w:r>
        <w:rPr>
          <w:color w:val="231F20"/>
        </w:rPr>
        <w:t>the</w:t>
      </w:r>
    </w:p>
    <w:p w:rsidR="00966BA7" w:rsidRDefault="00966BA7">
      <w:pPr>
        <w:spacing w:line="247" w:lineRule="auto"/>
        <w:jc w:val="both"/>
        <w:sectPr w:rsidR="00966BA7">
          <w:type w:val="continuous"/>
          <w:pgSz w:w="11910" w:h="16840"/>
          <w:pgMar w:top="880" w:right="1020" w:bottom="720" w:left="1020" w:header="720" w:footer="720" w:gutter="0"/>
          <w:cols w:num="2" w:space="720" w:equalWidth="0">
            <w:col w:w="4755" w:space="291"/>
            <w:col w:w="4824"/>
          </w:cols>
        </w:sectPr>
      </w:pPr>
    </w:p>
    <w:p w:rsidR="00966BA7" w:rsidRDefault="00F255A2">
      <w:pPr>
        <w:pStyle w:val="BodyText"/>
        <w:spacing w:before="42" w:line="247" w:lineRule="auto"/>
        <w:ind w:left="113" w:right="39"/>
        <w:jc w:val="both"/>
      </w:pPr>
      <w:proofErr w:type="gramStart"/>
      <w:r>
        <w:rPr>
          <w:color w:val="231F20"/>
        </w:rPr>
        <w:lastRenderedPageBreak/>
        <w:t>type</w:t>
      </w:r>
      <w:proofErr w:type="gramEnd"/>
      <w:r>
        <w:rPr>
          <w:color w:val="231F20"/>
        </w:rPr>
        <w:t xml:space="preserve"> of tumor. Recently, the International Ovarian </w:t>
      </w:r>
      <w:r>
        <w:rPr>
          <w:color w:val="231F20"/>
          <w:spacing w:val="4"/>
        </w:rPr>
        <w:t xml:space="preserve">Tumor </w:t>
      </w:r>
      <w:r>
        <w:rPr>
          <w:color w:val="231F20"/>
          <w:spacing w:val="5"/>
        </w:rPr>
        <w:t xml:space="preserve">Analysis (IOTA) </w:t>
      </w:r>
      <w:r>
        <w:rPr>
          <w:color w:val="231F20"/>
          <w:spacing w:val="4"/>
        </w:rPr>
        <w:t xml:space="preserve">group </w:t>
      </w:r>
      <w:r>
        <w:rPr>
          <w:color w:val="231F20"/>
          <w:spacing w:val="5"/>
        </w:rPr>
        <w:t xml:space="preserve">proposed </w:t>
      </w:r>
      <w:r>
        <w:rPr>
          <w:color w:val="231F20"/>
          <w:spacing w:val="2"/>
        </w:rPr>
        <w:t xml:space="preserve">the </w:t>
      </w:r>
      <w:r>
        <w:rPr>
          <w:color w:val="231F20"/>
        </w:rPr>
        <w:t>Assessment of Different NEoplasias in the adneXa (ADNEX) model. This is the first risk model to differentiate between benign, borderline tumors, stage</w:t>
      </w:r>
      <w:r>
        <w:rPr>
          <w:color w:val="231F20"/>
          <w:spacing w:val="-7"/>
        </w:rPr>
        <w:t xml:space="preserve"> </w:t>
      </w:r>
      <w:proofErr w:type="gramStart"/>
      <w:r>
        <w:rPr>
          <w:color w:val="231F20"/>
        </w:rPr>
        <w:t>I</w:t>
      </w:r>
      <w:proofErr w:type="gramEnd"/>
      <w:r>
        <w:rPr>
          <w:color w:val="231F20"/>
          <w:spacing w:val="-6"/>
        </w:rPr>
        <w:t xml:space="preserve"> </w:t>
      </w:r>
      <w:r>
        <w:rPr>
          <w:color w:val="231F20"/>
        </w:rPr>
        <w:t>invasive,</w:t>
      </w:r>
      <w:r>
        <w:rPr>
          <w:color w:val="231F20"/>
          <w:spacing w:val="-6"/>
        </w:rPr>
        <w:t xml:space="preserve"> </w:t>
      </w:r>
      <w:r>
        <w:rPr>
          <w:color w:val="231F20"/>
        </w:rPr>
        <w:t>stage</w:t>
      </w:r>
      <w:r>
        <w:rPr>
          <w:color w:val="231F20"/>
          <w:spacing w:val="-6"/>
        </w:rPr>
        <w:t xml:space="preserve"> </w:t>
      </w:r>
      <w:r>
        <w:rPr>
          <w:color w:val="231F20"/>
        </w:rPr>
        <w:t>II-IV</w:t>
      </w:r>
      <w:r>
        <w:rPr>
          <w:color w:val="231F20"/>
          <w:spacing w:val="-6"/>
        </w:rPr>
        <w:t xml:space="preserve"> </w:t>
      </w:r>
      <w:r>
        <w:rPr>
          <w:color w:val="231F20"/>
        </w:rPr>
        <w:t>invasive</w:t>
      </w:r>
      <w:r>
        <w:rPr>
          <w:color w:val="231F20"/>
          <w:spacing w:val="-6"/>
        </w:rPr>
        <w:t xml:space="preserve"> </w:t>
      </w:r>
      <w:r>
        <w:rPr>
          <w:color w:val="231F20"/>
        </w:rPr>
        <w:t>ovarian</w:t>
      </w:r>
      <w:r>
        <w:rPr>
          <w:color w:val="231F20"/>
          <w:spacing w:val="-6"/>
        </w:rPr>
        <w:t xml:space="preserve"> </w:t>
      </w:r>
      <w:r>
        <w:rPr>
          <w:color w:val="231F20"/>
        </w:rPr>
        <w:t>cancer and secondary metastat</w:t>
      </w:r>
      <w:r>
        <w:rPr>
          <w:color w:val="231F20"/>
        </w:rPr>
        <w:t>ic cancer (Van Calster et</w:t>
      </w:r>
      <w:r>
        <w:rPr>
          <w:color w:val="231F20"/>
          <w:spacing w:val="-29"/>
        </w:rPr>
        <w:t xml:space="preserve"> </w:t>
      </w:r>
      <w:r>
        <w:rPr>
          <w:color w:val="231F20"/>
        </w:rPr>
        <w:t>al., 2014). Such a ‘</w:t>
      </w:r>
      <w:proofErr w:type="gramStart"/>
      <w:r>
        <w:rPr>
          <w:color w:val="231F20"/>
        </w:rPr>
        <w:t>multiclass’</w:t>
      </w:r>
      <w:proofErr w:type="gramEnd"/>
      <w:r>
        <w:rPr>
          <w:color w:val="231F20"/>
        </w:rPr>
        <w:t xml:space="preserve"> or polytomous model is uncommon</w:t>
      </w:r>
      <w:r>
        <w:rPr>
          <w:color w:val="231F20"/>
          <w:spacing w:val="-7"/>
        </w:rPr>
        <w:t xml:space="preserve"> </w:t>
      </w:r>
      <w:r>
        <w:rPr>
          <w:color w:val="231F20"/>
        </w:rPr>
        <w:t>and</w:t>
      </w:r>
      <w:r>
        <w:rPr>
          <w:color w:val="231F20"/>
          <w:spacing w:val="-7"/>
        </w:rPr>
        <w:t xml:space="preserve"> </w:t>
      </w:r>
      <w:r>
        <w:rPr>
          <w:color w:val="231F20"/>
        </w:rPr>
        <w:t>poses</w:t>
      </w:r>
      <w:r>
        <w:rPr>
          <w:color w:val="231F20"/>
          <w:spacing w:val="-7"/>
        </w:rPr>
        <w:t xml:space="preserve"> </w:t>
      </w:r>
      <w:r>
        <w:rPr>
          <w:color w:val="231F20"/>
        </w:rPr>
        <w:t>new</w:t>
      </w:r>
      <w:r>
        <w:rPr>
          <w:color w:val="231F20"/>
          <w:spacing w:val="-7"/>
        </w:rPr>
        <w:t xml:space="preserve"> </w:t>
      </w:r>
      <w:r>
        <w:rPr>
          <w:color w:val="231F20"/>
        </w:rPr>
        <w:t>practical</w:t>
      </w:r>
      <w:r>
        <w:rPr>
          <w:color w:val="231F20"/>
          <w:spacing w:val="-7"/>
        </w:rPr>
        <w:t xml:space="preserve"> </w:t>
      </w:r>
      <w:r>
        <w:rPr>
          <w:color w:val="231F20"/>
        </w:rPr>
        <w:t>challenges.</w:t>
      </w:r>
      <w:r>
        <w:rPr>
          <w:color w:val="231F20"/>
          <w:spacing w:val="-7"/>
        </w:rPr>
        <w:t xml:space="preserve"> </w:t>
      </w:r>
      <w:r>
        <w:rPr>
          <w:color w:val="231F20"/>
        </w:rPr>
        <w:t>The aim</w:t>
      </w:r>
      <w:r>
        <w:rPr>
          <w:color w:val="231F20"/>
          <w:spacing w:val="-6"/>
        </w:rPr>
        <w:t xml:space="preserve"> </w:t>
      </w:r>
      <w:r>
        <w:rPr>
          <w:color w:val="231F20"/>
        </w:rPr>
        <w:t>of</w:t>
      </w:r>
      <w:r>
        <w:rPr>
          <w:color w:val="231F20"/>
          <w:spacing w:val="-5"/>
        </w:rPr>
        <w:t xml:space="preserve"> </w:t>
      </w:r>
      <w:r>
        <w:rPr>
          <w:color w:val="231F20"/>
        </w:rPr>
        <w:t>this</w:t>
      </w:r>
      <w:r>
        <w:rPr>
          <w:color w:val="231F20"/>
          <w:spacing w:val="-6"/>
        </w:rPr>
        <w:t xml:space="preserve"> </w:t>
      </w:r>
      <w:r>
        <w:rPr>
          <w:color w:val="231F20"/>
        </w:rPr>
        <w:t>paper</w:t>
      </w:r>
      <w:r>
        <w:rPr>
          <w:color w:val="231F20"/>
          <w:spacing w:val="-5"/>
        </w:rPr>
        <w:t xml:space="preserve"> </w:t>
      </w:r>
      <w:r>
        <w:rPr>
          <w:color w:val="231F20"/>
        </w:rPr>
        <w:t>is</w:t>
      </w:r>
      <w:r>
        <w:rPr>
          <w:color w:val="231F20"/>
          <w:spacing w:val="-5"/>
        </w:rPr>
        <w:t xml:space="preserve"> </w:t>
      </w:r>
      <w:r>
        <w:rPr>
          <w:color w:val="231F20"/>
        </w:rPr>
        <w:t>to</w:t>
      </w:r>
      <w:r>
        <w:rPr>
          <w:color w:val="231F20"/>
          <w:spacing w:val="-6"/>
        </w:rPr>
        <w:t xml:space="preserve"> </w:t>
      </w:r>
      <w:r>
        <w:rPr>
          <w:color w:val="231F20"/>
        </w:rPr>
        <w:t>discuss</w:t>
      </w:r>
      <w:r>
        <w:rPr>
          <w:color w:val="231F20"/>
          <w:spacing w:val="-5"/>
        </w:rPr>
        <w:t xml:space="preserve"> </w:t>
      </w:r>
      <w:r>
        <w:rPr>
          <w:color w:val="231F20"/>
        </w:rPr>
        <w:t>the</w:t>
      </w:r>
      <w:r>
        <w:rPr>
          <w:color w:val="231F20"/>
          <w:spacing w:val="-6"/>
        </w:rPr>
        <w:t xml:space="preserve"> </w:t>
      </w:r>
      <w:r>
        <w:rPr>
          <w:color w:val="231F20"/>
        </w:rPr>
        <w:t>ADNEX</w:t>
      </w:r>
      <w:r>
        <w:rPr>
          <w:color w:val="231F20"/>
          <w:spacing w:val="-5"/>
        </w:rPr>
        <w:t xml:space="preserve"> </w:t>
      </w:r>
      <w:r>
        <w:rPr>
          <w:color w:val="231F20"/>
        </w:rPr>
        <w:t>model</w:t>
      </w:r>
      <w:r>
        <w:rPr>
          <w:color w:val="231F20"/>
          <w:spacing w:val="-5"/>
        </w:rPr>
        <w:t xml:space="preserve"> </w:t>
      </w:r>
      <w:r>
        <w:rPr>
          <w:color w:val="231F20"/>
        </w:rPr>
        <w:t>in more detail and provide some guidance for clinical management.</w:t>
      </w:r>
    </w:p>
    <w:p w:rsidR="00966BA7" w:rsidRDefault="00966BA7">
      <w:pPr>
        <w:pStyle w:val="BodyText"/>
      </w:pPr>
    </w:p>
    <w:p w:rsidR="00966BA7" w:rsidRDefault="00F255A2">
      <w:pPr>
        <w:pStyle w:val="Heading1"/>
        <w:spacing w:before="1"/>
        <w:ind w:left="113"/>
        <w:jc w:val="both"/>
      </w:pPr>
      <w:r>
        <w:rPr>
          <w:color w:val="6D6E71"/>
        </w:rPr>
        <w:t>Explanation</w:t>
      </w:r>
      <w:r>
        <w:rPr>
          <w:color w:val="6D6E71"/>
        </w:rPr>
        <w:t xml:space="preserve"> of ADNEX</w:t>
      </w:r>
    </w:p>
    <w:p w:rsidR="00966BA7" w:rsidRDefault="00966BA7">
      <w:pPr>
        <w:pStyle w:val="BodyText"/>
        <w:spacing w:before="2"/>
        <w:rPr>
          <w:b/>
          <w:sz w:val="23"/>
        </w:rPr>
      </w:pPr>
    </w:p>
    <w:p w:rsidR="00966BA7" w:rsidRDefault="00F255A2">
      <w:pPr>
        <w:ind w:left="113"/>
        <w:jc w:val="both"/>
        <w:rPr>
          <w:i/>
        </w:rPr>
      </w:pPr>
      <w:r>
        <w:rPr>
          <w:i/>
          <w:color w:val="231F20"/>
        </w:rPr>
        <w:t>Intended population</w:t>
      </w:r>
    </w:p>
    <w:p w:rsidR="00966BA7" w:rsidRDefault="00966BA7">
      <w:pPr>
        <w:pStyle w:val="BodyText"/>
        <w:spacing w:before="3"/>
        <w:rPr>
          <w:i/>
          <w:sz w:val="23"/>
        </w:rPr>
      </w:pPr>
    </w:p>
    <w:p w:rsidR="00966BA7" w:rsidRDefault="00F255A2">
      <w:pPr>
        <w:pStyle w:val="BodyText"/>
        <w:spacing w:line="247" w:lineRule="auto"/>
        <w:ind w:left="113" w:right="38"/>
        <w:jc w:val="both"/>
      </w:pPr>
      <w:r>
        <w:rPr>
          <w:color w:val="231F20"/>
        </w:rPr>
        <w:t xml:space="preserve">The ADNEX model was developed and validated </w:t>
      </w:r>
      <w:r>
        <w:rPr>
          <w:color w:val="231F20"/>
          <w:spacing w:val="3"/>
        </w:rPr>
        <w:t xml:space="preserve">using data from </w:t>
      </w:r>
      <w:r>
        <w:rPr>
          <w:color w:val="231F20"/>
          <w:spacing w:val="2"/>
        </w:rPr>
        <w:t xml:space="preserve">the </w:t>
      </w:r>
      <w:r>
        <w:rPr>
          <w:color w:val="231F20"/>
          <w:spacing w:val="3"/>
        </w:rPr>
        <w:t xml:space="preserve">IOTA phase </w:t>
      </w:r>
      <w:r>
        <w:rPr>
          <w:color w:val="231F20"/>
          <w:spacing w:val="2"/>
        </w:rPr>
        <w:t xml:space="preserve">1-3 </w:t>
      </w:r>
      <w:r>
        <w:rPr>
          <w:color w:val="231F20"/>
          <w:spacing w:val="4"/>
        </w:rPr>
        <w:t xml:space="preserve">datasets, </w:t>
      </w:r>
      <w:r>
        <w:rPr>
          <w:color w:val="231F20"/>
        </w:rPr>
        <w:t xml:space="preserve">consisting of prospectively collected patients who were referred for an ultrasound examination to one of </w:t>
      </w:r>
      <w:r>
        <w:rPr>
          <w:color w:val="231F20"/>
          <w:spacing w:val="2"/>
        </w:rPr>
        <w:t xml:space="preserve">the </w:t>
      </w:r>
      <w:r>
        <w:rPr>
          <w:color w:val="231F20"/>
          <w:spacing w:val="3"/>
        </w:rPr>
        <w:t xml:space="preserve">participating centers </w:t>
      </w:r>
      <w:r>
        <w:rPr>
          <w:color w:val="231F20"/>
          <w:spacing w:val="2"/>
        </w:rPr>
        <w:t xml:space="preserve">for </w:t>
      </w:r>
      <w:r>
        <w:rPr>
          <w:color w:val="231F20"/>
        </w:rPr>
        <w:t xml:space="preserve">a </w:t>
      </w:r>
      <w:r>
        <w:rPr>
          <w:color w:val="231F20"/>
          <w:spacing w:val="3"/>
        </w:rPr>
        <w:t xml:space="preserve">known </w:t>
      </w:r>
      <w:r>
        <w:rPr>
          <w:color w:val="231F20"/>
        </w:rPr>
        <w:t xml:space="preserve">or a suspected adnexal mass (Timmerman et al., 2005; Van Holsbeke et al., 2009; Van Calster et al., 2012; </w:t>
      </w:r>
      <w:r>
        <w:rPr>
          <w:color w:val="231F20"/>
          <w:spacing w:val="2"/>
        </w:rPr>
        <w:t xml:space="preserve">Kaijser </w:t>
      </w:r>
      <w:r>
        <w:rPr>
          <w:color w:val="231F20"/>
        </w:rPr>
        <w:t xml:space="preserve">et </w:t>
      </w:r>
      <w:r>
        <w:rPr>
          <w:color w:val="231F20"/>
          <w:spacing w:val="2"/>
        </w:rPr>
        <w:t xml:space="preserve">al., 2014). Patients were eligible </w:t>
      </w:r>
      <w:r>
        <w:rPr>
          <w:color w:val="231F20"/>
          <w:spacing w:val="3"/>
        </w:rPr>
        <w:t xml:space="preserve">for </w:t>
      </w:r>
      <w:r>
        <w:rPr>
          <w:color w:val="231F20"/>
        </w:rPr>
        <w:t>inclusion if they presented with at least one</w:t>
      </w:r>
      <w:r>
        <w:rPr>
          <w:color w:val="231F20"/>
          <w:spacing w:val="-27"/>
        </w:rPr>
        <w:t xml:space="preserve"> </w:t>
      </w:r>
      <w:r>
        <w:rPr>
          <w:color w:val="231F20"/>
        </w:rPr>
        <w:t>adnexal mass that was judged not to be a physi</w:t>
      </w:r>
      <w:r>
        <w:rPr>
          <w:color w:val="231F20"/>
        </w:rPr>
        <w:t>ological</w:t>
      </w:r>
      <w:r>
        <w:rPr>
          <w:color w:val="231F20"/>
          <w:spacing w:val="-29"/>
        </w:rPr>
        <w:t xml:space="preserve"> </w:t>
      </w:r>
      <w:r>
        <w:rPr>
          <w:color w:val="231F20"/>
        </w:rPr>
        <w:t>cyst, and</w:t>
      </w:r>
      <w:r>
        <w:rPr>
          <w:color w:val="231F20"/>
          <w:spacing w:val="-15"/>
        </w:rPr>
        <w:t xml:space="preserve"> </w:t>
      </w:r>
      <w:r>
        <w:rPr>
          <w:color w:val="231F20"/>
        </w:rPr>
        <w:t>if</w:t>
      </w:r>
      <w:r>
        <w:rPr>
          <w:color w:val="231F20"/>
          <w:spacing w:val="-14"/>
        </w:rPr>
        <w:t xml:space="preserve"> </w:t>
      </w:r>
      <w:r>
        <w:rPr>
          <w:color w:val="231F20"/>
        </w:rPr>
        <w:t>they</w:t>
      </w:r>
      <w:r>
        <w:rPr>
          <w:color w:val="231F20"/>
          <w:spacing w:val="-15"/>
        </w:rPr>
        <w:t xml:space="preserve"> </w:t>
      </w:r>
      <w:r>
        <w:rPr>
          <w:color w:val="231F20"/>
        </w:rPr>
        <w:t>were</w:t>
      </w:r>
      <w:r>
        <w:rPr>
          <w:color w:val="231F20"/>
          <w:spacing w:val="-14"/>
        </w:rPr>
        <w:t xml:space="preserve"> </w:t>
      </w:r>
      <w:r>
        <w:rPr>
          <w:color w:val="231F20"/>
        </w:rPr>
        <w:t>selected</w:t>
      </w:r>
      <w:r>
        <w:rPr>
          <w:color w:val="231F20"/>
          <w:spacing w:val="-14"/>
        </w:rPr>
        <w:t xml:space="preserve"> </w:t>
      </w:r>
      <w:r>
        <w:rPr>
          <w:color w:val="231F20"/>
        </w:rPr>
        <w:t>for</w:t>
      </w:r>
      <w:r>
        <w:rPr>
          <w:color w:val="231F20"/>
          <w:spacing w:val="-15"/>
        </w:rPr>
        <w:t xml:space="preserve"> </w:t>
      </w:r>
      <w:r>
        <w:rPr>
          <w:color w:val="231F20"/>
        </w:rPr>
        <w:t>surgical</w:t>
      </w:r>
      <w:r>
        <w:rPr>
          <w:color w:val="231F20"/>
          <w:spacing w:val="-14"/>
        </w:rPr>
        <w:t xml:space="preserve"> </w:t>
      </w:r>
      <w:r>
        <w:rPr>
          <w:color w:val="231F20"/>
        </w:rPr>
        <w:t>intervention</w:t>
      </w:r>
      <w:r>
        <w:rPr>
          <w:color w:val="231F20"/>
          <w:spacing w:val="-15"/>
        </w:rPr>
        <w:t xml:space="preserve"> </w:t>
      </w:r>
      <w:r>
        <w:rPr>
          <w:color w:val="231F20"/>
        </w:rPr>
        <w:t>by</w:t>
      </w:r>
    </w:p>
    <w:p w:rsidR="00966BA7" w:rsidRDefault="00F255A2">
      <w:pPr>
        <w:pStyle w:val="BodyText"/>
        <w:spacing w:before="42" w:line="247" w:lineRule="auto"/>
        <w:ind w:left="113" w:right="163"/>
        <w:jc w:val="both"/>
      </w:pPr>
      <w:r>
        <w:br w:type="column"/>
      </w:r>
      <w:proofErr w:type="gramStart"/>
      <w:r>
        <w:rPr>
          <w:color w:val="231F20"/>
        </w:rPr>
        <w:lastRenderedPageBreak/>
        <w:t>the</w:t>
      </w:r>
      <w:proofErr w:type="gramEnd"/>
      <w:r>
        <w:rPr>
          <w:color w:val="231F20"/>
        </w:rPr>
        <w:t xml:space="preserve"> managing clinician following local protocols. </w:t>
      </w:r>
      <w:r>
        <w:rPr>
          <w:color w:val="231F20"/>
          <w:spacing w:val="2"/>
        </w:rPr>
        <w:t xml:space="preserve">Exclusion criteria were refusal </w:t>
      </w:r>
      <w:r>
        <w:rPr>
          <w:color w:val="231F20"/>
        </w:rPr>
        <w:t xml:space="preserve">for </w:t>
      </w:r>
      <w:r>
        <w:rPr>
          <w:color w:val="231F20"/>
          <w:spacing w:val="2"/>
        </w:rPr>
        <w:t xml:space="preserve">transvaginal </w:t>
      </w:r>
      <w:r>
        <w:rPr>
          <w:color w:val="231F20"/>
        </w:rPr>
        <w:t xml:space="preserve">ultrasonography, pregnancy at the time of presen- tation and surgical intervention more than 120 days </w:t>
      </w:r>
      <w:r>
        <w:rPr>
          <w:color w:val="231F20"/>
          <w:spacing w:val="4"/>
        </w:rPr>
        <w:t xml:space="preserve">after </w:t>
      </w:r>
      <w:r>
        <w:rPr>
          <w:color w:val="231F20"/>
          <w:spacing w:val="3"/>
        </w:rPr>
        <w:t xml:space="preserve">the </w:t>
      </w:r>
      <w:r>
        <w:rPr>
          <w:color w:val="231F20"/>
          <w:spacing w:val="4"/>
        </w:rPr>
        <w:t xml:space="preserve">ultrasound examination. </w:t>
      </w:r>
      <w:r>
        <w:rPr>
          <w:color w:val="231F20"/>
          <w:spacing w:val="2"/>
        </w:rPr>
        <w:t xml:space="preserve">If </w:t>
      </w:r>
      <w:r>
        <w:rPr>
          <w:color w:val="231F20"/>
        </w:rPr>
        <w:t xml:space="preserve">a </w:t>
      </w:r>
      <w:r>
        <w:rPr>
          <w:color w:val="231F20"/>
          <w:spacing w:val="4"/>
        </w:rPr>
        <w:t xml:space="preserve">patient </w:t>
      </w:r>
      <w:r>
        <w:rPr>
          <w:color w:val="231F20"/>
        </w:rPr>
        <w:t>presented with multiple masses, the mass with the most complex morphology on ultrasound exami- nation was s</w:t>
      </w:r>
      <w:r>
        <w:rPr>
          <w:color w:val="231F20"/>
        </w:rPr>
        <w:t xml:space="preserve">elected for analysis. If more than one </w:t>
      </w:r>
      <w:r>
        <w:rPr>
          <w:color w:val="231F20"/>
          <w:spacing w:val="2"/>
        </w:rPr>
        <w:t xml:space="preserve">mass with similar morphology </w:t>
      </w:r>
      <w:r>
        <w:rPr>
          <w:color w:val="231F20"/>
        </w:rPr>
        <w:t xml:space="preserve">was </w:t>
      </w:r>
      <w:r>
        <w:rPr>
          <w:color w:val="231F20"/>
          <w:spacing w:val="2"/>
        </w:rPr>
        <w:t xml:space="preserve">present, </w:t>
      </w:r>
      <w:r>
        <w:rPr>
          <w:color w:val="231F20"/>
          <w:spacing w:val="3"/>
        </w:rPr>
        <w:t xml:space="preserve">the </w:t>
      </w:r>
      <w:r>
        <w:rPr>
          <w:color w:val="231F20"/>
        </w:rPr>
        <w:t>largest or the most easily accessible mass was</w:t>
      </w:r>
      <w:r>
        <w:rPr>
          <w:color w:val="231F20"/>
          <w:spacing w:val="-23"/>
        </w:rPr>
        <w:t xml:space="preserve"> </w:t>
      </w:r>
      <w:r>
        <w:rPr>
          <w:color w:val="231F20"/>
        </w:rPr>
        <w:t>used. The</w:t>
      </w:r>
      <w:r>
        <w:rPr>
          <w:color w:val="231F20"/>
          <w:spacing w:val="-20"/>
        </w:rPr>
        <w:t xml:space="preserve"> </w:t>
      </w:r>
      <w:r>
        <w:rPr>
          <w:color w:val="231F20"/>
        </w:rPr>
        <w:t>model</w:t>
      </w:r>
      <w:r>
        <w:rPr>
          <w:color w:val="231F20"/>
          <w:spacing w:val="-20"/>
        </w:rPr>
        <w:t xml:space="preserve"> </w:t>
      </w:r>
      <w:r>
        <w:rPr>
          <w:color w:val="231F20"/>
        </w:rPr>
        <w:t>was</w:t>
      </w:r>
      <w:r>
        <w:rPr>
          <w:color w:val="231F20"/>
          <w:spacing w:val="-20"/>
        </w:rPr>
        <w:t xml:space="preserve"> </w:t>
      </w:r>
      <w:r>
        <w:rPr>
          <w:color w:val="231F20"/>
        </w:rPr>
        <w:t>developed</w:t>
      </w:r>
      <w:r>
        <w:rPr>
          <w:color w:val="231F20"/>
          <w:spacing w:val="-20"/>
        </w:rPr>
        <w:t xml:space="preserve"> </w:t>
      </w:r>
      <w:r>
        <w:rPr>
          <w:color w:val="231F20"/>
        </w:rPr>
        <w:t>on</w:t>
      </w:r>
      <w:r>
        <w:rPr>
          <w:color w:val="231F20"/>
          <w:spacing w:val="-20"/>
        </w:rPr>
        <w:t xml:space="preserve"> </w:t>
      </w:r>
      <w:r>
        <w:rPr>
          <w:color w:val="231F20"/>
        </w:rPr>
        <w:t>3506</w:t>
      </w:r>
      <w:r>
        <w:rPr>
          <w:color w:val="231F20"/>
          <w:spacing w:val="-20"/>
        </w:rPr>
        <w:t xml:space="preserve"> </w:t>
      </w:r>
      <w:r>
        <w:rPr>
          <w:color w:val="231F20"/>
        </w:rPr>
        <w:t>patients</w:t>
      </w:r>
      <w:r>
        <w:rPr>
          <w:color w:val="231F20"/>
          <w:spacing w:val="-20"/>
        </w:rPr>
        <w:t xml:space="preserve"> </w:t>
      </w:r>
      <w:r>
        <w:rPr>
          <w:color w:val="231F20"/>
        </w:rPr>
        <w:t>recruited between 1999 and 2007, temporally validated on 2403</w:t>
      </w:r>
      <w:r>
        <w:rPr>
          <w:color w:val="231F20"/>
          <w:spacing w:val="-9"/>
        </w:rPr>
        <w:t xml:space="preserve"> </w:t>
      </w:r>
      <w:r>
        <w:rPr>
          <w:color w:val="231F20"/>
        </w:rPr>
        <w:t>patients</w:t>
      </w:r>
      <w:r>
        <w:rPr>
          <w:color w:val="231F20"/>
          <w:spacing w:val="-9"/>
        </w:rPr>
        <w:t xml:space="preserve"> </w:t>
      </w:r>
      <w:r>
        <w:rPr>
          <w:color w:val="231F20"/>
        </w:rPr>
        <w:t>recruited</w:t>
      </w:r>
      <w:r>
        <w:rPr>
          <w:color w:val="231F20"/>
          <w:spacing w:val="-9"/>
        </w:rPr>
        <w:t xml:space="preserve"> </w:t>
      </w:r>
      <w:r>
        <w:rPr>
          <w:color w:val="231F20"/>
        </w:rPr>
        <w:t>between</w:t>
      </w:r>
      <w:r>
        <w:rPr>
          <w:color w:val="231F20"/>
          <w:spacing w:val="-9"/>
        </w:rPr>
        <w:t xml:space="preserve"> </w:t>
      </w:r>
      <w:r>
        <w:rPr>
          <w:color w:val="231F20"/>
        </w:rPr>
        <w:t>2009</w:t>
      </w:r>
      <w:r>
        <w:rPr>
          <w:color w:val="231F20"/>
          <w:spacing w:val="-9"/>
        </w:rPr>
        <w:t xml:space="preserve"> </w:t>
      </w:r>
      <w:r>
        <w:rPr>
          <w:color w:val="231F20"/>
        </w:rPr>
        <w:t>and</w:t>
      </w:r>
      <w:r>
        <w:rPr>
          <w:color w:val="231F20"/>
          <w:spacing w:val="-9"/>
        </w:rPr>
        <w:t xml:space="preserve"> </w:t>
      </w:r>
      <w:r>
        <w:rPr>
          <w:color w:val="231F20"/>
        </w:rPr>
        <w:t>2012,</w:t>
      </w:r>
      <w:r>
        <w:rPr>
          <w:color w:val="231F20"/>
          <w:spacing w:val="-9"/>
        </w:rPr>
        <w:t xml:space="preserve"> </w:t>
      </w:r>
      <w:r>
        <w:rPr>
          <w:color w:val="231F20"/>
        </w:rPr>
        <w:t xml:space="preserve">and </w:t>
      </w:r>
      <w:r>
        <w:rPr>
          <w:color w:val="231F20"/>
          <w:spacing w:val="3"/>
        </w:rPr>
        <w:t xml:space="preserve">then updated </w:t>
      </w:r>
      <w:r>
        <w:rPr>
          <w:color w:val="231F20"/>
        </w:rPr>
        <w:t xml:space="preserve">on </w:t>
      </w:r>
      <w:r>
        <w:rPr>
          <w:color w:val="231F20"/>
          <w:spacing w:val="2"/>
        </w:rPr>
        <w:t xml:space="preserve">all </w:t>
      </w:r>
      <w:r>
        <w:rPr>
          <w:color w:val="231F20"/>
          <w:spacing w:val="3"/>
        </w:rPr>
        <w:t xml:space="preserve">5909 patients </w:t>
      </w:r>
      <w:r>
        <w:rPr>
          <w:color w:val="231F20"/>
        </w:rPr>
        <w:t xml:space="preserve">in </w:t>
      </w:r>
      <w:r>
        <w:rPr>
          <w:color w:val="231F20"/>
          <w:spacing w:val="2"/>
        </w:rPr>
        <w:t xml:space="preserve">the </w:t>
      </w:r>
      <w:r>
        <w:rPr>
          <w:color w:val="231F20"/>
          <w:spacing w:val="4"/>
        </w:rPr>
        <w:t xml:space="preserve">final </w:t>
      </w:r>
      <w:r>
        <w:rPr>
          <w:color w:val="231F20"/>
        </w:rPr>
        <w:t>analysis. Twenty-four centers in 10 countries were involved (Van Calster et al., 2014).</w:t>
      </w:r>
    </w:p>
    <w:p w:rsidR="00966BA7" w:rsidRDefault="00966BA7">
      <w:pPr>
        <w:pStyle w:val="BodyText"/>
        <w:spacing w:before="10"/>
        <w:rPr>
          <w:sz w:val="21"/>
        </w:rPr>
      </w:pPr>
    </w:p>
    <w:p w:rsidR="00966BA7" w:rsidRDefault="00F255A2">
      <w:pPr>
        <w:ind w:left="113"/>
        <w:jc w:val="both"/>
        <w:rPr>
          <w:i/>
        </w:rPr>
      </w:pPr>
      <w:r>
        <w:rPr>
          <w:i/>
          <w:color w:val="231F20"/>
        </w:rPr>
        <w:t>Selection of predictors</w:t>
      </w:r>
    </w:p>
    <w:p w:rsidR="00966BA7" w:rsidRDefault="00966BA7">
      <w:pPr>
        <w:pStyle w:val="BodyText"/>
        <w:spacing w:before="2"/>
        <w:rPr>
          <w:i/>
          <w:sz w:val="23"/>
        </w:rPr>
      </w:pPr>
    </w:p>
    <w:p w:rsidR="00966BA7" w:rsidRDefault="00F255A2">
      <w:pPr>
        <w:pStyle w:val="BodyText"/>
        <w:spacing w:before="1" w:line="247" w:lineRule="auto"/>
        <w:ind w:left="113" w:right="167"/>
        <w:jc w:val="both"/>
      </w:pPr>
      <w:r>
        <w:rPr>
          <w:color w:val="231F20"/>
        </w:rPr>
        <w:t>The ADNEX model consists of three clinical predictors</w:t>
      </w:r>
      <w:r>
        <w:rPr>
          <w:color w:val="231F20"/>
          <w:spacing w:val="-18"/>
        </w:rPr>
        <w:t xml:space="preserve"> </w:t>
      </w:r>
      <w:r>
        <w:rPr>
          <w:color w:val="231F20"/>
        </w:rPr>
        <w:t>and</w:t>
      </w:r>
      <w:r>
        <w:rPr>
          <w:color w:val="231F20"/>
          <w:spacing w:val="-17"/>
        </w:rPr>
        <w:t xml:space="preserve"> </w:t>
      </w:r>
      <w:r>
        <w:rPr>
          <w:color w:val="231F20"/>
        </w:rPr>
        <w:t>six</w:t>
      </w:r>
      <w:r>
        <w:rPr>
          <w:color w:val="231F20"/>
          <w:spacing w:val="-17"/>
        </w:rPr>
        <w:t xml:space="preserve"> </w:t>
      </w:r>
      <w:r>
        <w:rPr>
          <w:color w:val="231F20"/>
        </w:rPr>
        <w:t>ultrasound</w:t>
      </w:r>
      <w:r>
        <w:rPr>
          <w:color w:val="231F20"/>
          <w:spacing w:val="-18"/>
        </w:rPr>
        <w:t xml:space="preserve"> </w:t>
      </w:r>
      <w:r>
        <w:rPr>
          <w:color w:val="231F20"/>
        </w:rPr>
        <w:t>predictors.</w:t>
      </w:r>
      <w:r>
        <w:rPr>
          <w:color w:val="231F20"/>
          <w:spacing w:val="-21"/>
        </w:rPr>
        <w:t xml:space="preserve"> </w:t>
      </w:r>
      <w:r>
        <w:rPr>
          <w:color w:val="231F20"/>
        </w:rPr>
        <w:t>The</w:t>
      </w:r>
      <w:r>
        <w:rPr>
          <w:color w:val="231F20"/>
          <w:spacing w:val="-17"/>
        </w:rPr>
        <w:t xml:space="preserve"> </w:t>
      </w:r>
      <w:r>
        <w:rPr>
          <w:color w:val="231F20"/>
        </w:rPr>
        <w:t xml:space="preserve">clinical predictors are age (years), serum CA-125 (U/mL) and type of center to which the patient has been referred for ultrasound examination. </w:t>
      </w:r>
      <w:r>
        <w:rPr>
          <w:color w:val="231F20"/>
          <w:spacing w:val="-4"/>
        </w:rPr>
        <w:t xml:space="preserve">Type </w:t>
      </w:r>
      <w:r>
        <w:rPr>
          <w:color w:val="231F20"/>
        </w:rPr>
        <w:t xml:space="preserve">of center has been divided into oncology centers versus </w:t>
      </w:r>
      <w:r>
        <w:rPr>
          <w:color w:val="231F20"/>
          <w:spacing w:val="-3"/>
        </w:rPr>
        <w:t xml:space="preserve">other </w:t>
      </w:r>
      <w:r>
        <w:rPr>
          <w:color w:val="231F20"/>
        </w:rPr>
        <w:t>hospitals,</w:t>
      </w:r>
      <w:r>
        <w:rPr>
          <w:color w:val="231F20"/>
          <w:spacing w:val="-20"/>
        </w:rPr>
        <w:t xml:space="preserve"> </w:t>
      </w:r>
      <w:r>
        <w:rPr>
          <w:color w:val="231F20"/>
        </w:rPr>
        <w:t>and</w:t>
      </w:r>
      <w:r>
        <w:rPr>
          <w:color w:val="231F20"/>
          <w:spacing w:val="-20"/>
        </w:rPr>
        <w:t xml:space="preserve"> </w:t>
      </w:r>
      <w:r>
        <w:rPr>
          <w:color w:val="231F20"/>
        </w:rPr>
        <w:t>is</w:t>
      </w:r>
      <w:r>
        <w:rPr>
          <w:color w:val="231F20"/>
          <w:spacing w:val="-19"/>
        </w:rPr>
        <w:t xml:space="preserve"> </w:t>
      </w:r>
      <w:r>
        <w:rPr>
          <w:color w:val="231F20"/>
        </w:rPr>
        <w:t>further</w:t>
      </w:r>
      <w:r>
        <w:rPr>
          <w:color w:val="231F20"/>
          <w:spacing w:val="-20"/>
        </w:rPr>
        <w:t xml:space="preserve"> </w:t>
      </w:r>
      <w:r>
        <w:rPr>
          <w:color w:val="231F20"/>
        </w:rPr>
        <w:t>discussed</w:t>
      </w:r>
      <w:r>
        <w:rPr>
          <w:color w:val="231F20"/>
          <w:spacing w:val="-20"/>
        </w:rPr>
        <w:t xml:space="preserve"> </w:t>
      </w:r>
      <w:r>
        <w:rPr>
          <w:color w:val="231F20"/>
        </w:rPr>
        <w:t>in</w:t>
      </w:r>
      <w:r>
        <w:rPr>
          <w:color w:val="231F20"/>
          <w:spacing w:val="-20"/>
        </w:rPr>
        <w:t xml:space="preserve"> </w:t>
      </w:r>
      <w:r>
        <w:rPr>
          <w:color w:val="231F20"/>
        </w:rPr>
        <w:t>the</w:t>
      </w:r>
      <w:r>
        <w:rPr>
          <w:color w:val="231F20"/>
          <w:spacing w:val="-20"/>
        </w:rPr>
        <w:t xml:space="preserve"> </w:t>
      </w:r>
      <w:r>
        <w:rPr>
          <w:color w:val="231F20"/>
        </w:rPr>
        <w:t>next</w:t>
      </w:r>
      <w:r>
        <w:rPr>
          <w:color w:val="231F20"/>
          <w:spacing w:val="-20"/>
        </w:rPr>
        <w:t xml:space="preserve"> </w:t>
      </w:r>
      <w:r>
        <w:rPr>
          <w:color w:val="231F20"/>
        </w:rPr>
        <w:t>section. The ultrasound predictors are the maximal</w:t>
      </w:r>
      <w:r>
        <w:rPr>
          <w:color w:val="231F20"/>
          <w:spacing w:val="-37"/>
        </w:rPr>
        <w:t xml:space="preserve"> </w:t>
      </w:r>
      <w:r>
        <w:rPr>
          <w:color w:val="231F20"/>
        </w:rPr>
        <w:t>diameter of</w:t>
      </w:r>
      <w:r>
        <w:rPr>
          <w:color w:val="231F20"/>
          <w:spacing w:val="17"/>
        </w:rPr>
        <w:t xml:space="preserve"> </w:t>
      </w:r>
      <w:r>
        <w:rPr>
          <w:color w:val="231F20"/>
        </w:rPr>
        <w:t>the</w:t>
      </w:r>
      <w:r>
        <w:rPr>
          <w:color w:val="231F20"/>
          <w:spacing w:val="18"/>
        </w:rPr>
        <w:t xml:space="preserve"> </w:t>
      </w:r>
      <w:r>
        <w:rPr>
          <w:color w:val="231F20"/>
        </w:rPr>
        <w:t>lesion</w:t>
      </w:r>
      <w:r>
        <w:rPr>
          <w:color w:val="231F20"/>
          <w:spacing w:val="17"/>
        </w:rPr>
        <w:t xml:space="preserve"> </w:t>
      </w:r>
      <w:r>
        <w:rPr>
          <w:color w:val="231F20"/>
        </w:rPr>
        <w:t>(mm),</w:t>
      </w:r>
      <w:r>
        <w:rPr>
          <w:color w:val="231F20"/>
          <w:spacing w:val="18"/>
        </w:rPr>
        <w:t xml:space="preserve"> </w:t>
      </w:r>
      <w:r>
        <w:rPr>
          <w:color w:val="231F20"/>
        </w:rPr>
        <w:t>proportion</w:t>
      </w:r>
      <w:r>
        <w:rPr>
          <w:color w:val="231F20"/>
          <w:spacing w:val="17"/>
        </w:rPr>
        <w:t xml:space="preserve"> </w:t>
      </w:r>
      <w:r>
        <w:rPr>
          <w:color w:val="231F20"/>
        </w:rPr>
        <w:t>of</w:t>
      </w:r>
      <w:r>
        <w:rPr>
          <w:color w:val="231F20"/>
          <w:spacing w:val="18"/>
        </w:rPr>
        <w:t xml:space="preserve"> </w:t>
      </w:r>
      <w:r>
        <w:rPr>
          <w:color w:val="231F20"/>
        </w:rPr>
        <w:t>solid</w:t>
      </w:r>
      <w:r>
        <w:rPr>
          <w:color w:val="231F20"/>
          <w:spacing w:val="17"/>
        </w:rPr>
        <w:t xml:space="preserve"> </w:t>
      </w:r>
      <w:r>
        <w:rPr>
          <w:color w:val="231F20"/>
        </w:rPr>
        <w:t>tissue</w:t>
      </w:r>
      <w:r>
        <w:rPr>
          <w:color w:val="231F20"/>
          <w:spacing w:val="18"/>
        </w:rPr>
        <w:t xml:space="preserve"> </w:t>
      </w:r>
      <w:r>
        <w:rPr>
          <w:color w:val="231F20"/>
        </w:rPr>
        <w:t>(%),</w:t>
      </w:r>
    </w:p>
    <w:p w:rsidR="00966BA7" w:rsidRDefault="00966BA7">
      <w:pPr>
        <w:spacing w:line="247" w:lineRule="auto"/>
        <w:jc w:val="both"/>
        <w:sectPr w:rsidR="00966BA7">
          <w:pgSz w:w="11910" w:h="16840"/>
          <w:pgMar w:top="900" w:right="1020" w:bottom="720" w:left="1020" w:header="0" w:footer="537" w:gutter="0"/>
          <w:cols w:num="2" w:space="720" w:equalWidth="0">
            <w:col w:w="4696" w:space="349"/>
            <w:col w:w="4825"/>
          </w:cols>
        </w:sectPr>
      </w:pPr>
    </w:p>
    <w:p w:rsidR="00966BA7" w:rsidRDefault="00966BA7">
      <w:pPr>
        <w:pStyle w:val="BodyText"/>
        <w:rPr>
          <w:sz w:val="20"/>
        </w:rPr>
      </w:pPr>
    </w:p>
    <w:p w:rsidR="00966BA7" w:rsidRDefault="00966BA7">
      <w:pPr>
        <w:pStyle w:val="BodyText"/>
        <w:rPr>
          <w:sz w:val="20"/>
        </w:rPr>
      </w:pPr>
    </w:p>
    <w:p w:rsidR="00966BA7" w:rsidRDefault="00966BA7">
      <w:pPr>
        <w:pStyle w:val="BodyText"/>
        <w:rPr>
          <w:sz w:val="20"/>
        </w:rPr>
      </w:pPr>
    </w:p>
    <w:p w:rsidR="00966BA7" w:rsidRDefault="00966BA7">
      <w:pPr>
        <w:pStyle w:val="BodyText"/>
        <w:spacing w:before="1"/>
        <w:rPr>
          <w:sz w:val="13"/>
        </w:rPr>
      </w:pPr>
    </w:p>
    <w:p w:rsidR="00966BA7" w:rsidRDefault="00F255A2">
      <w:pPr>
        <w:pStyle w:val="BodyText"/>
        <w:ind w:left="908"/>
        <w:rPr>
          <w:sz w:val="20"/>
        </w:rPr>
      </w:pPr>
      <w:r>
        <w:rPr>
          <w:noProof/>
          <w:sz w:val="20"/>
        </w:rPr>
        <w:drawing>
          <wp:inline distT="0" distB="0" distL="0" distR="0">
            <wp:extent cx="5074920" cy="3846576"/>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074920" cy="3846576"/>
                    </a:xfrm>
                    <a:prstGeom prst="rect">
                      <a:avLst/>
                    </a:prstGeom>
                  </pic:spPr>
                </pic:pic>
              </a:graphicData>
            </a:graphic>
          </wp:inline>
        </w:drawing>
      </w:r>
    </w:p>
    <w:p w:rsidR="00966BA7" w:rsidRDefault="00966BA7">
      <w:pPr>
        <w:pStyle w:val="BodyText"/>
        <w:spacing w:before="8"/>
        <w:rPr>
          <w:sz w:val="11"/>
        </w:rPr>
      </w:pPr>
    </w:p>
    <w:p w:rsidR="00966BA7" w:rsidRDefault="00F255A2">
      <w:pPr>
        <w:spacing w:before="67"/>
        <w:ind w:left="1434" w:right="1489"/>
        <w:jc w:val="center"/>
        <w:rPr>
          <w:sz w:val="18"/>
        </w:rPr>
      </w:pPr>
      <w:proofErr w:type="gramStart"/>
      <w:r>
        <w:rPr>
          <w:b/>
          <w:i/>
          <w:color w:val="231F20"/>
          <w:sz w:val="18"/>
        </w:rPr>
        <w:t>Fig. 1.</w:t>
      </w:r>
      <w:proofErr w:type="gramEnd"/>
      <w:r>
        <w:rPr>
          <w:b/>
          <w:i/>
          <w:color w:val="231F20"/>
          <w:sz w:val="18"/>
        </w:rPr>
        <w:t xml:space="preserve"> </w:t>
      </w:r>
      <w:r>
        <w:rPr>
          <w:color w:val="231F20"/>
          <w:sz w:val="18"/>
        </w:rPr>
        <w:t>— Ultrasound characteristics selected as predictors in the ADNEX model</w:t>
      </w:r>
    </w:p>
    <w:p w:rsidR="00966BA7" w:rsidRDefault="00966BA7">
      <w:pPr>
        <w:jc w:val="center"/>
        <w:rPr>
          <w:sz w:val="18"/>
        </w:rPr>
        <w:sectPr w:rsidR="00966BA7">
          <w:type w:val="continuous"/>
          <w:pgSz w:w="11910" w:h="16840"/>
          <w:pgMar w:top="880" w:right="1020" w:bottom="720" w:left="1020" w:header="720" w:footer="720" w:gutter="0"/>
          <w:cols w:space="720"/>
        </w:sectPr>
      </w:pPr>
    </w:p>
    <w:p w:rsidR="00966BA7" w:rsidRDefault="00F255A2">
      <w:pPr>
        <w:pStyle w:val="BodyText"/>
        <w:spacing w:before="42" w:line="247" w:lineRule="auto"/>
        <w:ind w:left="170" w:right="42"/>
        <w:jc w:val="both"/>
      </w:pPr>
      <w:proofErr w:type="gramStart"/>
      <w:r>
        <w:rPr>
          <w:color w:val="231F20"/>
        </w:rPr>
        <w:lastRenderedPageBreak/>
        <w:t>number</w:t>
      </w:r>
      <w:proofErr w:type="gramEnd"/>
      <w:r>
        <w:rPr>
          <w:color w:val="231F20"/>
        </w:rPr>
        <w:t xml:space="preserve"> of papillary projections (0, 1, 2, 3, &gt; 3), presence of more than 10 cyst locules (yes/no), acoustic shadows (yes/no), and presence of ascites (yes/no) (Fig. 1). </w:t>
      </w:r>
      <w:r>
        <w:rPr>
          <w:color w:val="231F20"/>
        </w:rPr>
        <w:t>The proportion of solid tissue is defined as the ratio of the maximal diameter of the largest solid component and the maximal diameter of the lesion.</w:t>
      </w:r>
    </w:p>
    <w:p w:rsidR="00966BA7" w:rsidRDefault="00F255A2">
      <w:pPr>
        <w:pStyle w:val="BodyText"/>
        <w:spacing w:line="247" w:lineRule="auto"/>
        <w:ind w:left="170" w:right="41" w:firstLine="226"/>
        <w:jc w:val="both"/>
      </w:pPr>
      <w:r>
        <w:rPr>
          <w:color w:val="231F20"/>
        </w:rPr>
        <w:t>The</w:t>
      </w:r>
      <w:r>
        <w:rPr>
          <w:color w:val="231F20"/>
          <w:spacing w:val="-20"/>
        </w:rPr>
        <w:t xml:space="preserve"> </w:t>
      </w:r>
      <w:r>
        <w:rPr>
          <w:color w:val="231F20"/>
        </w:rPr>
        <w:t>ADNEX</w:t>
      </w:r>
      <w:r>
        <w:rPr>
          <w:color w:val="231F20"/>
          <w:spacing w:val="-8"/>
        </w:rPr>
        <w:t xml:space="preserve"> </w:t>
      </w:r>
      <w:r>
        <w:rPr>
          <w:color w:val="231F20"/>
        </w:rPr>
        <w:t>predictors</w:t>
      </w:r>
      <w:r>
        <w:rPr>
          <w:color w:val="231F20"/>
          <w:spacing w:val="-9"/>
        </w:rPr>
        <w:t xml:space="preserve"> </w:t>
      </w:r>
      <w:r>
        <w:rPr>
          <w:color w:val="231F20"/>
        </w:rPr>
        <w:t>were</w:t>
      </w:r>
      <w:r>
        <w:rPr>
          <w:color w:val="231F20"/>
          <w:spacing w:val="-8"/>
        </w:rPr>
        <w:t xml:space="preserve"> </w:t>
      </w:r>
      <w:r>
        <w:rPr>
          <w:color w:val="231F20"/>
        </w:rPr>
        <w:t>selected</w:t>
      </w:r>
      <w:r>
        <w:rPr>
          <w:color w:val="231F20"/>
          <w:spacing w:val="-9"/>
        </w:rPr>
        <w:t xml:space="preserve"> </w:t>
      </w:r>
      <w:r>
        <w:rPr>
          <w:color w:val="231F20"/>
        </w:rPr>
        <w:t>as</w:t>
      </w:r>
      <w:r>
        <w:rPr>
          <w:color w:val="231F20"/>
          <w:spacing w:val="-8"/>
        </w:rPr>
        <w:t xml:space="preserve"> </w:t>
      </w:r>
      <w:r>
        <w:rPr>
          <w:color w:val="231F20"/>
        </w:rPr>
        <w:t>follows. Clinicians</w:t>
      </w:r>
      <w:r>
        <w:rPr>
          <w:color w:val="231F20"/>
          <w:spacing w:val="-11"/>
        </w:rPr>
        <w:t xml:space="preserve"> </w:t>
      </w:r>
      <w:r>
        <w:rPr>
          <w:color w:val="231F20"/>
        </w:rPr>
        <w:t>with</w:t>
      </w:r>
      <w:r>
        <w:rPr>
          <w:color w:val="231F20"/>
          <w:spacing w:val="-10"/>
        </w:rPr>
        <w:t xml:space="preserve"> </w:t>
      </w:r>
      <w:r>
        <w:rPr>
          <w:color w:val="231F20"/>
        </w:rPr>
        <w:t>experience</w:t>
      </w:r>
      <w:r>
        <w:rPr>
          <w:color w:val="231F20"/>
          <w:spacing w:val="-11"/>
        </w:rPr>
        <w:t xml:space="preserve"> </w:t>
      </w:r>
      <w:r>
        <w:rPr>
          <w:color w:val="231F20"/>
        </w:rPr>
        <w:t>in</w:t>
      </w:r>
      <w:r>
        <w:rPr>
          <w:color w:val="231F20"/>
          <w:spacing w:val="-10"/>
        </w:rPr>
        <w:t xml:space="preserve"> </w:t>
      </w:r>
      <w:r>
        <w:rPr>
          <w:color w:val="231F20"/>
        </w:rPr>
        <w:t>the</w:t>
      </w:r>
      <w:r>
        <w:rPr>
          <w:color w:val="231F20"/>
          <w:spacing w:val="-11"/>
        </w:rPr>
        <w:t xml:space="preserve"> </w:t>
      </w:r>
      <w:r>
        <w:rPr>
          <w:color w:val="231F20"/>
        </w:rPr>
        <w:t>characterization</w:t>
      </w:r>
      <w:r>
        <w:rPr>
          <w:color w:val="231F20"/>
          <w:spacing w:val="-10"/>
        </w:rPr>
        <w:t xml:space="preserve"> </w:t>
      </w:r>
      <w:r>
        <w:rPr>
          <w:color w:val="231F20"/>
        </w:rPr>
        <w:t>of adnexal tumors a priori selected a limited set of variables that were considered as potentially useful predictors.</w:t>
      </w:r>
      <w:r>
        <w:rPr>
          <w:color w:val="231F20"/>
          <w:spacing w:val="-34"/>
        </w:rPr>
        <w:t xml:space="preserve"> </w:t>
      </w:r>
      <w:r>
        <w:rPr>
          <w:color w:val="231F20"/>
        </w:rPr>
        <w:t>This</w:t>
      </w:r>
      <w:r>
        <w:rPr>
          <w:color w:val="231F20"/>
          <w:spacing w:val="-31"/>
        </w:rPr>
        <w:t xml:space="preserve"> </w:t>
      </w:r>
      <w:r>
        <w:rPr>
          <w:color w:val="231F20"/>
        </w:rPr>
        <w:t>was</w:t>
      </w:r>
      <w:r>
        <w:rPr>
          <w:color w:val="231F20"/>
          <w:spacing w:val="-32"/>
        </w:rPr>
        <w:t xml:space="preserve"> </w:t>
      </w:r>
      <w:r>
        <w:rPr>
          <w:color w:val="231F20"/>
        </w:rPr>
        <w:t>based</w:t>
      </w:r>
      <w:r>
        <w:rPr>
          <w:color w:val="231F20"/>
          <w:spacing w:val="-31"/>
        </w:rPr>
        <w:t xml:space="preserve"> </w:t>
      </w:r>
      <w:r>
        <w:rPr>
          <w:color w:val="231F20"/>
        </w:rPr>
        <w:t>on</w:t>
      </w:r>
      <w:r>
        <w:rPr>
          <w:color w:val="231F20"/>
          <w:spacing w:val="-32"/>
        </w:rPr>
        <w:t xml:space="preserve"> </w:t>
      </w:r>
      <w:r>
        <w:rPr>
          <w:color w:val="231F20"/>
        </w:rPr>
        <w:t>the</w:t>
      </w:r>
      <w:r>
        <w:rPr>
          <w:color w:val="231F20"/>
          <w:spacing w:val="-31"/>
        </w:rPr>
        <w:t xml:space="preserve"> </w:t>
      </w:r>
      <w:r>
        <w:rPr>
          <w:color w:val="231F20"/>
        </w:rPr>
        <w:t>variables’</w:t>
      </w:r>
      <w:r>
        <w:rPr>
          <w:color w:val="231F20"/>
          <w:spacing w:val="-40"/>
        </w:rPr>
        <w:t xml:space="preserve"> </w:t>
      </w:r>
      <w:r>
        <w:rPr>
          <w:color w:val="231F20"/>
        </w:rPr>
        <w:t xml:space="preserve">perceived predictive value to distinguish between the </w:t>
      </w:r>
      <w:r>
        <w:rPr>
          <w:color w:val="231F20"/>
          <w:spacing w:val="-4"/>
        </w:rPr>
        <w:t xml:space="preserve">four </w:t>
      </w:r>
      <w:r>
        <w:rPr>
          <w:color w:val="231F20"/>
        </w:rPr>
        <w:t>types of malignant ovarian pathologies of inte</w:t>
      </w:r>
      <w:r>
        <w:rPr>
          <w:color w:val="231F20"/>
        </w:rPr>
        <w:t xml:space="preserve">rest, subjectivity, dependency on the experience of the ultrasound examiner, and impact on the patient. This approach is in accordance with current meth- odological recommendations (Steyerberg, 2009). </w:t>
      </w:r>
      <w:r>
        <w:rPr>
          <w:color w:val="231F20"/>
          <w:spacing w:val="-7"/>
        </w:rPr>
        <w:t xml:space="preserve">In </w:t>
      </w:r>
      <w:r>
        <w:rPr>
          <w:color w:val="231F20"/>
        </w:rPr>
        <w:t>addition, variable selection was also based on an an</w:t>
      </w:r>
      <w:r>
        <w:rPr>
          <w:color w:val="231F20"/>
        </w:rPr>
        <w:t xml:space="preserve">alysis of consistency of the variables across the </w:t>
      </w:r>
      <w:r>
        <w:rPr>
          <w:color w:val="231F20"/>
          <w:spacing w:val="-5"/>
        </w:rPr>
        <w:t xml:space="preserve">IOTA </w:t>
      </w:r>
      <w:r>
        <w:rPr>
          <w:color w:val="231F20"/>
        </w:rPr>
        <w:t xml:space="preserve">study centers (Wynants et al., 2013). As a result, it was deliberately decided not to include color Doppler variables or the presence of cyst wall irregularities. </w:t>
      </w:r>
      <w:r>
        <w:rPr>
          <w:color w:val="231F20"/>
          <w:spacing w:val="-6"/>
        </w:rPr>
        <w:t xml:space="preserve">Ten </w:t>
      </w:r>
      <w:r>
        <w:rPr>
          <w:color w:val="231F20"/>
        </w:rPr>
        <w:t>potential predictor variables were</w:t>
      </w:r>
      <w:r>
        <w:rPr>
          <w:color w:val="231F20"/>
        </w:rPr>
        <w:t xml:space="preserve"> selected, on which further statistical variable selection was performed </w:t>
      </w:r>
      <w:r>
        <w:rPr>
          <w:color w:val="231F20"/>
          <w:spacing w:val="-7"/>
        </w:rPr>
        <w:t xml:space="preserve">(Van </w:t>
      </w:r>
      <w:r>
        <w:rPr>
          <w:color w:val="231F20"/>
        </w:rPr>
        <w:t>Calster et al., 2014). This</w:t>
      </w:r>
      <w:r>
        <w:rPr>
          <w:color w:val="231F20"/>
          <w:spacing w:val="-13"/>
        </w:rPr>
        <w:t xml:space="preserve"> </w:t>
      </w:r>
      <w:r>
        <w:rPr>
          <w:color w:val="231F20"/>
        </w:rPr>
        <w:t>resulted</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omission</w:t>
      </w:r>
      <w:r>
        <w:rPr>
          <w:color w:val="231F20"/>
          <w:spacing w:val="-13"/>
        </w:rPr>
        <w:t xml:space="preserve"> </w:t>
      </w:r>
      <w:r>
        <w:rPr>
          <w:color w:val="231F20"/>
        </w:rPr>
        <w:t>of</w:t>
      </w:r>
      <w:r>
        <w:rPr>
          <w:color w:val="231F20"/>
          <w:spacing w:val="-12"/>
        </w:rPr>
        <w:t xml:space="preserve"> </w:t>
      </w:r>
      <w:r>
        <w:rPr>
          <w:color w:val="231F20"/>
        </w:rPr>
        <w:t>one</w:t>
      </w:r>
      <w:r>
        <w:rPr>
          <w:color w:val="231F20"/>
          <w:spacing w:val="-12"/>
        </w:rPr>
        <w:t xml:space="preserve"> </w:t>
      </w:r>
      <w:r>
        <w:rPr>
          <w:color w:val="231F20"/>
        </w:rPr>
        <w:t>variable</w:t>
      </w:r>
      <w:r>
        <w:rPr>
          <w:color w:val="231F20"/>
          <w:spacing w:val="-12"/>
        </w:rPr>
        <w:t xml:space="preserve"> </w:t>
      </w:r>
      <w:r>
        <w:rPr>
          <w:color w:val="231F20"/>
        </w:rPr>
        <w:t>(family history of ovarian cancer). As a result ADNEX contains nine predictors that have strong diagnostic va</w:t>
      </w:r>
      <w:r>
        <w:rPr>
          <w:color w:val="231F20"/>
        </w:rPr>
        <w:t>lue.</w:t>
      </w:r>
    </w:p>
    <w:p w:rsidR="00966BA7" w:rsidRDefault="00F255A2">
      <w:pPr>
        <w:pStyle w:val="BodyText"/>
        <w:spacing w:line="247" w:lineRule="auto"/>
        <w:ind w:left="170" w:right="38" w:firstLine="226"/>
        <w:jc w:val="both"/>
      </w:pPr>
      <w:r>
        <w:rPr>
          <w:color w:val="231F20"/>
        </w:rPr>
        <w:t>Six predictors in the ADNEX model are ultra- sound variables. A concern might be the</w:t>
      </w:r>
      <w:r>
        <w:rPr>
          <w:color w:val="231F20"/>
          <w:spacing w:val="-32"/>
        </w:rPr>
        <w:t xml:space="preserve"> </w:t>
      </w:r>
      <w:r>
        <w:rPr>
          <w:color w:val="231F20"/>
        </w:rPr>
        <w:t xml:space="preserve">experience </w:t>
      </w:r>
      <w:r>
        <w:rPr>
          <w:color w:val="231F20"/>
          <w:spacing w:val="2"/>
        </w:rPr>
        <w:t xml:space="preserve">required </w:t>
      </w:r>
      <w:r>
        <w:rPr>
          <w:color w:val="231F20"/>
        </w:rPr>
        <w:t xml:space="preserve">to </w:t>
      </w:r>
      <w:r>
        <w:rPr>
          <w:color w:val="231F20"/>
          <w:spacing w:val="2"/>
        </w:rPr>
        <w:t xml:space="preserve">accurately measure these </w:t>
      </w:r>
      <w:r>
        <w:rPr>
          <w:color w:val="231F20"/>
          <w:spacing w:val="3"/>
        </w:rPr>
        <w:t xml:space="preserve">variables. </w:t>
      </w:r>
      <w:r>
        <w:rPr>
          <w:color w:val="231F20"/>
          <w:spacing w:val="2"/>
        </w:rPr>
        <w:t xml:space="preserve">However, </w:t>
      </w:r>
      <w:r>
        <w:rPr>
          <w:color w:val="231F20"/>
          <w:spacing w:val="3"/>
        </w:rPr>
        <w:t xml:space="preserve">there </w:t>
      </w:r>
      <w:r>
        <w:rPr>
          <w:color w:val="231F20"/>
        </w:rPr>
        <w:t xml:space="preserve">is now </w:t>
      </w:r>
      <w:r>
        <w:rPr>
          <w:color w:val="231F20"/>
          <w:spacing w:val="3"/>
        </w:rPr>
        <w:t xml:space="preserve">evidence available </w:t>
      </w:r>
      <w:r>
        <w:rPr>
          <w:color w:val="231F20"/>
          <w:spacing w:val="4"/>
        </w:rPr>
        <w:t xml:space="preserve">that </w:t>
      </w:r>
      <w:r>
        <w:rPr>
          <w:color w:val="231F20"/>
        </w:rPr>
        <w:t xml:space="preserve">suggests that ultrasound-based prediction </w:t>
      </w:r>
      <w:r>
        <w:rPr>
          <w:color w:val="231F20"/>
          <w:spacing w:val="2"/>
        </w:rPr>
        <w:t xml:space="preserve">models </w:t>
      </w:r>
      <w:r>
        <w:rPr>
          <w:color w:val="231F20"/>
        </w:rPr>
        <w:t xml:space="preserve">and </w:t>
      </w:r>
      <w:r>
        <w:rPr>
          <w:color w:val="231F20"/>
          <w:spacing w:val="2"/>
        </w:rPr>
        <w:t xml:space="preserve">rules retain their performance </w:t>
      </w:r>
      <w:proofErr w:type="gramStart"/>
      <w:r>
        <w:rPr>
          <w:color w:val="231F20"/>
        </w:rPr>
        <w:t>in  the</w:t>
      </w:r>
      <w:proofErr w:type="gramEnd"/>
      <w:r>
        <w:rPr>
          <w:color w:val="231F20"/>
        </w:rPr>
        <w:t xml:space="preserve">  </w:t>
      </w:r>
      <w:r>
        <w:rPr>
          <w:color w:val="231F20"/>
          <w:spacing w:val="3"/>
        </w:rPr>
        <w:t>hands</w:t>
      </w:r>
      <w:r>
        <w:rPr>
          <w:color w:val="231F20"/>
          <w:spacing w:val="61"/>
        </w:rPr>
        <w:t xml:space="preserve"> </w:t>
      </w:r>
      <w:r>
        <w:rPr>
          <w:color w:val="231F20"/>
          <w:spacing w:val="2"/>
        </w:rPr>
        <w:t xml:space="preserve">of </w:t>
      </w:r>
      <w:r>
        <w:rPr>
          <w:color w:val="231F20"/>
          <w:spacing w:val="4"/>
        </w:rPr>
        <w:t xml:space="preserve">relatively inexperienced doctors </w:t>
      </w:r>
      <w:r>
        <w:rPr>
          <w:color w:val="231F20"/>
          <w:spacing w:val="3"/>
        </w:rPr>
        <w:t xml:space="preserve">and </w:t>
      </w:r>
      <w:r>
        <w:rPr>
          <w:color w:val="231F20"/>
          <w:spacing w:val="4"/>
        </w:rPr>
        <w:t xml:space="preserve">sono- </w:t>
      </w:r>
      <w:r>
        <w:rPr>
          <w:color w:val="231F20"/>
        </w:rPr>
        <w:t>graphers (Nunes et al., 2012; Alcazar et al., 2013; Sayasneh et al., 2013a; Sayasneh et al., 2013b) on the condition that the examiners are familiar with the</w:t>
      </w:r>
      <w:r>
        <w:rPr>
          <w:color w:val="231F20"/>
          <w:spacing w:val="-10"/>
        </w:rPr>
        <w:t xml:space="preserve"> </w:t>
      </w:r>
      <w:r>
        <w:rPr>
          <w:color w:val="231F20"/>
        </w:rPr>
        <w:t>IOTA</w:t>
      </w:r>
      <w:r>
        <w:rPr>
          <w:color w:val="231F20"/>
          <w:spacing w:val="-9"/>
        </w:rPr>
        <w:t xml:space="preserve"> </w:t>
      </w:r>
      <w:r>
        <w:rPr>
          <w:color w:val="231F20"/>
        </w:rPr>
        <w:t>t</w:t>
      </w:r>
      <w:r>
        <w:rPr>
          <w:color w:val="231F20"/>
        </w:rPr>
        <w:t>erms</w:t>
      </w:r>
      <w:r>
        <w:rPr>
          <w:color w:val="231F20"/>
          <w:spacing w:val="-10"/>
        </w:rPr>
        <w:t xml:space="preserve"> </w:t>
      </w:r>
      <w:r>
        <w:rPr>
          <w:color w:val="231F20"/>
        </w:rPr>
        <w:t>and</w:t>
      </w:r>
      <w:r>
        <w:rPr>
          <w:color w:val="231F20"/>
          <w:spacing w:val="-9"/>
        </w:rPr>
        <w:t xml:space="preserve"> </w:t>
      </w:r>
      <w:r>
        <w:rPr>
          <w:color w:val="231F20"/>
        </w:rPr>
        <w:t>definitions</w:t>
      </w:r>
      <w:r>
        <w:rPr>
          <w:color w:val="231F20"/>
          <w:spacing w:val="-10"/>
        </w:rPr>
        <w:t xml:space="preserve"> </w:t>
      </w:r>
      <w:r>
        <w:rPr>
          <w:color w:val="231F20"/>
        </w:rPr>
        <w:t>and</w:t>
      </w:r>
      <w:r>
        <w:rPr>
          <w:color w:val="231F20"/>
          <w:spacing w:val="-9"/>
        </w:rPr>
        <w:t xml:space="preserve"> </w:t>
      </w:r>
      <w:r>
        <w:rPr>
          <w:color w:val="231F20"/>
        </w:rPr>
        <w:t>properly</w:t>
      </w:r>
      <w:r>
        <w:rPr>
          <w:color w:val="231F20"/>
          <w:spacing w:val="-10"/>
        </w:rPr>
        <w:t xml:space="preserve"> </w:t>
      </w:r>
      <w:r>
        <w:rPr>
          <w:color w:val="231F20"/>
        </w:rPr>
        <w:t>use</w:t>
      </w:r>
      <w:r>
        <w:rPr>
          <w:color w:val="231F20"/>
          <w:spacing w:val="-9"/>
        </w:rPr>
        <w:t xml:space="preserve"> </w:t>
      </w:r>
      <w:r>
        <w:rPr>
          <w:color w:val="231F20"/>
        </w:rPr>
        <w:t>the IOTA examination and measurement techniques (Timmerman et al., 2000).</w:t>
      </w:r>
    </w:p>
    <w:p w:rsidR="00966BA7" w:rsidRDefault="00F255A2">
      <w:pPr>
        <w:spacing w:before="42"/>
        <w:ind w:left="170"/>
        <w:rPr>
          <w:i/>
        </w:rPr>
      </w:pPr>
      <w:r>
        <w:br w:type="column"/>
      </w:r>
      <w:r>
        <w:rPr>
          <w:i/>
          <w:color w:val="231F20"/>
        </w:rPr>
        <w:lastRenderedPageBreak/>
        <w:t>Type of center</w:t>
      </w:r>
    </w:p>
    <w:p w:rsidR="00966BA7" w:rsidRDefault="00966BA7">
      <w:pPr>
        <w:pStyle w:val="BodyText"/>
        <w:spacing w:before="2"/>
        <w:rPr>
          <w:i/>
          <w:sz w:val="23"/>
        </w:rPr>
      </w:pPr>
    </w:p>
    <w:p w:rsidR="00966BA7" w:rsidRDefault="00F255A2">
      <w:pPr>
        <w:pStyle w:val="BodyText"/>
        <w:spacing w:line="247" w:lineRule="auto"/>
        <w:ind w:left="170" w:right="104"/>
        <w:jc w:val="both"/>
      </w:pPr>
      <w:r>
        <w:rPr>
          <w:color w:val="231F20"/>
        </w:rPr>
        <w:t xml:space="preserve">One of the ADNEX predictors is the type of center, divided into oncology centers and other hospitals. An </w:t>
      </w:r>
      <w:r>
        <w:rPr>
          <w:color w:val="231F20"/>
          <w:spacing w:val="2"/>
        </w:rPr>
        <w:t xml:space="preserve">‘oncology center’ </w:t>
      </w:r>
      <w:r>
        <w:rPr>
          <w:color w:val="231F20"/>
        </w:rPr>
        <w:t xml:space="preserve">was </w:t>
      </w:r>
      <w:r>
        <w:rPr>
          <w:color w:val="231F20"/>
        </w:rPr>
        <w:t xml:space="preserve">defined as a </w:t>
      </w:r>
      <w:r>
        <w:rPr>
          <w:color w:val="231F20"/>
          <w:spacing w:val="3"/>
        </w:rPr>
        <w:t xml:space="preserve">tertiary </w:t>
      </w:r>
      <w:r>
        <w:rPr>
          <w:color w:val="231F20"/>
          <w:spacing w:val="5"/>
        </w:rPr>
        <w:t xml:space="preserve">referral center </w:t>
      </w:r>
      <w:r>
        <w:rPr>
          <w:color w:val="231F20"/>
          <w:spacing w:val="4"/>
        </w:rPr>
        <w:t xml:space="preserve">with </w:t>
      </w:r>
      <w:r>
        <w:rPr>
          <w:color w:val="231F20"/>
        </w:rPr>
        <w:t xml:space="preserve">a </w:t>
      </w:r>
      <w:r>
        <w:rPr>
          <w:color w:val="231F20"/>
          <w:spacing w:val="5"/>
        </w:rPr>
        <w:t xml:space="preserve">specific gynecological </w:t>
      </w:r>
      <w:r>
        <w:rPr>
          <w:color w:val="231F20"/>
        </w:rPr>
        <w:t xml:space="preserve">oncology unit. The prevalence of different types of </w:t>
      </w:r>
      <w:r>
        <w:rPr>
          <w:color w:val="231F20"/>
          <w:spacing w:val="2"/>
        </w:rPr>
        <w:t xml:space="preserve">malignant tumors </w:t>
      </w:r>
      <w:r>
        <w:rPr>
          <w:color w:val="231F20"/>
        </w:rPr>
        <w:t xml:space="preserve">is </w:t>
      </w:r>
      <w:r>
        <w:rPr>
          <w:color w:val="231F20"/>
          <w:spacing w:val="2"/>
        </w:rPr>
        <w:t xml:space="preserve">higher </w:t>
      </w:r>
      <w:r>
        <w:rPr>
          <w:color w:val="231F20"/>
        </w:rPr>
        <w:t xml:space="preserve">in </w:t>
      </w:r>
      <w:r>
        <w:rPr>
          <w:color w:val="231F20"/>
          <w:spacing w:val="2"/>
        </w:rPr>
        <w:t xml:space="preserve">oncology </w:t>
      </w:r>
      <w:r>
        <w:rPr>
          <w:color w:val="231F20"/>
          <w:spacing w:val="3"/>
        </w:rPr>
        <w:t xml:space="preserve">centers </w:t>
      </w:r>
      <w:r>
        <w:rPr>
          <w:color w:val="231F20"/>
        </w:rPr>
        <w:t>compared to other centers (Table I). Using the data on all 5909 patients, we observed mal</w:t>
      </w:r>
      <w:r>
        <w:rPr>
          <w:color w:val="231F20"/>
        </w:rPr>
        <w:t xml:space="preserve">ignancy rates </w:t>
      </w:r>
      <w:r>
        <w:rPr>
          <w:color w:val="231F20"/>
          <w:spacing w:val="2"/>
        </w:rPr>
        <w:t xml:space="preserve">between </w:t>
      </w:r>
      <w:r>
        <w:rPr>
          <w:color w:val="231F20"/>
        </w:rPr>
        <w:t xml:space="preserve">22 and 66% in </w:t>
      </w:r>
      <w:r>
        <w:rPr>
          <w:color w:val="231F20"/>
          <w:spacing w:val="2"/>
        </w:rPr>
        <w:t xml:space="preserve">oncology centers, </w:t>
      </w:r>
      <w:r>
        <w:rPr>
          <w:color w:val="231F20"/>
          <w:spacing w:val="3"/>
        </w:rPr>
        <w:t xml:space="preserve">and </w:t>
      </w:r>
      <w:r>
        <w:rPr>
          <w:color w:val="231F20"/>
        </w:rPr>
        <w:t xml:space="preserve">between 0 and 30% in other centers (Van </w:t>
      </w:r>
      <w:proofErr w:type="gramStart"/>
      <w:r>
        <w:rPr>
          <w:color w:val="231F20"/>
        </w:rPr>
        <w:t>Calster  et</w:t>
      </w:r>
      <w:proofErr w:type="gramEnd"/>
      <w:r>
        <w:rPr>
          <w:color w:val="231F20"/>
        </w:rPr>
        <w:t xml:space="preserve"> </w:t>
      </w:r>
      <w:r>
        <w:rPr>
          <w:color w:val="231F20"/>
          <w:spacing w:val="3"/>
        </w:rPr>
        <w:t xml:space="preserve">al., 2014). This </w:t>
      </w:r>
      <w:r>
        <w:rPr>
          <w:color w:val="231F20"/>
        </w:rPr>
        <w:t xml:space="preserve">is </w:t>
      </w:r>
      <w:r>
        <w:rPr>
          <w:color w:val="231F20"/>
          <w:spacing w:val="3"/>
        </w:rPr>
        <w:t xml:space="preserve">largely explained </w:t>
      </w:r>
      <w:r>
        <w:rPr>
          <w:color w:val="231F20"/>
        </w:rPr>
        <w:t xml:space="preserve">by </w:t>
      </w:r>
      <w:r>
        <w:rPr>
          <w:color w:val="231F20"/>
          <w:spacing w:val="4"/>
        </w:rPr>
        <w:t xml:space="preserve">the </w:t>
      </w:r>
      <w:r>
        <w:rPr>
          <w:color w:val="231F20"/>
          <w:spacing w:val="2"/>
        </w:rPr>
        <w:t xml:space="preserve">observation that patients with masses that </w:t>
      </w:r>
      <w:r>
        <w:rPr>
          <w:color w:val="231F20"/>
          <w:spacing w:val="3"/>
        </w:rPr>
        <w:t xml:space="preserve">look </w:t>
      </w:r>
      <w:r>
        <w:rPr>
          <w:color w:val="231F20"/>
        </w:rPr>
        <w:t>suspicious are more often referred to specialized cen</w:t>
      </w:r>
      <w:r>
        <w:rPr>
          <w:color w:val="231F20"/>
        </w:rPr>
        <w:t>ters for assessment and treatment. Nevertheless, although the ADNEX model contains eight patient or tumor-specific predictors, type of center was</w:t>
      </w:r>
      <w:r>
        <w:rPr>
          <w:color w:val="231F20"/>
          <w:spacing w:val="-32"/>
        </w:rPr>
        <w:t xml:space="preserve"> </w:t>
      </w:r>
      <w:r>
        <w:rPr>
          <w:color w:val="231F20"/>
        </w:rPr>
        <w:t>still predictive (Van Calster et al., 2014).</w:t>
      </w:r>
    </w:p>
    <w:p w:rsidR="00966BA7" w:rsidRDefault="00F255A2">
      <w:pPr>
        <w:pStyle w:val="BodyText"/>
        <w:spacing w:line="247" w:lineRule="auto"/>
        <w:ind w:left="170" w:right="107" w:firstLine="226"/>
        <w:jc w:val="both"/>
      </w:pPr>
      <w:proofErr w:type="gramStart"/>
      <w:r>
        <w:rPr>
          <w:color w:val="231F20"/>
        </w:rPr>
        <w:t>If the same patient would be evaluated at a local community hospital and then also by a clinician in an oncology center, the risk of malignancy for the same</w:t>
      </w:r>
      <w:r>
        <w:rPr>
          <w:color w:val="231F20"/>
          <w:spacing w:val="-14"/>
        </w:rPr>
        <w:t xml:space="preserve"> </w:t>
      </w:r>
      <w:r>
        <w:rPr>
          <w:color w:val="231F20"/>
        </w:rPr>
        <w:t>tumor</w:t>
      </w:r>
      <w:r>
        <w:rPr>
          <w:color w:val="231F20"/>
          <w:spacing w:val="-14"/>
        </w:rPr>
        <w:t xml:space="preserve"> </w:t>
      </w:r>
      <w:r>
        <w:rPr>
          <w:color w:val="231F20"/>
        </w:rPr>
        <w:t>would</w:t>
      </w:r>
      <w:r>
        <w:rPr>
          <w:color w:val="231F20"/>
          <w:spacing w:val="-13"/>
        </w:rPr>
        <w:t xml:space="preserve"> </w:t>
      </w:r>
      <w:r>
        <w:rPr>
          <w:color w:val="231F20"/>
        </w:rPr>
        <w:t>be</w:t>
      </w:r>
      <w:r>
        <w:rPr>
          <w:color w:val="231F20"/>
          <w:spacing w:val="-14"/>
        </w:rPr>
        <w:t xml:space="preserve"> </w:t>
      </w:r>
      <w:r>
        <w:rPr>
          <w:color w:val="231F20"/>
        </w:rPr>
        <w:t>higher</w:t>
      </w:r>
      <w:r>
        <w:rPr>
          <w:color w:val="231F20"/>
          <w:spacing w:val="-13"/>
        </w:rPr>
        <w:t xml:space="preserve"> </w:t>
      </w:r>
      <w:r>
        <w:rPr>
          <w:color w:val="231F20"/>
        </w:rPr>
        <w:t>in</w:t>
      </w:r>
      <w:r>
        <w:rPr>
          <w:color w:val="231F20"/>
          <w:spacing w:val="-14"/>
        </w:rPr>
        <w:t xml:space="preserve"> </w:t>
      </w:r>
      <w:r>
        <w:rPr>
          <w:color w:val="231F20"/>
        </w:rPr>
        <w:t>the</w:t>
      </w:r>
      <w:r>
        <w:rPr>
          <w:color w:val="231F20"/>
          <w:spacing w:val="-14"/>
        </w:rPr>
        <w:t xml:space="preserve"> </w:t>
      </w:r>
      <w:r>
        <w:rPr>
          <w:color w:val="231F20"/>
        </w:rPr>
        <w:t>latter</w:t>
      </w:r>
      <w:r>
        <w:rPr>
          <w:color w:val="231F20"/>
          <w:spacing w:val="-13"/>
        </w:rPr>
        <w:t xml:space="preserve"> </w:t>
      </w:r>
      <w:r>
        <w:rPr>
          <w:color w:val="231F20"/>
        </w:rPr>
        <w:t>setting</w:t>
      </w:r>
      <w:r>
        <w:rPr>
          <w:color w:val="231F20"/>
          <w:spacing w:val="-14"/>
        </w:rPr>
        <w:t xml:space="preserve"> </w:t>
      </w:r>
      <w:r>
        <w:rPr>
          <w:color w:val="231F20"/>
        </w:rPr>
        <w:t>than in</w:t>
      </w:r>
      <w:r>
        <w:rPr>
          <w:color w:val="231F20"/>
          <w:spacing w:val="-23"/>
        </w:rPr>
        <w:t xml:space="preserve"> </w:t>
      </w:r>
      <w:r>
        <w:rPr>
          <w:color w:val="231F20"/>
        </w:rPr>
        <w:t>the</w:t>
      </w:r>
      <w:r>
        <w:rPr>
          <w:color w:val="231F20"/>
          <w:spacing w:val="-23"/>
        </w:rPr>
        <w:t xml:space="preserve"> </w:t>
      </w:r>
      <w:r>
        <w:rPr>
          <w:color w:val="231F20"/>
        </w:rPr>
        <w:t>former.</w:t>
      </w:r>
      <w:proofErr w:type="gramEnd"/>
      <w:r>
        <w:rPr>
          <w:color w:val="231F20"/>
          <w:spacing w:val="-23"/>
        </w:rPr>
        <w:t xml:space="preserve"> </w:t>
      </w:r>
      <w:r>
        <w:rPr>
          <w:color w:val="231F20"/>
        </w:rPr>
        <w:t>Intuitively</w:t>
      </w:r>
      <w:r>
        <w:rPr>
          <w:color w:val="231F20"/>
          <w:spacing w:val="-23"/>
        </w:rPr>
        <w:t xml:space="preserve"> </w:t>
      </w:r>
      <w:r>
        <w:rPr>
          <w:color w:val="231F20"/>
        </w:rPr>
        <w:t>this</w:t>
      </w:r>
      <w:r>
        <w:rPr>
          <w:color w:val="231F20"/>
          <w:spacing w:val="-23"/>
        </w:rPr>
        <w:t xml:space="preserve"> </w:t>
      </w:r>
      <w:r>
        <w:rPr>
          <w:color w:val="231F20"/>
        </w:rPr>
        <w:t>might</w:t>
      </w:r>
      <w:r>
        <w:rPr>
          <w:color w:val="231F20"/>
          <w:spacing w:val="-23"/>
        </w:rPr>
        <w:t xml:space="preserve"> </w:t>
      </w:r>
      <w:r>
        <w:rPr>
          <w:color w:val="231F20"/>
        </w:rPr>
        <w:t>sound</w:t>
      </w:r>
      <w:r>
        <w:rPr>
          <w:color w:val="231F20"/>
          <w:spacing w:val="-23"/>
        </w:rPr>
        <w:t xml:space="preserve"> </w:t>
      </w:r>
      <w:r>
        <w:rPr>
          <w:color w:val="231F20"/>
        </w:rPr>
        <w:t>confus</w:t>
      </w:r>
      <w:r>
        <w:rPr>
          <w:color w:val="231F20"/>
        </w:rPr>
        <w:t xml:space="preserve">ing, but as </w:t>
      </w:r>
      <w:r>
        <w:rPr>
          <w:color w:val="231F20"/>
          <w:spacing w:val="2"/>
        </w:rPr>
        <w:t xml:space="preserve">Candido-dos-Reis (2014) stated, </w:t>
      </w:r>
      <w:r>
        <w:rPr>
          <w:color w:val="231F20"/>
          <w:spacing w:val="3"/>
        </w:rPr>
        <w:t xml:space="preserve">type of </w:t>
      </w:r>
      <w:r>
        <w:rPr>
          <w:color w:val="231F20"/>
        </w:rPr>
        <w:t xml:space="preserve">center may still be a surrogate for clinical signs of </w:t>
      </w:r>
      <w:r>
        <w:rPr>
          <w:color w:val="231F20"/>
          <w:spacing w:val="2"/>
        </w:rPr>
        <w:t xml:space="preserve">malignancy that </w:t>
      </w:r>
      <w:r>
        <w:rPr>
          <w:color w:val="231F20"/>
        </w:rPr>
        <w:t xml:space="preserve">are not in the </w:t>
      </w:r>
      <w:r>
        <w:rPr>
          <w:color w:val="231F20"/>
          <w:spacing w:val="2"/>
        </w:rPr>
        <w:t xml:space="preserve">ADNEX </w:t>
      </w:r>
      <w:r>
        <w:rPr>
          <w:color w:val="231F20"/>
          <w:spacing w:val="3"/>
        </w:rPr>
        <w:t xml:space="preserve">model. </w:t>
      </w:r>
      <w:r>
        <w:rPr>
          <w:color w:val="231F20"/>
        </w:rPr>
        <w:t>Potential examples can be symptoms for ovarian cancer, such as pain and bloating or mode of detec- tion. T</w:t>
      </w:r>
      <w:r>
        <w:rPr>
          <w:color w:val="231F20"/>
        </w:rPr>
        <w:t>his is an issue for further research.</w:t>
      </w:r>
    </w:p>
    <w:p w:rsidR="00966BA7" w:rsidRDefault="00F255A2">
      <w:pPr>
        <w:pStyle w:val="BodyText"/>
        <w:spacing w:line="247" w:lineRule="auto"/>
        <w:ind w:left="170" w:right="108" w:firstLine="226"/>
        <w:jc w:val="both"/>
      </w:pPr>
      <w:r>
        <w:rPr>
          <w:color w:val="231F20"/>
        </w:rPr>
        <w:t xml:space="preserve">Note that type of center is the weakest of all nine ADNEX predictors (Van Calster et al., 2014). This implies that the higher baseline risks of malignant tumor types in oncology centers are largely (but </w:t>
      </w:r>
      <w:r>
        <w:rPr>
          <w:color w:val="231F20"/>
          <w:spacing w:val="-4"/>
        </w:rPr>
        <w:t xml:space="preserve">not </w:t>
      </w:r>
      <w:r>
        <w:rPr>
          <w:color w:val="231F20"/>
          <w:spacing w:val="4"/>
        </w:rPr>
        <w:t>completely)</w:t>
      </w:r>
      <w:r>
        <w:rPr>
          <w:color w:val="231F20"/>
          <w:spacing w:val="4"/>
        </w:rPr>
        <w:t xml:space="preserve"> explained </w:t>
      </w:r>
      <w:r>
        <w:rPr>
          <w:color w:val="231F20"/>
          <w:spacing w:val="2"/>
        </w:rPr>
        <w:t xml:space="preserve">by </w:t>
      </w:r>
      <w:r>
        <w:rPr>
          <w:color w:val="231F20"/>
          <w:spacing w:val="4"/>
        </w:rPr>
        <w:t xml:space="preserve">patient- </w:t>
      </w:r>
      <w:r>
        <w:rPr>
          <w:color w:val="231F20"/>
          <w:spacing w:val="3"/>
        </w:rPr>
        <w:t xml:space="preserve">and </w:t>
      </w:r>
      <w:r>
        <w:rPr>
          <w:color w:val="231F20"/>
          <w:spacing w:val="4"/>
        </w:rPr>
        <w:t xml:space="preserve">tumor- </w:t>
      </w:r>
      <w:r>
        <w:rPr>
          <w:color w:val="231F20"/>
        </w:rPr>
        <w:t>specific predictors. Nonetheless, the inclusion of type of center is important to obtain more reliable risk predictions.</w:t>
      </w:r>
    </w:p>
    <w:p w:rsidR="00966BA7" w:rsidRDefault="00966BA7">
      <w:pPr>
        <w:pStyle w:val="BodyText"/>
        <w:rPr>
          <w:sz w:val="21"/>
        </w:rPr>
      </w:pPr>
    </w:p>
    <w:p w:rsidR="00966BA7" w:rsidRDefault="00F255A2">
      <w:pPr>
        <w:ind w:left="170"/>
        <w:rPr>
          <w:i/>
        </w:rPr>
      </w:pPr>
      <w:r>
        <w:rPr>
          <w:i/>
          <w:color w:val="231F20"/>
        </w:rPr>
        <w:t>Reference standard</w:t>
      </w:r>
    </w:p>
    <w:p w:rsidR="00966BA7" w:rsidRDefault="00966BA7">
      <w:pPr>
        <w:pStyle w:val="BodyText"/>
        <w:spacing w:before="2"/>
        <w:rPr>
          <w:i/>
          <w:sz w:val="23"/>
        </w:rPr>
      </w:pPr>
    </w:p>
    <w:p w:rsidR="00966BA7" w:rsidRDefault="00F255A2">
      <w:pPr>
        <w:pStyle w:val="BodyText"/>
        <w:spacing w:before="1"/>
        <w:ind w:left="170"/>
      </w:pPr>
      <w:r>
        <w:rPr>
          <w:color w:val="231F20"/>
        </w:rPr>
        <w:t>The reference standard for the ADNEX model</w:t>
      </w:r>
      <w:r>
        <w:rPr>
          <w:color w:val="231F20"/>
          <w:spacing w:val="42"/>
        </w:rPr>
        <w:t xml:space="preserve"> </w:t>
      </w:r>
      <w:r>
        <w:rPr>
          <w:color w:val="231F20"/>
        </w:rPr>
        <w:t>was</w:t>
      </w:r>
    </w:p>
    <w:p w:rsidR="00966BA7" w:rsidRDefault="00F255A2">
      <w:pPr>
        <w:pStyle w:val="BodyText"/>
        <w:spacing w:before="7"/>
        <w:ind w:left="170"/>
      </w:pPr>
      <w:proofErr w:type="gramStart"/>
      <w:r>
        <w:rPr>
          <w:color w:val="231F20"/>
        </w:rPr>
        <w:t>based</w:t>
      </w:r>
      <w:proofErr w:type="gramEnd"/>
      <w:r>
        <w:rPr>
          <w:color w:val="231F20"/>
        </w:rPr>
        <w:t xml:space="preserve"> on histopathological examination of </w:t>
      </w:r>
      <w:r>
        <w:rPr>
          <w:color w:val="231F20"/>
          <w:spacing w:val="15"/>
        </w:rPr>
        <w:t xml:space="preserve"> </w:t>
      </w:r>
      <w:r>
        <w:rPr>
          <w:color w:val="231F20"/>
        </w:rPr>
        <w:t>excised</w:t>
      </w:r>
    </w:p>
    <w:p w:rsidR="00966BA7" w:rsidRDefault="00966BA7">
      <w:pPr>
        <w:sectPr w:rsidR="00966BA7">
          <w:footerReference w:type="even" r:id="rId11"/>
          <w:footerReference w:type="default" r:id="rId12"/>
          <w:pgSz w:w="11910" w:h="16840"/>
          <w:pgMar w:top="900" w:right="1020" w:bottom="720" w:left="1020" w:header="0" w:footer="537" w:gutter="0"/>
          <w:pgNumType w:start="34"/>
          <w:cols w:num="2" w:space="720" w:equalWidth="0">
            <w:col w:w="4752" w:space="293"/>
            <w:col w:w="4825"/>
          </w:cols>
        </w:sectPr>
      </w:pPr>
    </w:p>
    <w:p w:rsidR="00966BA7" w:rsidRDefault="00966BA7">
      <w:pPr>
        <w:pStyle w:val="BodyText"/>
        <w:rPr>
          <w:sz w:val="20"/>
        </w:rPr>
      </w:pPr>
    </w:p>
    <w:p w:rsidR="00966BA7" w:rsidRDefault="00966BA7">
      <w:pPr>
        <w:pStyle w:val="BodyText"/>
        <w:rPr>
          <w:sz w:val="20"/>
        </w:rPr>
      </w:pPr>
    </w:p>
    <w:p w:rsidR="00966BA7" w:rsidRDefault="00966BA7">
      <w:pPr>
        <w:pStyle w:val="BodyText"/>
        <w:spacing w:before="7"/>
        <w:rPr>
          <w:sz w:val="16"/>
        </w:rPr>
      </w:pPr>
    </w:p>
    <w:tbl>
      <w:tblPr>
        <w:tblW w:w="0" w:type="auto"/>
        <w:tblInd w:w="114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2551"/>
        <w:gridCol w:w="1701"/>
        <w:gridCol w:w="1701"/>
        <w:gridCol w:w="1701"/>
      </w:tblGrid>
      <w:tr w:rsidR="00966BA7">
        <w:trPr>
          <w:trHeight w:val="671"/>
        </w:trPr>
        <w:tc>
          <w:tcPr>
            <w:tcW w:w="7654" w:type="dxa"/>
            <w:gridSpan w:val="4"/>
            <w:tcBorders>
              <w:top w:val="nil"/>
              <w:left w:val="nil"/>
              <w:right w:val="nil"/>
            </w:tcBorders>
            <w:shd w:val="clear" w:color="auto" w:fill="EBEBEC"/>
          </w:tcPr>
          <w:p w:rsidR="00966BA7" w:rsidRDefault="00966BA7">
            <w:pPr>
              <w:pStyle w:val="TableParagraph"/>
              <w:spacing w:before="10"/>
              <w:jc w:val="left"/>
              <w:rPr>
                <w:sz w:val="17"/>
              </w:rPr>
            </w:pPr>
          </w:p>
          <w:p w:rsidR="00966BA7" w:rsidRDefault="00F255A2">
            <w:pPr>
              <w:pStyle w:val="TableParagraph"/>
              <w:spacing w:before="0" w:line="254" w:lineRule="auto"/>
              <w:ind w:left="239" w:right="-9"/>
              <w:jc w:val="left"/>
              <w:rPr>
                <w:sz w:val="18"/>
              </w:rPr>
            </w:pPr>
            <w:r>
              <w:rPr>
                <w:b/>
                <w:color w:val="231F20"/>
                <w:sz w:val="18"/>
              </w:rPr>
              <w:t xml:space="preserve">Table I. </w:t>
            </w:r>
            <w:r>
              <w:rPr>
                <w:color w:val="231F20"/>
                <w:sz w:val="18"/>
              </w:rPr>
              <w:t>— Baseline risks for the different final diagnoses using the combined IOTA phase 1-3 dataset (n = 5909).</w:t>
            </w:r>
          </w:p>
        </w:tc>
      </w:tr>
      <w:tr w:rsidR="00966BA7">
        <w:trPr>
          <w:trHeight w:val="270"/>
        </w:trPr>
        <w:tc>
          <w:tcPr>
            <w:tcW w:w="2551" w:type="dxa"/>
            <w:tcBorders>
              <w:left w:val="nil"/>
              <w:bottom w:val="single" w:sz="4" w:space="0" w:color="231F20"/>
              <w:right w:val="single" w:sz="4" w:space="0" w:color="231F20"/>
            </w:tcBorders>
            <w:shd w:val="clear" w:color="auto" w:fill="EBEBEC"/>
          </w:tcPr>
          <w:p w:rsidR="00966BA7" w:rsidRDefault="00966BA7">
            <w:pPr>
              <w:pStyle w:val="TableParagraph"/>
              <w:spacing w:before="0"/>
              <w:jc w:val="left"/>
              <w:rPr>
                <w:sz w:val="20"/>
              </w:rPr>
            </w:pPr>
          </w:p>
        </w:tc>
        <w:tc>
          <w:tcPr>
            <w:tcW w:w="1701" w:type="dxa"/>
            <w:tcBorders>
              <w:left w:val="single" w:sz="4" w:space="0" w:color="231F20"/>
              <w:bottom w:val="single" w:sz="4" w:space="0" w:color="231F20"/>
              <w:right w:val="single" w:sz="4" w:space="0" w:color="231F20"/>
            </w:tcBorders>
            <w:shd w:val="clear" w:color="auto" w:fill="EBEBEC"/>
          </w:tcPr>
          <w:p w:rsidR="00966BA7" w:rsidRDefault="00F255A2">
            <w:pPr>
              <w:pStyle w:val="TableParagraph"/>
              <w:spacing w:before="35"/>
              <w:ind w:left="228" w:right="228"/>
              <w:rPr>
                <w:sz w:val="18"/>
              </w:rPr>
            </w:pPr>
            <w:r>
              <w:rPr>
                <w:color w:val="231F20"/>
                <w:sz w:val="18"/>
              </w:rPr>
              <w:t>Overall</w:t>
            </w:r>
          </w:p>
        </w:tc>
        <w:tc>
          <w:tcPr>
            <w:tcW w:w="1701" w:type="dxa"/>
            <w:tcBorders>
              <w:left w:val="single" w:sz="4" w:space="0" w:color="231F20"/>
              <w:bottom w:val="single" w:sz="4" w:space="0" w:color="231F20"/>
              <w:right w:val="single" w:sz="4" w:space="0" w:color="231F20"/>
            </w:tcBorders>
            <w:shd w:val="clear" w:color="auto" w:fill="EBEBEC"/>
          </w:tcPr>
          <w:p w:rsidR="00966BA7" w:rsidRDefault="00F255A2">
            <w:pPr>
              <w:pStyle w:val="TableParagraph"/>
              <w:spacing w:before="35"/>
              <w:ind w:left="228" w:right="228"/>
              <w:rPr>
                <w:sz w:val="18"/>
              </w:rPr>
            </w:pPr>
            <w:r>
              <w:rPr>
                <w:color w:val="231F20"/>
                <w:sz w:val="18"/>
              </w:rPr>
              <w:t>Oncology center</w:t>
            </w:r>
          </w:p>
        </w:tc>
        <w:tc>
          <w:tcPr>
            <w:tcW w:w="1701" w:type="dxa"/>
            <w:tcBorders>
              <w:left w:val="single" w:sz="4" w:space="0" w:color="231F20"/>
              <w:bottom w:val="single" w:sz="4" w:space="0" w:color="231F20"/>
              <w:right w:val="nil"/>
            </w:tcBorders>
            <w:shd w:val="clear" w:color="auto" w:fill="EBEBEC"/>
          </w:tcPr>
          <w:p w:rsidR="00966BA7" w:rsidRDefault="00F255A2">
            <w:pPr>
              <w:pStyle w:val="TableParagraph"/>
              <w:spacing w:before="35"/>
              <w:ind w:left="380" w:right="380"/>
              <w:rPr>
                <w:sz w:val="18"/>
              </w:rPr>
            </w:pPr>
            <w:r>
              <w:rPr>
                <w:color w:val="231F20"/>
                <w:sz w:val="18"/>
              </w:rPr>
              <w:t>Other center</w:t>
            </w:r>
          </w:p>
        </w:tc>
      </w:tr>
      <w:tr w:rsidR="00966BA7">
        <w:trPr>
          <w:trHeight w:val="273"/>
        </w:trPr>
        <w:tc>
          <w:tcPr>
            <w:tcW w:w="2551" w:type="dxa"/>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spacing w:before="36"/>
              <w:ind w:left="239"/>
              <w:jc w:val="left"/>
              <w:rPr>
                <w:sz w:val="18"/>
              </w:rPr>
            </w:pPr>
            <w:r>
              <w:rPr>
                <w:color w:val="231F20"/>
                <w:sz w:val="18"/>
              </w:rPr>
              <w:t>Benign</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68.2%</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48.8%</w:t>
            </w:r>
          </w:p>
        </w:tc>
        <w:tc>
          <w:tcPr>
            <w:tcW w:w="1701"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spacing w:before="36"/>
              <w:ind w:left="380" w:right="380"/>
              <w:rPr>
                <w:sz w:val="18"/>
              </w:rPr>
            </w:pPr>
            <w:r>
              <w:rPr>
                <w:color w:val="231F20"/>
                <w:sz w:val="18"/>
              </w:rPr>
              <w:t>83.7%</w:t>
            </w:r>
          </w:p>
        </w:tc>
      </w:tr>
      <w:tr w:rsidR="00966BA7">
        <w:trPr>
          <w:trHeight w:val="273"/>
        </w:trPr>
        <w:tc>
          <w:tcPr>
            <w:tcW w:w="2551" w:type="dxa"/>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spacing w:before="36"/>
              <w:ind w:left="239"/>
              <w:jc w:val="left"/>
              <w:rPr>
                <w:sz w:val="18"/>
              </w:rPr>
            </w:pPr>
            <w:r>
              <w:rPr>
                <w:color w:val="231F20"/>
                <w:sz w:val="18"/>
              </w:rPr>
              <w:t>Malignant</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31.8%</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51.2%</w:t>
            </w:r>
          </w:p>
        </w:tc>
        <w:tc>
          <w:tcPr>
            <w:tcW w:w="1701"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spacing w:before="36"/>
              <w:ind w:left="380" w:right="380"/>
              <w:rPr>
                <w:sz w:val="18"/>
              </w:rPr>
            </w:pPr>
            <w:r>
              <w:rPr>
                <w:color w:val="231F20"/>
                <w:sz w:val="18"/>
              </w:rPr>
              <w:t>16.3%</w:t>
            </w:r>
          </w:p>
        </w:tc>
      </w:tr>
      <w:tr w:rsidR="00966BA7">
        <w:trPr>
          <w:trHeight w:val="273"/>
        </w:trPr>
        <w:tc>
          <w:tcPr>
            <w:tcW w:w="2551" w:type="dxa"/>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spacing w:before="36"/>
              <w:ind w:left="239"/>
              <w:jc w:val="left"/>
              <w:rPr>
                <w:sz w:val="18"/>
              </w:rPr>
            </w:pPr>
            <w:r>
              <w:rPr>
                <w:color w:val="231F20"/>
                <w:sz w:val="18"/>
              </w:rPr>
              <w:t>Borderline</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6.3%</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9.3%</w:t>
            </w:r>
          </w:p>
        </w:tc>
        <w:tc>
          <w:tcPr>
            <w:tcW w:w="1701"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spacing w:before="36"/>
              <w:ind w:left="380" w:right="380"/>
              <w:rPr>
                <w:sz w:val="18"/>
              </w:rPr>
            </w:pPr>
            <w:r>
              <w:rPr>
                <w:color w:val="231F20"/>
                <w:sz w:val="18"/>
              </w:rPr>
              <w:t>3.8%</w:t>
            </w:r>
          </w:p>
        </w:tc>
      </w:tr>
      <w:tr w:rsidR="00966BA7">
        <w:trPr>
          <w:trHeight w:val="273"/>
        </w:trPr>
        <w:tc>
          <w:tcPr>
            <w:tcW w:w="2551" w:type="dxa"/>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spacing w:before="36"/>
              <w:ind w:left="239"/>
              <w:jc w:val="left"/>
              <w:rPr>
                <w:sz w:val="18"/>
              </w:rPr>
            </w:pPr>
            <w:r>
              <w:rPr>
                <w:color w:val="231F20"/>
                <w:sz w:val="18"/>
              </w:rPr>
              <w:t>Stage I invasive</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7.4%</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10.3%</w:t>
            </w:r>
          </w:p>
        </w:tc>
        <w:tc>
          <w:tcPr>
            <w:tcW w:w="1701"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spacing w:before="36"/>
              <w:ind w:left="380" w:right="380"/>
              <w:rPr>
                <w:sz w:val="18"/>
              </w:rPr>
            </w:pPr>
            <w:r>
              <w:rPr>
                <w:color w:val="231F20"/>
                <w:sz w:val="18"/>
              </w:rPr>
              <w:t>4.6%</w:t>
            </w:r>
          </w:p>
        </w:tc>
      </w:tr>
      <w:tr w:rsidR="00966BA7">
        <w:trPr>
          <w:trHeight w:val="273"/>
        </w:trPr>
        <w:tc>
          <w:tcPr>
            <w:tcW w:w="2551" w:type="dxa"/>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spacing w:before="36"/>
              <w:ind w:left="239"/>
              <w:jc w:val="left"/>
              <w:rPr>
                <w:sz w:val="18"/>
              </w:rPr>
            </w:pPr>
            <w:r>
              <w:rPr>
                <w:color w:val="231F20"/>
                <w:sz w:val="18"/>
              </w:rPr>
              <w:t>Stage II-IV invasive</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14.1%</w:t>
            </w:r>
          </w:p>
        </w:tc>
        <w:tc>
          <w:tcPr>
            <w:tcW w:w="170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36"/>
              <w:ind w:left="228" w:right="228"/>
              <w:rPr>
                <w:sz w:val="18"/>
              </w:rPr>
            </w:pPr>
            <w:r>
              <w:rPr>
                <w:color w:val="231F20"/>
                <w:sz w:val="18"/>
              </w:rPr>
              <w:t>24.3%</w:t>
            </w:r>
          </w:p>
        </w:tc>
        <w:tc>
          <w:tcPr>
            <w:tcW w:w="1701"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spacing w:before="36"/>
              <w:ind w:left="380" w:right="380"/>
              <w:rPr>
                <w:sz w:val="18"/>
              </w:rPr>
            </w:pPr>
            <w:r>
              <w:rPr>
                <w:color w:val="231F20"/>
                <w:sz w:val="18"/>
              </w:rPr>
              <w:t>6.4%</w:t>
            </w:r>
          </w:p>
        </w:tc>
      </w:tr>
      <w:tr w:rsidR="00966BA7">
        <w:trPr>
          <w:trHeight w:val="270"/>
        </w:trPr>
        <w:tc>
          <w:tcPr>
            <w:tcW w:w="2551" w:type="dxa"/>
            <w:tcBorders>
              <w:top w:val="single" w:sz="4" w:space="0" w:color="231F20"/>
              <w:left w:val="nil"/>
              <w:right w:val="single" w:sz="4" w:space="0" w:color="231F20"/>
            </w:tcBorders>
            <w:shd w:val="clear" w:color="auto" w:fill="EBEBEC"/>
          </w:tcPr>
          <w:p w:rsidR="00966BA7" w:rsidRDefault="00F255A2">
            <w:pPr>
              <w:pStyle w:val="TableParagraph"/>
              <w:spacing w:before="34"/>
              <w:ind w:left="239"/>
              <w:jc w:val="left"/>
              <w:rPr>
                <w:sz w:val="18"/>
              </w:rPr>
            </w:pPr>
            <w:r>
              <w:rPr>
                <w:color w:val="231F20"/>
                <w:sz w:val="18"/>
              </w:rPr>
              <w:t>Secondary metastatic</w:t>
            </w:r>
          </w:p>
        </w:tc>
        <w:tc>
          <w:tcPr>
            <w:tcW w:w="1701" w:type="dxa"/>
            <w:tcBorders>
              <w:top w:val="single" w:sz="4" w:space="0" w:color="231F20"/>
              <w:left w:val="single" w:sz="4" w:space="0" w:color="231F20"/>
              <w:right w:val="single" w:sz="4" w:space="0" w:color="231F20"/>
            </w:tcBorders>
            <w:shd w:val="clear" w:color="auto" w:fill="EBEBEC"/>
          </w:tcPr>
          <w:p w:rsidR="00966BA7" w:rsidRDefault="00F255A2">
            <w:pPr>
              <w:pStyle w:val="TableParagraph"/>
              <w:spacing w:before="34"/>
              <w:ind w:left="228" w:right="228"/>
              <w:rPr>
                <w:sz w:val="18"/>
              </w:rPr>
            </w:pPr>
            <w:r>
              <w:rPr>
                <w:color w:val="231F20"/>
                <w:sz w:val="18"/>
              </w:rPr>
              <w:t>4.0%</w:t>
            </w:r>
          </w:p>
        </w:tc>
        <w:tc>
          <w:tcPr>
            <w:tcW w:w="1701" w:type="dxa"/>
            <w:tcBorders>
              <w:top w:val="single" w:sz="4" w:space="0" w:color="231F20"/>
              <w:left w:val="single" w:sz="4" w:space="0" w:color="231F20"/>
              <w:right w:val="single" w:sz="4" w:space="0" w:color="231F20"/>
            </w:tcBorders>
            <w:shd w:val="clear" w:color="auto" w:fill="EBEBEC"/>
          </w:tcPr>
          <w:p w:rsidR="00966BA7" w:rsidRDefault="00F255A2">
            <w:pPr>
              <w:pStyle w:val="TableParagraph"/>
              <w:spacing w:before="34"/>
              <w:ind w:left="228" w:right="228"/>
              <w:rPr>
                <w:sz w:val="18"/>
              </w:rPr>
            </w:pPr>
            <w:r>
              <w:rPr>
                <w:color w:val="231F20"/>
                <w:sz w:val="18"/>
              </w:rPr>
              <w:t>7.3%</w:t>
            </w:r>
          </w:p>
        </w:tc>
        <w:tc>
          <w:tcPr>
            <w:tcW w:w="1701" w:type="dxa"/>
            <w:tcBorders>
              <w:top w:val="single" w:sz="4" w:space="0" w:color="231F20"/>
              <w:left w:val="single" w:sz="4" w:space="0" w:color="231F20"/>
              <w:right w:val="nil"/>
            </w:tcBorders>
            <w:shd w:val="clear" w:color="auto" w:fill="EBEBEC"/>
          </w:tcPr>
          <w:p w:rsidR="00966BA7" w:rsidRDefault="00F255A2">
            <w:pPr>
              <w:pStyle w:val="TableParagraph"/>
              <w:spacing w:before="34"/>
              <w:ind w:left="380" w:right="380"/>
              <w:rPr>
                <w:sz w:val="18"/>
              </w:rPr>
            </w:pPr>
            <w:r>
              <w:rPr>
                <w:color w:val="231F20"/>
                <w:sz w:val="18"/>
              </w:rPr>
              <w:t>1.6%</w:t>
            </w:r>
          </w:p>
        </w:tc>
      </w:tr>
    </w:tbl>
    <w:p w:rsidR="00966BA7" w:rsidRDefault="00966BA7">
      <w:pPr>
        <w:rPr>
          <w:sz w:val="18"/>
        </w:rPr>
        <w:sectPr w:rsidR="00966BA7">
          <w:type w:val="continuous"/>
          <w:pgSz w:w="11910" w:h="16840"/>
          <w:pgMar w:top="880" w:right="1020" w:bottom="720" w:left="1020" w:header="720" w:footer="720" w:gutter="0"/>
          <w:cols w:space="720"/>
        </w:sectPr>
      </w:pPr>
    </w:p>
    <w:p w:rsidR="00966BA7" w:rsidRDefault="00F255A2">
      <w:pPr>
        <w:pStyle w:val="BodyText"/>
        <w:ind w:left="694"/>
        <w:rPr>
          <w:sz w:val="20"/>
        </w:rPr>
      </w:pPr>
      <w:r>
        <w:rPr>
          <w:noProof/>
          <w:sz w:val="20"/>
        </w:rPr>
        <w:lastRenderedPageBreak/>
        <w:drawing>
          <wp:inline distT="0" distB="0" distL="0" distR="0">
            <wp:extent cx="5355335" cy="376427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355335" cy="3764279"/>
                    </a:xfrm>
                    <a:prstGeom prst="rect">
                      <a:avLst/>
                    </a:prstGeom>
                  </pic:spPr>
                </pic:pic>
              </a:graphicData>
            </a:graphic>
          </wp:inline>
        </w:drawing>
      </w:r>
    </w:p>
    <w:p w:rsidR="00966BA7" w:rsidRDefault="00966BA7">
      <w:pPr>
        <w:pStyle w:val="BodyText"/>
        <w:spacing w:before="9"/>
        <w:rPr>
          <w:sz w:val="14"/>
        </w:rPr>
      </w:pPr>
    </w:p>
    <w:p w:rsidR="00966BA7" w:rsidRDefault="00F255A2">
      <w:pPr>
        <w:spacing w:before="67"/>
        <w:ind w:left="1435" w:right="1489"/>
        <w:jc w:val="center"/>
        <w:rPr>
          <w:sz w:val="18"/>
        </w:rPr>
      </w:pPr>
      <w:proofErr w:type="gramStart"/>
      <w:r>
        <w:rPr>
          <w:b/>
          <w:i/>
          <w:color w:val="231F20"/>
          <w:sz w:val="18"/>
        </w:rPr>
        <w:t>Fig. 2.</w:t>
      </w:r>
      <w:proofErr w:type="gramEnd"/>
      <w:r>
        <w:rPr>
          <w:b/>
          <w:i/>
          <w:color w:val="231F20"/>
          <w:sz w:val="18"/>
        </w:rPr>
        <w:t xml:space="preserve"> </w:t>
      </w:r>
      <w:r>
        <w:rPr>
          <w:color w:val="231F20"/>
          <w:sz w:val="18"/>
        </w:rPr>
        <w:t>— Average predicted risks for different histologies</w:t>
      </w:r>
    </w:p>
    <w:p w:rsidR="00966BA7" w:rsidRDefault="00966BA7">
      <w:pPr>
        <w:pStyle w:val="BodyText"/>
        <w:rPr>
          <w:sz w:val="20"/>
        </w:rPr>
      </w:pPr>
    </w:p>
    <w:p w:rsidR="00966BA7" w:rsidRDefault="00966BA7">
      <w:pPr>
        <w:pStyle w:val="BodyText"/>
        <w:rPr>
          <w:sz w:val="27"/>
        </w:rPr>
      </w:pPr>
    </w:p>
    <w:p w:rsidR="00966BA7" w:rsidRDefault="00966BA7">
      <w:pPr>
        <w:rPr>
          <w:sz w:val="27"/>
        </w:rPr>
        <w:sectPr w:rsidR="00966BA7">
          <w:pgSz w:w="11910" w:h="16840"/>
          <w:pgMar w:top="1000" w:right="1020" w:bottom="720" w:left="1020" w:header="0" w:footer="537" w:gutter="0"/>
          <w:cols w:space="720"/>
        </w:sectPr>
      </w:pPr>
    </w:p>
    <w:p w:rsidR="00966BA7" w:rsidRDefault="00F255A2">
      <w:pPr>
        <w:pStyle w:val="BodyText"/>
        <w:spacing w:before="59" w:line="247" w:lineRule="auto"/>
        <w:ind w:left="113" w:right="43"/>
        <w:jc w:val="both"/>
      </w:pPr>
      <w:proofErr w:type="gramStart"/>
      <w:r>
        <w:rPr>
          <w:color w:val="231F20"/>
        </w:rPr>
        <w:lastRenderedPageBreak/>
        <w:t>tissue</w:t>
      </w:r>
      <w:proofErr w:type="gramEnd"/>
      <w:r>
        <w:rPr>
          <w:color w:val="231F20"/>
        </w:rPr>
        <w:t xml:space="preserve">, and for malignant tumors also on surgical staging using the classification of the International Federation of Gynecology and Obstetrics (FIGO) (Prat, 2014). In the IOTA database, 21 </w:t>
      </w:r>
      <w:r>
        <w:rPr>
          <w:color w:val="231F20"/>
          <w:spacing w:val="-2"/>
        </w:rPr>
        <w:t xml:space="preserve">histological </w:t>
      </w:r>
      <w:r>
        <w:rPr>
          <w:color w:val="231F20"/>
          <w:spacing w:val="2"/>
        </w:rPr>
        <w:t xml:space="preserve">groups were used </w:t>
      </w:r>
      <w:r>
        <w:rPr>
          <w:color w:val="231F20"/>
        </w:rPr>
        <w:t xml:space="preserve">(11 </w:t>
      </w:r>
      <w:r>
        <w:rPr>
          <w:color w:val="231F20"/>
          <w:spacing w:val="2"/>
        </w:rPr>
        <w:t xml:space="preserve">benign </w:t>
      </w:r>
      <w:r>
        <w:rPr>
          <w:color w:val="231F20"/>
        </w:rPr>
        <w:t xml:space="preserve">and 10 </w:t>
      </w:r>
      <w:r>
        <w:rPr>
          <w:color w:val="231F20"/>
          <w:spacing w:val="3"/>
        </w:rPr>
        <w:t xml:space="preserve">malignant </w:t>
      </w:r>
      <w:r>
        <w:rPr>
          <w:color w:val="231F20"/>
        </w:rPr>
        <w:t>groups)</w:t>
      </w:r>
      <w:r>
        <w:rPr>
          <w:color w:val="231F20"/>
          <w:spacing w:val="-9"/>
        </w:rPr>
        <w:t xml:space="preserve"> </w:t>
      </w:r>
      <w:r>
        <w:rPr>
          <w:color w:val="231F20"/>
        </w:rPr>
        <w:t>which</w:t>
      </w:r>
      <w:r>
        <w:rPr>
          <w:color w:val="231F20"/>
          <w:spacing w:val="-8"/>
        </w:rPr>
        <w:t xml:space="preserve"> </w:t>
      </w:r>
      <w:r>
        <w:rPr>
          <w:color w:val="231F20"/>
        </w:rPr>
        <w:t>were</w:t>
      </w:r>
      <w:r>
        <w:rPr>
          <w:color w:val="231F20"/>
          <w:spacing w:val="-8"/>
        </w:rPr>
        <w:t xml:space="preserve"> </w:t>
      </w:r>
      <w:r>
        <w:rPr>
          <w:color w:val="231F20"/>
        </w:rPr>
        <w:t>reduced</w:t>
      </w:r>
      <w:r>
        <w:rPr>
          <w:color w:val="231F20"/>
          <w:spacing w:val="-8"/>
        </w:rPr>
        <w:t xml:space="preserve"> </w:t>
      </w:r>
      <w:r>
        <w:rPr>
          <w:color w:val="231F20"/>
        </w:rPr>
        <w:t>to</w:t>
      </w:r>
      <w:r>
        <w:rPr>
          <w:color w:val="231F20"/>
          <w:spacing w:val="-8"/>
        </w:rPr>
        <w:t xml:space="preserve"> </w:t>
      </w:r>
      <w:r>
        <w:rPr>
          <w:color w:val="231F20"/>
        </w:rPr>
        <w:t>five</w:t>
      </w:r>
      <w:r>
        <w:rPr>
          <w:color w:val="231F20"/>
          <w:spacing w:val="-9"/>
        </w:rPr>
        <w:t xml:space="preserve"> </w:t>
      </w:r>
      <w:r>
        <w:rPr>
          <w:color w:val="231F20"/>
        </w:rPr>
        <w:t>for</w:t>
      </w:r>
      <w:r>
        <w:rPr>
          <w:color w:val="231F20"/>
          <w:spacing w:val="-8"/>
        </w:rPr>
        <w:t xml:space="preserve"> </w:t>
      </w:r>
      <w:r>
        <w:rPr>
          <w:color w:val="231F20"/>
        </w:rPr>
        <w:t>the</w:t>
      </w:r>
      <w:r>
        <w:rPr>
          <w:color w:val="231F20"/>
          <w:spacing w:val="-8"/>
        </w:rPr>
        <w:t xml:space="preserve"> </w:t>
      </w:r>
      <w:r>
        <w:rPr>
          <w:color w:val="231F20"/>
        </w:rPr>
        <w:t>ADNEX model: benign, borderline tumors, stage I invasive, stage II-IV invasive ovarian cancer and secondary metastatic cancer.</w:t>
      </w:r>
    </w:p>
    <w:p w:rsidR="00966BA7" w:rsidRDefault="00966BA7">
      <w:pPr>
        <w:pStyle w:val="BodyText"/>
        <w:spacing w:before="2"/>
      </w:pPr>
    </w:p>
    <w:p w:rsidR="00966BA7" w:rsidRDefault="00F255A2">
      <w:pPr>
        <w:spacing w:before="1"/>
        <w:ind w:left="113"/>
        <w:jc w:val="both"/>
        <w:rPr>
          <w:i/>
        </w:rPr>
      </w:pPr>
      <w:r>
        <w:rPr>
          <w:i/>
          <w:color w:val="231F20"/>
        </w:rPr>
        <w:t>Risk prediction</w:t>
      </w:r>
    </w:p>
    <w:p w:rsidR="00966BA7" w:rsidRDefault="00966BA7">
      <w:pPr>
        <w:pStyle w:val="BodyText"/>
        <w:spacing w:before="2"/>
        <w:rPr>
          <w:i/>
          <w:sz w:val="23"/>
        </w:rPr>
      </w:pPr>
    </w:p>
    <w:p w:rsidR="00966BA7" w:rsidRDefault="00F255A2">
      <w:pPr>
        <w:pStyle w:val="BodyText"/>
        <w:spacing w:line="247" w:lineRule="auto"/>
        <w:ind w:left="113" w:right="39"/>
        <w:jc w:val="both"/>
      </w:pPr>
      <w:r>
        <w:rPr>
          <w:color w:val="231F20"/>
          <w:spacing w:val="3"/>
        </w:rPr>
        <w:t xml:space="preserve">When </w:t>
      </w:r>
      <w:r>
        <w:rPr>
          <w:color w:val="231F20"/>
        </w:rPr>
        <w:t xml:space="preserve">we </w:t>
      </w:r>
      <w:r>
        <w:rPr>
          <w:color w:val="231F20"/>
          <w:spacing w:val="3"/>
        </w:rPr>
        <w:t xml:space="preserve">consider </w:t>
      </w:r>
      <w:r>
        <w:rPr>
          <w:color w:val="231F20"/>
          <w:spacing w:val="2"/>
        </w:rPr>
        <w:t xml:space="preserve">the </w:t>
      </w:r>
      <w:r>
        <w:rPr>
          <w:color w:val="231F20"/>
          <w:spacing w:val="3"/>
        </w:rPr>
        <w:t xml:space="preserve">discrimination </w:t>
      </w:r>
      <w:r>
        <w:rPr>
          <w:color w:val="231F20"/>
          <w:spacing w:val="4"/>
        </w:rPr>
        <w:t xml:space="preserve">between </w:t>
      </w:r>
      <w:r>
        <w:rPr>
          <w:color w:val="231F20"/>
          <w:spacing w:val="2"/>
        </w:rPr>
        <w:t xml:space="preserve">benign </w:t>
      </w:r>
      <w:r>
        <w:rPr>
          <w:color w:val="231F20"/>
        </w:rPr>
        <w:t xml:space="preserve">and </w:t>
      </w:r>
      <w:r>
        <w:rPr>
          <w:color w:val="231F20"/>
          <w:spacing w:val="2"/>
        </w:rPr>
        <w:t xml:space="preserve">malignant adnexal masses, </w:t>
      </w:r>
      <w:r>
        <w:rPr>
          <w:color w:val="231F20"/>
        </w:rPr>
        <w:t xml:space="preserve">the </w:t>
      </w:r>
      <w:r>
        <w:rPr>
          <w:color w:val="231F20"/>
          <w:spacing w:val="3"/>
        </w:rPr>
        <w:t xml:space="preserve">area </w:t>
      </w:r>
      <w:r>
        <w:rPr>
          <w:color w:val="231F20"/>
          <w:spacing w:val="2"/>
        </w:rPr>
        <w:t xml:space="preserve">under </w:t>
      </w:r>
      <w:r>
        <w:rPr>
          <w:color w:val="231F20"/>
        </w:rPr>
        <w:t xml:space="preserve">the </w:t>
      </w:r>
      <w:r>
        <w:rPr>
          <w:color w:val="231F20"/>
          <w:spacing w:val="2"/>
        </w:rPr>
        <w:t xml:space="preserve">receiver operating characteristic cur- </w:t>
      </w:r>
      <w:r>
        <w:rPr>
          <w:color w:val="231F20"/>
        </w:rPr>
        <w:t>ves (AUC) of the ADNEX model was 0.954 (95% confidence interval 0.947 to 0.961) on the develop- ment data and 0.943 (0.934 to 0.952) on the valida- tion data (Van Calster e</w:t>
      </w:r>
      <w:r>
        <w:rPr>
          <w:color w:val="231F20"/>
        </w:rPr>
        <w:t>t al., 2014). Using a pre- viously</w:t>
      </w:r>
      <w:r>
        <w:rPr>
          <w:color w:val="231F20"/>
          <w:spacing w:val="-15"/>
        </w:rPr>
        <w:t xml:space="preserve"> </w:t>
      </w:r>
      <w:r>
        <w:rPr>
          <w:color w:val="231F20"/>
        </w:rPr>
        <w:t>proposed</w:t>
      </w:r>
      <w:r>
        <w:rPr>
          <w:color w:val="231F20"/>
          <w:spacing w:val="-15"/>
        </w:rPr>
        <w:t xml:space="preserve"> </w:t>
      </w:r>
      <w:r>
        <w:rPr>
          <w:color w:val="231F20"/>
        </w:rPr>
        <w:t>cut-off</w:t>
      </w:r>
      <w:r>
        <w:rPr>
          <w:color w:val="231F20"/>
          <w:spacing w:val="-14"/>
        </w:rPr>
        <w:t xml:space="preserve"> </w:t>
      </w:r>
      <w:r>
        <w:rPr>
          <w:color w:val="231F20"/>
        </w:rPr>
        <w:t>of</w:t>
      </w:r>
      <w:r>
        <w:rPr>
          <w:color w:val="231F20"/>
          <w:spacing w:val="-15"/>
        </w:rPr>
        <w:t xml:space="preserve"> </w:t>
      </w:r>
      <w:r>
        <w:rPr>
          <w:color w:val="231F20"/>
        </w:rPr>
        <w:t>10%</w:t>
      </w:r>
      <w:r>
        <w:rPr>
          <w:color w:val="231F20"/>
          <w:spacing w:val="-14"/>
        </w:rPr>
        <w:t xml:space="preserve"> </w:t>
      </w:r>
      <w:r>
        <w:rPr>
          <w:color w:val="231F20"/>
        </w:rPr>
        <w:t>(Timmerman</w:t>
      </w:r>
      <w:r>
        <w:rPr>
          <w:color w:val="231F20"/>
          <w:spacing w:val="-15"/>
        </w:rPr>
        <w:t xml:space="preserve"> </w:t>
      </w:r>
      <w:r>
        <w:rPr>
          <w:color w:val="231F20"/>
        </w:rPr>
        <w:t>et</w:t>
      </w:r>
      <w:r>
        <w:rPr>
          <w:color w:val="231F20"/>
          <w:spacing w:val="-15"/>
        </w:rPr>
        <w:t xml:space="preserve"> </w:t>
      </w:r>
      <w:r>
        <w:rPr>
          <w:color w:val="231F20"/>
        </w:rPr>
        <w:t>al., 2005)</w:t>
      </w:r>
      <w:proofErr w:type="gramStart"/>
      <w:r>
        <w:rPr>
          <w:color w:val="231F20"/>
        </w:rPr>
        <w:t>,</w:t>
      </w:r>
      <w:proofErr w:type="gramEnd"/>
      <w:r>
        <w:rPr>
          <w:color w:val="231F20"/>
        </w:rPr>
        <w:t xml:space="preserve"> the sensitivity for malignancy was 96.5% and specificity 71.3% on the validation data. The model discriminated well between benign tumors and each of four types of maligna</w:t>
      </w:r>
      <w:r>
        <w:rPr>
          <w:color w:val="231F20"/>
        </w:rPr>
        <w:t>ncy, with AUCs between 0.85 (benign versus borderline) and 0.99 (benign versus stage II-IV cancer) (Van Calster et al., 2014).</w:t>
      </w:r>
    </w:p>
    <w:p w:rsidR="00966BA7" w:rsidRDefault="00F255A2">
      <w:pPr>
        <w:pStyle w:val="BodyText"/>
        <w:spacing w:line="245" w:lineRule="exact"/>
        <w:ind w:left="61" w:right="43"/>
        <w:jc w:val="right"/>
      </w:pPr>
      <w:r>
        <w:rPr>
          <w:color w:val="231F20"/>
        </w:rPr>
        <w:t>In</w:t>
      </w:r>
      <w:r>
        <w:rPr>
          <w:color w:val="231F20"/>
          <w:spacing w:val="24"/>
        </w:rPr>
        <w:t xml:space="preserve"> </w:t>
      </w:r>
      <w:r>
        <w:rPr>
          <w:color w:val="231F20"/>
        </w:rPr>
        <w:t>the</w:t>
      </w:r>
      <w:r>
        <w:rPr>
          <w:color w:val="231F20"/>
          <w:spacing w:val="26"/>
        </w:rPr>
        <w:t xml:space="preserve"> </w:t>
      </w:r>
      <w:r>
        <w:rPr>
          <w:color w:val="231F20"/>
        </w:rPr>
        <w:t>most</w:t>
      </w:r>
      <w:r>
        <w:rPr>
          <w:color w:val="231F20"/>
          <w:spacing w:val="26"/>
        </w:rPr>
        <w:t xml:space="preserve"> </w:t>
      </w:r>
      <w:r>
        <w:rPr>
          <w:color w:val="231F20"/>
        </w:rPr>
        <w:t>recent</w:t>
      </w:r>
      <w:r>
        <w:rPr>
          <w:color w:val="231F20"/>
          <w:spacing w:val="25"/>
        </w:rPr>
        <w:t xml:space="preserve"> </w:t>
      </w:r>
      <w:r>
        <w:rPr>
          <w:color w:val="231F20"/>
        </w:rPr>
        <w:t>meta-analysis</w:t>
      </w:r>
      <w:r>
        <w:rPr>
          <w:color w:val="231F20"/>
          <w:spacing w:val="26"/>
        </w:rPr>
        <w:t xml:space="preserve"> </w:t>
      </w:r>
      <w:r>
        <w:rPr>
          <w:color w:val="231F20"/>
        </w:rPr>
        <w:t>evaluating</w:t>
      </w:r>
      <w:r>
        <w:rPr>
          <w:color w:val="231F20"/>
          <w:spacing w:val="26"/>
        </w:rPr>
        <w:t xml:space="preserve"> </w:t>
      </w:r>
      <w:r>
        <w:rPr>
          <w:color w:val="231F20"/>
        </w:rPr>
        <w:t>the</w:t>
      </w:r>
    </w:p>
    <w:p w:rsidR="00966BA7" w:rsidRDefault="00F255A2">
      <w:pPr>
        <w:pStyle w:val="BodyText"/>
        <w:spacing w:before="7"/>
        <w:ind w:left="61" w:right="38"/>
        <w:jc w:val="right"/>
      </w:pPr>
      <w:proofErr w:type="gramStart"/>
      <w:r>
        <w:rPr>
          <w:color w:val="231F20"/>
          <w:spacing w:val="2"/>
        </w:rPr>
        <w:t xml:space="preserve">performance  </w:t>
      </w:r>
      <w:r>
        <w:rPr>
          <w:color w:val="231F20"/>
        </w:rPr>
        <w:t>of</w:t>
      </w:r>
      <w:proofErr w:type="gramEnd"/>
      <w:r>
        <w:rPr>
          <w:color w:val="231F20"/>
        </w:rPr>
        <w:t xml:space="preserve">  </w:t>
      </w:r>
      <w:r>
        <w:rPr>
          <w:color w:val="231F20"/>
          <w:spacing w:val="2"/>
        </w:rPr>
        <w:t xml:space="preserve">prediction  </w:t>
      </w:r>
      <w:r>
        <w:rPr>
          <w:color w:val="231F20"/>
          <w:spacing w:val="3"/>
        </w:rPr>
        <w:t xml:space="preserve">models  </w:t>
      </w:r>
      <w:r>
        <w:rPr>
          <w:color w:val="231F20"/>
          <w:spacing w:val="2"/>
        </w:rPr>
        <w:t xml:space="preserve">and  rules </w:t>
      </w:r>
      <w:r>
        <w:rPr>
          <w:color w:val="231F20"/>
          <w:spacing w:val="12"/>
        </w:rPr>
        <w:t xml:space="preserve"> </w:t>
      </w:r>
      <w:r>
        <w:rPr>
          <w:color w:val="231F20"/>
          <w:spacing w:val="4"/>
        </w:rPr>
        <w:t>to</w:t>
      </w:r>
    </w:p>
    <w:p w:rsidR="00966BA7" w:rsidRDefault="00F255A2">
      <w:pPr>
        <w:pStyle w:val="BodyText"/>
        <w:spacing w:before="59" w:line="247" w:lineRule="auto"/>
        <w:ind w:left="113" w:right="163"/>
        <w:jc w:val="both"/>
      </w:pPr>
      <w:r>
        <w:br w:type="column"/>
      </w:r>
      <w:r>
        <w:rPr>
          <w:color w:val="231F20"/>
        </w:rPr>
        <w:lastRenderedPageBreak/>
        <w:t>characterize adnexal patholo</w:t>
      </w:r>
      <w:r>
        <w:rPr>
          <w:color w:val="231F20"/>
        </w:rPr>
        <w:t xml:space="preserve">gy, the IOTA logistic regression model LR2 (Timmerman et al., 2005; Van Holsbeke, 2012; Van Calster et al., 2012) and the IOTA ‘simple rules’(Timmerman et al., 2008; Timmerman et al., 2010) performed best for </w:t>
      </w:r>
      <w:r>
        <w:rPr>
          <w:color w:val="231F20"/>
          <w:spacing w:val="2"/>
        </w:rPr>
        <w:t xml:space="preserve">the </w:t>
      </w:r>
      <w:r>
        <w:rPr>
          <w:color w:val="231F20"/>
          <w:spacing w:val="3"/>
        </w:rPr>
        <w:t xml:space="preserve">overall discrimination between benign </w:t>
      </w:r>
      <w:r>
        <w:rPr>
          <w:color w:val="231F20"/>
          <w:spacing w:val="2"/>
        </w:rPr>
        <w:t>and a</w:t>
      </w:r>
      <w:r>
        <w:rPr>
          <w:color w:val="231F20"/>
          <w:spacing w:val="2"/>
        </w:rPr>
        <w:t xml:space="preserve">ll </w:t>
      </w:r>
      <w:r>
        <w:rPr>
          <w:color w:val="231F20"/>
          <w:spacing w:val="5"/>
        </w:rPr>
        <w:t xml:space="preserve">malignant masses (Kaijser </w:t>
      </w:r>
      <w:r>
        <w:rPr>
          <w:color w:val="231F20"/>
          <w:spacing w:val="3"/>
        </w:rPr>
        <w:t xml:space="preserve">et </w:t>
      </w:r>
      <w:r>
        <w:rPr>
          <w:color w:val="231F20"/>
          <w:spacing w:val="4"/>
        </w:rPr>
        <w:t xml:space="preserve">al., </w:t>
      </w:r>
      <w:r>
        <w:rPr>
          <w:color w:val="231F20"/>
          <w:spacing w:val="5"/>
        </w:rPr>
        <w:t xml:space="preserve">2014). </w:t>
      </w:r>
      <w:r>
        <w:rPr>
          <w:color w:val="231F20"/>
          <w:spacing w:val="6"/>
        </w:rPr>
        <w:t xml:space="preserve">The </w:t>
      </w:r>
      <w:r>
        <w:rPr>
          <w:color w:val="231F20"/>
        </w:rPr>
        <w:t>ADNEX</w:t>
      </w:r>
      <w:r>
        <w:rPr>
          <w:color w:val="231F20"/>
          <w:spacing w:val="-13"/>
        </w:rPr>
        <w:t xml:space="preserve"> </w:t>
      </w:r>
      <w:r>
        <w:rPr>
          <w:color w:val="231F20"/>
        </w:rPr>
        <w:t>model</w:t>
      </w:r>
      <w:r>
        <w:rPr>
          <w:color w:val="231F20"/>
          <w:spacing w:val="-13"/>
        </w:rPr>
        <w:t xml:space="preserve"> </w:t>
      </w:r>
      <w:r>
        <w:rPr>
          <w:color w:val="231F20"/>
        </w:rPr>
        <w:t>seems</w:t>
      </w:r>
      <w:r>
        <w:rPr>
          <w:color w:val="231F20"/>
          <w:spacing w:val="-12"/>
        </w:rPr>
        <w:t xml:space="preserve"> </w:t>
      </w:r>
      <w:r>
        <w:rPr>
          <w:color w:val="231F20"/>
        </w:rPr>
        <w:t>to</w:t>
      </w:r>
      <w:r>
        <w:rPr>
          <w:color w:val="231F20"/>
          <w:spacing w:val="-13"/>
        </w:rPr>
        <w:t xml:space="preserve"> </w:t>
      </w:r>
      <w:r>
        <w:rPr>
          <w:color w:val="231F20"/>
        </w:rPr>
        <w:t>perform</w:t>
      </w:r>
      <w:r>
        <w:rPr>
          <w:color w:val="231F20"/>
          <w:spacing w:val="-13"/>
        </w:rPr>
        <w:t xml:space="preserve"> </w:t>
      </w:r>
      <w:r>
        <w:rPr>
          <w:color w:val="231F20"/>
        </w:rPr>
        <w:t>similar</w:t>
      </w:r>
      <w:r>
        <w:rPr>
          <w:color w:val="231F20"/>
          <w:spacing w:val="-12"/>
        </w:rPr>
        <w:t xml:space="preserve"> </w:t>
      </w:r>
      <w:r>
        <w:rPr>
          <w:color w:val="231F20"/>
        </w:rPr>
        <w:t>to,</w:t>
      </w:r>
      <w:r>
        <w:rPr>
          <w:color w:val="231F20"/>
          <w:spacing w:val="-13"/>
        </w:rPr>
        <w:t xml:space="preserve"> </w:t>
      </w:r>
      <w:r>
        <w:rPr>
          <w:color w:val="231F20"/>
        </w:rPr>
        <w:t>or</w:t>
      </w:r>
      <w:r>
        <w:rPr>
          <w:color w:val="231F20"/>
          <w:spacing w:val="-12"/>
        </w:rPr>
        <w:t xml:space="preserve"> </w:t>
      </w:r>
      <w:r>
        <w:rPr>
          <w:color w:val="231F20"/>
        </w:rPr>
        <w:t xml:space="preserve">even </w:t>
      </w:r>
      <w:r>
        <w:rPr>
          <w:color w:val="231F20"/>
          <w:spacing w:val="2"/>
        </w:rPr>
        <w:t xml:space="preserve">slightly better than, both </w:t>
      </w:r>
      <w:r>
        <w:rPr>
          <w:color w:val="231F20"/>
        </w:rPr>
        <w:t xml:space="preserve">LR2 </w:t>
      </w:r>
      <w:r>
        <w:rPr>
          <w:color w:val="231F20"/>
          <w:spacing w:val="2"/>
        </w:rPr>
        <w:t xml:space="preserve">(AUC 0.92) </w:t>
      </w:r>
      <w:r>
        <w:rPr>
          <w:color w:val="231F20"/>
          <w:spacing w:val="3"/>
        </w:rPr>
        <w:t xml:space="preserve">and </w:t>
      </w:r>
      <w:r>
        <w:rPr>
          <w:color w:val="231F20"/>
        </w:rPr>
        <w:t>simple rules (Testa et al.,</w:t>
      </w:r>
      <w:r>
        <w:rPr>
          <w:color w:val="231F20"/>
          <w:spacing w:val="-2"/>
        </w:rPr>
        <w:t xml:space="preserve"> </w:t>
      </w:r>
      <w:r>
        <w:rPr>
          <w:color w:val="231F20"/>
        </w:rPr>
        <w:t>2014).</w:t>
      </w:r>
    </w:p>
    <w:p w:rsidR="00966BA7" w:rsidRDefault="00F255A2">
      <w:pPr>
        <w:pStyle w:val="BodyText"/>
        <w:spacing w:line="247" w:lineRule="auto"/>
        <w:ind w:left="113" w:right="165" w:firstLine="226"/>
        <w:jc w:val="both"/>
      </w:pPr>
      <w:r>
        <w:rPr>
          <w:color w:val="231F20"/>
          <w:spacing w:val="2"/>
        </w:rPr>
        <w:t xml:space="preserve">Validation AUCs </w:t>
      </w:r>
      <w:r>
        <w:rPr>
          <w:color w:val="231F20"/>
        </w:rPr>
        <w:t xml:space="preserve">for </w:t>
      </w:r>
      <w:r>
        <w:rPr>
          <w:color w:val="231F20"/>
          <w:spacing w:val="2"/>
        </w:rPr>
        <w:t xml:space="preserve">discrimination between </w:t>
      </w:r>
      <w:r>
        <w:rPr>
          <w:color w:val="231F20"/>
        </w:rPr>
        <w:t xml:space="preserve">malignant subtypes varied between 0.71 and 0.95. </w:t>
      </w:r>
      <w:r>
        <w:rPr>
          <w:color w:val="231F20"/>
          <w:spacing w:val="2"/>
        </w:rPr>
        <w:t xml:space="preserve">The </w:t>
      </w:r>
      <w:r>
        <w:rPr>
          <w:color w:val="231F20"/>
          <w:spacing w:val="3"/>
        </w:rPr>
        <w:t xml:space="preserve">model discriminated </w:t>
      </w:r>
      <w:r>
        <w:rPr>
          <w:color w:val="231F20"/>
          <w:spacing w:val="2"/>
        </w:rPr>
        <w:t xml:space="preserve">well </w:t>
      </w:r>
      <w:r>
        <w:rPr>
          <w:color w:val="231F20"/>
          <w:spacing w:val="3"/>
        </w:rPr>
        <w:t xml:space="preserve">between stage </w:t>
      </w:r>
      <w:r>
        <w:rPr>
          <w:color w:val="231F20"/>
        </w:rPr>
        <w:t>I cancer</w:t>
      </w:r>
      <w:r>
        <w:rPr>
          <w:color w:val="231F20"/>
          <w:spacing w:val="-16"/>
        </w:rPr>
        <w:t xml:space="preserve"> </w:t>
      </w:r>
      <w:r>
        <w:rPr>
          <w:color w:val="231F20"/>
        </w:rPr>
        <w:t>and</w:t>
      </w:r>
      <w:r>
        <w:rPr>
          <w:color w:val="231F20"/>
          <w:spacing w:val="-16"/>
        </w:rPr>
        <w:t xml:space="preserve"> </w:t>
      </w:r>
      <w:r>
        <w:rPr>
          <w:color w:val="231F20"/>
        </w:rPr>
        <w:t>borderline</w:t>
      </w:r>
      <w:r>
        <w:rPr>
          <w:color w:val="231F20"/>
          <w:spacing w:val="-15"/>
        </w:rPr>
        <w:t xml:space="preserve"> </w:t>
      </w:r>
      <w:r>
        <w:rPr>
          <w:color w:val="231F20"/>
        </w:rPr>
        <w:t>tumors</w:t>
      </w:r>
      <w:r>
        <w:rPr>
          <w:color w:val="231F20"/>
          <w:spacing w:val="-16"/>
        </w:rPr>
        <w:t xml:space="preserve"> </w:t>
      </w:r>
      <w:r>
        <w:rPr>
          <w:color w:val="231F20"/>
        </w:rPr>
        <w:t>(validation</w:t>
      </w:r>
      <w:r>
        <w:rPr>
          <w:color w:val="231F20"/>
          <w:spacing w:val="-16"/>
        </w:rPr>
        <w:t xml:space="preserve"> </w:t>
      </w:r>
      <w:r>
        <w:rPr>
          <w:color w:val="231F20"/>
        </w:rPr>
        <w:t>AUC</w:t>
      </w:r>
      <w:r>
        <w:rPr>
          <w:color w:val="231F20"/>
          <w:spacing w:val="-15"/>
        </w:rPr>
        <w:t xml:space="preserve"> </w:t>
      </w:r>
      <w:r>
        <w:rPr>
          <w:color w:val="231F20"/>
        </w:rPr>
        <w:t>0.75) and</w:t>
      </w:r>
      <w:r>
        <w:rPr>
          <w:color w:val="231F20"/>
          <w:spacing w:val="-15"/>
        </w:rPr>
        <w:t xml:space="preserve"> </w:t>
      </w:r>
      <w:r>
        <w:rPr>
          <w:color w:val="231F20"/>
        </w:rPr>
        <w:t>between</w:t>
      </w:r>
      <w:r>
        <w:rPr>
          <w:color w:val="231F20"/>
          <w:spacing w:val="-15"/>
        </w:rPr>
        <w:t xml:space="preserve"> </w:t>
      </w:r>
      <w:r>
        <w:rPr>
          <w:color w:val="231F20"/>
        </w:rPr>
        <w:t>stage</w:t>
      </w:r>
      <w:r>
        <w:rPr>
          <w:color w:val="231F20"/>
          <w:spacing w:val="-16"/>
        </w:rPr>
        <w:t xml:space="preserve"> </w:t>
      </w:r>
      <w:r>
        <w:rPr>
          <w:color w:val="231F20"/>
        </w:rPr>
        <w:t>I</w:t>
      </w:r>
      <w:r>
        <w:rPr>
          <w:color w:val="231F20"/>
          <w:spacing w:val="-15"/>
        </w:rPr>
        <w:t xml:space="preserve"> </w:t>
      </w:r>
      <w:r>
        <w:rPr>
          <w:color w:val="231F20"/>
        </w:rPr>
        <w:t>cancer</w:t>
      </w:r>
      <w:r>
        <w:rPr>
          <w:color w:val="231F20"/>
          <w:spacing w:val="-15"/>
        </w:rPr>
        <w:t xml:space="preserve"> </w:t>
      </w:r>
      <w:r>
        <w:rPr>
          <w:color w:val="231F20"/>
        </w:rPr>
        <w:t>and</w:t>
      </w:r>
      <w:r>
        <w:rPr>
          <w:color w:val="231F20"/>
          <w:spacing w:val="-15"/>
        </w:rPr>
        <w:t xml:space="preserve"> </w:t>
      </w:r>
      <w:r>
        <w:rPr>
          <w:color w:val="231F20"/>
        </w:rPr>
        <w:t>secondary</w:t>
      </w:r>
      <w:r>
        <w:rPr>
          <w:color w:val="231F20"/>
          <w:spacing w:val="-16"/>
        </w:rPr>
        <w:t xml:space="preserve"> </w:t>
      </w:r>
      <w:r>
        <w:rPr>
          <w:color w:val="231F20"/>
        </w:rPr>
        <w:t>metastatic cancer (validation AUC 0.71) (Van Calster et al., 2014).</w:t>
      </w:r>
      <w:r>
        <w:rPr>
          <w:color w:val="231F20"/>
          <w:spacing w:val="-17"/>
        </w:rPr>
        <w:t xml:space="preserve"> </w:t>
      </w:r>
      <w:r>
        <w:rPr>
          <w:color w:val="231F20"/>
        </w:rPr>
        <w:t>It</w:t>
      </w:r>
      <w:r>
        <w:rPr>
          <w:color w:val="231F20"/>
          <w:spacing w:val="-17"/>
        </w:rPr>
        <w:t xml:space="preserve"> </w:t>
      </w:r>
      <w:r>
        <w:rPr>
          <w:color w:val="231F20"/>
        </w:rPr>
        <w:t>performed</w:t>
      </w:r>
      <w:r>
        <w:rPr>
          <w:color w:val="231F20"/>
          <w:spacing w:val="-17"/>
        </w:rPr>
        <w:t xml:space="preserve"> </w:t>
      </w:r>
      <w:r>
        <w:rPr>
          <w:color w:val="231F20"/>
        </w:rPr>
        <w:t>very</w:t>
      </w:r>
      <w:r>
        <w:rPr>
          <w:color w:val="231F20"/>
          <w:spacing w:val="-17"/>
        </w:rPr>
        <w:t xml:space="preserve"> </w:t>
      </w:r>
      <w:r>
        <w:rPr>
          <w:color w:val="231F20"/>
        </w:rPr>
        <w:t>well</w:t>
      </w:r>
      <w:r>
        <w:rPr>
          <w:color w:val="231F20"/>
          <w:spacing w:val="-17"/>
        </w:rPr>
        <w:t xml:space="preserve"> </w:t>
      </w:r>
      <w:r>
        <w:rPr>
          <w:color w:val="231F20"/>
        </w:rPr>
        <w:t>in</w:t>
      </w:r>
      <w:r>
        <w:rPr>
          <w:color w:val="231F20"/>
          <w:spacing w:val="-17"/>
        </w:rPr>
        <w:t xml:space="preserve"> </w:t>
      </w:r>
      <w:r>
        <w:rPr>
          <w:color w:val="231F20"/>
        </w:rPr>
        <w:t>distinguishing</w:t>
      </w:r>
      <w:r>
        <w:rPr>
          <w:color w:val="231F20"/>
          <w:spacing w:val="-17"/>
        </w:rPr>
        <w:t xml:space="preserve"> </w:t>
      </w:r>
      <w:r>
        <w:rPr>
          <w:color w:val="231F20"/>
        </w:rPr>
        <w:t xml:space="preserve">stage II-IV cancer from other malignancies (validation </w:t>
      </w:r>
      <w:r>
        <w:rPr>
          <w:color w:val="231F20"/>
          <w:spacing w:val="2"/>
        </w:rPr>
        <w:t xml:space="preserve">AUCs </w:t>
      </w:r>
      <w:r>
        <w:rPr>
          <w:color w:val="231F20"/>
        </w:rPr>
        <w:t xml:space="preserve">for </w:t>
      </w:r>
      <w:r>
        <w:rPr>
          <w:color w:val="231F20"/>
          <w:spacing w:val="2"/>
        </w:rPr>
        <w:t xml:space="preserve">stage II-IV cancer versus </w:t>
      </w:r>
      <w:r>
        <w:rPr>
          <w:color w:val="231F20"/>
          <w:spacing w:val="3"/>
        </w:rPr>
        <w:t xml:space="preserve">borderline </w:t>
      </w:r>
      <w:r>
        <w:rPr>
          <w:color w:val="231F20"/>
        </w:rPr>
        <w:t>tumors</w:t>
      </w:r>
      <w:r>
        <w:rPr>
          <w:color w:val="231F20"/>
          <w:spacing w:val="-14"/>
        </w:rPr>
        <w:t xml:space="preserve"> </w:t>
      </w:r>
      <w:r>
        <w:rPr>
          <w:color w:val="231F20"/>
        </w:rPr>
        <w:t>was</w:t>
      </w:r>
      <w:r>
        <w:rPr>
          <w:color w:val="231F20"/>
          <w:spacing w:val="-13"/>
        </w:rPr>
        <w:t xml:space="preserve"> </w:t>
      </w:r>
      <w:r>
        <w:rPr>
          <w:color w:val="231F20"/>
        </w:rPr>
        <w:t>0.95,</w:t>
      </w:r>
      <w:r>
        <w:rPr>
          <w:color w:val="231F20"/>
          <w:spacing w:val="-14"/>
        </w:rPr>
        <w:t xml:space="preserve"> </w:t>
      </w:r>
      <w:r>
        <w:rPr>
          <w:color w:val="231F20"/>
        </w:rPr>
        <w:t>versus</w:t>
      </w:r>
      <w:r>
        <w:rPr>
          <w:color w:val="231F20"/>
          <w:spacing w:val="-13"/>
        </w:rPr>
        <w:t xml:space="preserve"> </w:t>
      </w:r>
      <w:r>
        <w:rPr>
          <w:color w:val="231F20"/>
        </w:rPr>
        <w:t>stage</w:t>
      </w:r>
      <w:r>
        <w:rPr>
          <w:color w:val="231F20"/>
          <w:spacing w:val="-14"/>
        </w:rPr>
        <w:t xml:space="preserve"> </w:t>
      </w:r>
      <w:r>
        <w:rPr>
          <w:color w:val="231F20"/>
        </w:rPr>
        <w:t>I</w:t>
      </w:r>
      <w:r>
        <w:rPr>
          <w:color w:val="231F20"/>
          <w:spacing w:val="-13"/>
        </w:rPr>
        <w:t xml:space="preserve"> </w:t>
      </w:r>
      <w:r>
        <w:rPr>
          <w:color w:val="231F20"/>
        </w:rPr>
        <w:t>cancer</w:t>
      </w:r>
      <w:r>
        <w:rPr>
          <w:color w:val="231F20"/>
          <w:spacing w:val="-14"/>
        </w:rPr>
        <w:t xml:space="preserve"> </w:t>
      </w:r>
      <w:r>
        <w:rPr>
          <w:color w:val="231F20"/>
        </w:rPr>
        <w:t>was</w:t>
      </w:r>
      <w:r>
        <w:rPr>
          <w:color w:val="231F20"/>
          <w:spacing w:val="-13"/>
        </w:rPr>
        <w:t xml:space="preserve"> </w:t>
      </w:r>
      <w:r>
        <w:rPr>
          <w:color w:val="231F20"/>
        </w:rPr>
        <w:t>0.87,</w:t>
      </w:r>
      <w:r>
        <w:rPr>
          <w:color w:val="231F20"/>
          <w:spacing w:val="-14"/>
        </w:rPr>
        <w:t xml:space="preserve"> </w:t>
      </w:r>
      <w:r>
        <w:rPr>
          <w:color w:val="231F20"/>
        </w:rPr>
        <w:t>and versus secondary metastatic cancer was 0.82) (Van Calster</w:t>
      </w:r>
      <w:r>
        <w:rPr>
          <w:color w:val="231F20"/>
          <w:spacing w:val="-13"/>
        </w:rPr>
        <w:t xml:space="preserve"> </w:t>
      </w:r>
      <w:r>
        <w:rPr>
          <w:color w:val="231F20"/>
        </w:rPr>
        <w:t>et</w:t>
      </w:r>
      <w:r>
        <w:rPr>
          <w:color w:val="231F20"/>
          <w:spacing w:val="-13"/>
        </w:rPr>
        <w:t xml:space="preserve"> </w:t>
      </w:r>
      <w:r>
        <w:rPr>
          <w:color w:val="231F20"/>
        </w:rPr>
        <w:t>al.,</w:t>
      </w:r>
      <w:r>
        <w:rPr>
          <w:color w:val="231F20"/>
          <w:spacing w:val="-13"/>
        </w:rPr>
        <w:t xml:space="preserve"> </w:t>
      </w:r>
      <w:r>
        <w:rPr>
          <w:color w:val="231F20"/>
        </w:rPr>
        <w:t>2014).</w:t>
      </w:r>
      <w:r>
        <w:rPr>
          <w:color w:val="231F20"/>
          <w:spacing w:val="-13"/>
        </w:rPr>
        <w:t xml:space="preserve"> </w:t>
      </w:r>
      <w:r>
        <w:rPr>
          <w:color w:val="231F20"/>
        </w:rPr>
        <w:t>Finally,</w:t>
      </w:r>
      <w:r>
        <w:rPr>
          <w:color w:val="231F20"/>
          <w:spacing w:val="-13"/>
        </w:rPr>
        <w:t xml:space="preserve"> </w:t>
      </w:r>
      <w:r>
        <w:rPr>
          <w:color w:val="231F20"/>
        </w:rPr>
        <w:t>the</w:t>
      </w:r>
      <w:r>
        <w:rPr>
          <w:color w:val="231F20"/>
          <w:spacing w:val="-13"/>
        </w:rPr>
        <w:t xml:space="preserve"> </w:t>
      </w:r>
      <w:r>
        <w:rPr>
          <w:color w:val="231F20"/>
        </w:rPr>
        <w:t>validation</w:t>
      </w:r>
      <w:r>
        <w:rPr>
          <w:color w:val="231F20"/>
          <w:spacing w:val="-13"/>
        </w:rPr>
        <w:t xml:space="preserve"> </w:t>
      </w:r>
      <w:r>
        <w:rPr>
          <w:color w:val="231F20"/>
        </w:rPr>
        <w:t>AUC</w:t>
      </w:r>
      <w:r>
        <w:rPr>
          <w:color w:val="231F20"/>
          <w:spacing w:val="-13"/>
        </w:rPr>
        <w:t xml:space="preserve"> </w:t>
      </w:r>
      <w:r>
        <w:rPr>
          <w:color w:val="231F20"/>
        </w:rPr>
        <w:t>for borderline versus secondary metastatic cancer</w:t>
      </w:r>
      <w:r>
        <w:rPr>
          <w:color w:val="231F20"/>
          <w:spacing w:val="15"/>
        </w:rPr>
        <w:t xml:space="preserve"> </w:t>
      </w:r>
      <w:r>
        <w:rPr>
          <w:color w:val="231F20"/>
        </w:rPr>
        <w:t>was</w:t>
      </w:r>
    </w:p>
    <w:p w:rsidR="00966BA7" w:rsidRDefault="00F255A2">
      <w:pPr>
        <w:pStyle w:val="BodyText"/>
        <w:spacing w:line="246" w:lineRule="exact"/>
        <w:ind w:left="113"/>
        <w:jc w:val="both"/>
      </w:pPr>
      <w:proofErr w:type="gramStart"/>
      <w:r>
        <w:rPr>
          <w:color w:val="231F20"/>
        </w:rPr>
        <w:t>0.87 (Van Calster et al., 2014).</w:t>
      </w:r>
      <w:proofErr w:type="gramEnd"/>
    </w:p>
    <w:p w:rsidR="00966BA7" w:rsidRDefault="00F255A2">
      <w:pPr>
        <w:pStyle w:val="BodyText"/>
        <w:spacing w:before="2" w:line="247" w:lineRule="auto"/>
        <w:ind w:left="113" w:right="164" w:firstLine="226"/>
        <w:jc w:val="both"/>
      </w:pPr>
      <w:r>
        <w:rPr>
          <w:color w:val="231F20"/>
        </w:rPr>
        <w:t>It is interesting to look at the final histological outcome</w:t>
      </w:r>
      <w:r>
        <w:rPr>
          <w:color w:val="231F20"/>
          <w:spacing w:val="-19"/>
        </w:rPr>
        <w:t xml:space="preserve"> </w:t>
      </w:r>
      <w:r>
        <w:rPr>
          <w:color w:val="231F20"/>
        </w:rPr>
        <w:t>in</w:t>
      </w:r>
      <w:r>
        <w:rPr>
          <w:color w:val="231F20"/>
          <w:spacing w:val="-19"/>
        </w:rPr>
        <w:t xml:space="preserve"> </w:t>
      </w:r>
      <w:r>
        <w:rPr>
          <w:color w:val="231F20"/>
        </w:rPr>
        <w:t>relation</w:t>
      </w:r>
      <w:r>
        <w:rPr>
          <w:color w:val="231F20"/>
          <w:spacing w:val="-18"/>
        </w:rPr>
        <w:t xml:space="preserve"> </w:t>
      </w:r>
      <w:r>
        <w:rPr>
          <w:color w:val="231F20"/>
        </w:rPr>
        <w:t>to</w:t>
      </w:r>
      <w:r>
        <w:rPr>
          <w:color w:val="231F20"/>
          <w:spacing w:val="-19"/>
        </w:rPr>
        <w:t xml:space="preserve"> </w:t>
      </w:r>
      <w:r>
        <w:rPr>
          <w:color w:val="231F20"/>
        </w:rPr>
        <w:t>the</w:t>
      </w:r>
      <w:r>
        <w:rPr>
          <w:color w:val="231F20"/>
          <w:spacing w:val="-18"/>
        </w:rPr>
        <w:t xml:space="preserve"> </w:t>
      </w:r>
      <w:r>
        <w:rPr>
          <w:color w:val="231F20"/>
        </w:rPr>
        <w:t>average</w:t>
      </w:r>
      <w:r>
        <w:rPr>
          <w:color w:val="231F20"/>
          <w:spacing w:val="-19"/>
        </w:rPr>
        <w:t xml:space="preserve"> </w:t>
      </w:r>
      <w:r>
        <w:rPr>
          <w:color w:val="231F20"/>
        </w:rPr>
        <w:t>predicted</w:t>
      </w:r>
      <w:r>
        <w:rPr>
          <w:color w:val="231F20"/>
          <w:spacing w:val="-18"/>
        </w:rPr>
        <w:t xml:space="preserve"> </w:t>
      </w:r>
      <w:r>
        <w:rPr>
          <w:color w:val="231F20"/>
        </w:rPr>
        <w:t>risks</w:t>
      </w:r>
      <w:r>
        <w:rPr>
          <w:color w:val="231F20"/>
          <w:spacing w:val="-19"/>
        </w:rPr>
        <w:t xml:space="preserve"> </w:t>
      </w:r>
      <w:r>
        <w:rPr>
          <w:color w:val="231F20"/>
          <w:spacing w:val="-2"/>
        </w:rPr>
        <w:t xml:space="preserve">for </w:t>
      </w:r>
      <w:r>
        <w:rPr>
          <w:color w:val="231F20"/>
        </w:rPr>
        <w:t xml:space="preserve">the five ADNEX groups because this illustrates the relative difficulty of classifying different types of </w:t>
      </w:r>
      <w:r>
        <w:rPr>
          <w:color w:val="231F20"/>
          <w:spacing w:val="2"/>
        </w:rPr>
        <w:t xml:space="preserve">adnexal masses (Fig. </w:t>
      </w:r>
      <w:r>
        <w:rPr>
          <w:color w:val="231F20"/>
        </w:rPr>
        <w:t xml:space="preserve">2). As </w:t>
      </w:r>
      <w:r>
        <w:rPr>
          <w:color w:val="231F20"/>
          <w:spacing w:val="2"/>
        </w:rPr>
        <w:t xml:space="preserve">might </w:t>
      </w:r>
      <w:r>
        <w:rPr>
          <w:color w:val="231F20"/>
        </w:rPr>
        <w:t>be</w:t>
      </w:r>
      <w:r>
        <w:rPr>
          <w:color w:val="231F20"/>
          <w:spacing w:val="4"/>
        </w:rPr>
        <w:t xml:space="preserve"> </w:t>
      </w:r>
      <w:r>
        <w:rPr>
          <w:color w:val="231F20"/>
          <w:spacing w:val="3"/>
        </w:rPr>
        <w:t>expected,</w:t>
      </w:r>
    </w:p>
    <w:p w:rsidR="00966BA7" w:rsidRDefault="00966BA7">
      <w:pPr>
        <w:spacing w:line="247" w:lineRule="auto"/>
        <w:jc w:val="both"/>
        <w:sectPr w:rsidR="00966BA7">
          <w:type w:val="continuous"/>
          <w:pgSz w:w="11910" w:h="16840"/>
          <w:pgMar w:top="880" w:right="1020" w:bottom="720" w:left="1020" w:header="720" w:footer="720" w:gutter="0"/>
          <w:cols w:num="2" w:space="720" w:equalWidth="0">
            <w:col w:w="4696" w:space="349"/>
            <w:col w:w="4825"/>
          </w:cols>
        </w:sectPr>
      </w:pPr>
    </w:p>
    <w:p w:rsidR="00966BA7" w:rsidRDefault="00F255A2">
      <w:pPr>
        <w:pStyle w:val="BodyText"/>
        <w:spacing w:before="42" w:line="247" w:lineRule="auto"/>
        <w:ind w:left="170" w:right="42"/>
        <w:jc w:val="both"/>
      </w:pPr>
      <w:proofErr w:type="gramStart"/>
      <w:r>
        <w:rPr>
          <w:color w:val="231F20"/>
        </w:rPr>
        <w:lastRenderedPageBreak/>
        <w:t>benign</w:t>
      </w:r>
      <w:proofErr w:type="gramEnd"/>
      <w:r>
        <w:rPr>
          <w:color w:val="231F20"/>
        </w:rPr>
        <w:t xml:space="preserve"> teratomas and simple cysts were given the </w:t>
      </w:r>
      <w:r>
        <w:rPr>
          <w:color w:val="231F20"/>
          <w:spacing w:val="2"/>
        </w:rPr>
        <w:t xml:space="preserve">highest </w:t>
      </w:r>
      <w:r>
        <w:rPr>
          <w:color w:val="231F20"/>
          <w:spacing w:val="3"/>
        </w:rPr>
        <w:t xml:space="preserve">likelihood </w:t>
      </w:r>
      <w:r>
        <w:rPr>
          <w:color w:val="231F20"/>
        </w:rPr>
        <w:t xml:space="preserve">of </w:t>
      </w:r>
      <w:r>
        <w:rPr>
          <w:color w:val="231F20"/>
          <w:spacing w:val="2"/>
        </w:rPr>
        <w:t xml:space="preserve">being </w:t>
      </w:r>
      <w:r>
        <w:rPr>
          <w:color w:val="231F20"/>
          <w:spacing w:val="2"/>
        </w:rPr>
        <w:t xml:space="preserve">benign </w:t>
      </w:r>
      <w:r>
        <w:rPr>
          <w:color w:val="231F20"/>
          <w:spacing w:val="3"/>
        </w:rPr>
        <w:t xml:space="preserve">tumors. On </w:t>
      </w:r>
      <w:r>
        <w:rPr>
          <w:color w:val="231F20"/>
        </w:rPr>
        <w:t>average, the predicted probability of being benign was</w:t>
      </w:r>
      <w:r>
        <w:rPr>
          <w:color w:val="231F20"/>
          <w:spacing w:val="-14"/>
        </w:rPr>
        <w:t xml:space="preserve"> </w:t>
      </w:r>
      <w:r>
        <w:rPr>
          <w:color w:val="231F20"/>
        </w:rPr>
        <w:t>around</w:t>
      </w:r>
      <w:r>
        <w:rPr>
          <w:color w:val="231F20"/>
          <w:spacing w:val="-14"/>
        </w:rPr>
        <w:t xml:space="preserve"> </w:t>
      </w:r>
      <w:r>
        <w:rPr>
          <w:color w:val="231F20"/>
        </w:rPr>
        <w:t>90%</w:t>
      </w:r>
      <w:r>
        <w:rPr>
          <w:color w:val="231F20"/>
          <w:spacing w:val="-13"/>
        </w:rPr>
        <w:t xml:space="preserve"> </w:t>
      </w:r>
      <w:r>
        <w:rPr>
          <w:color w:val="231F20"/>
        </w:rPr>
        <w:t>or</w:t>
      </w:r>
      <w:r>
        <w:rPr>
          <w:color w:val="231F20"/>
          <w:spacing w:val="-14"/>
        </w:rPr>
        <w:t xml:space="preserve"> </w:t>
      </w:r>
      <w:r>
        <w:rPr>
          <w:color w:val="231F20"/>
        </w:rPr>
        <w:t>higher</w:t>
      </w:r>
      <w:r>
        <w:rPr>
          <w:color w:val="231F20"/>
          <w:spacing w:val="-13"/>
        </w:rPr>
        <w:t xml:space="preserve"> </w:t>
      </w:r>
      <w:r>
        <w:rPr>
          <w:color w:val="231F20"/>
        </w:rPr>
        <w:t>for</w:t>
      </w:r>
      <w:r>
        <w:rPr>
          <w:color w:val="231F20"/>
          <w:spacing w:val="-14"/>
        </w:rPr>
        <w:t xml:space="preserve"> </w:t>
      </w:r>
      <w:r>
        <w:rPr>
          <w:color w:val="231F20"/>
        </w:rPr>
        <w:t>eight</w:t>
      </w:r>
      <w:r>
        <w:rPr>
          <w:color w:val="231F20"/>
          <w:spacing w:val="-13"/>
        </w:rPr>
        <w:t xml:space="preserve"> </w:t>
      </w:r>
      <w:r>
        <w:rPr>
          <w:color w:val="231F20"/>
        </w:rPr>
        <w:t>of</w:t>
      </w:r>
      <w:r>
        <w:rPr>
          <w:color w:val="231F20"/>
          <w:spacing w:val="-14"/>
        </w:rPr>
        <w:t xml:space="preserve"> </w:t>
      </w:r>
      <w:r>
        <w:rPr>
          <w:color w:val="231F20"/>
        </w:rPr>
        <w:t>eleven</w:t>
      </w:r>
      <w:r>
        <w:rPr>
          <w:color w:val="231F20"/>
          <w:spacing w:val="-13"/>
        </w:rPr>
        <w:t xml:space="preserve"> </w:t>
      </w:r>
      <w:r>
        <w:rPr>
          <w:color w:val="231F20"/>
        </w:rPr>
        <w:t xml:space="preserve">benign </w:t>
      </w:r>
      <w:r>
        <w:rPr>
          <w:color w:val="231F20"/>
          <w:spacing w:val="2"/>
        </w:rPr>
        <w:t xml:space="preserve">histologies. </w:t>
      </w:r>
      <w:r>
        <w:rPr>
          <w:color w:val="231F20"/>
        </w:rPr>
        <w:t xml:space="preserve">The </w:t>
      </w:r>
      <w:r>
        <w:rPr>
          <w:color w:val="231F20"/>
          <w:spacing w:val="2"/>
        </w:rPr>
        <w:t xml:space="preserve">ADNEX model </w:t>
      </w:r>
      <w:r>
        <w:rPr>
          <w:color w:val="231F20"/>
        </w:rPr>
        <w:t xml:space="preserve">had </w:t>
      </w:r>
      <w:r>
        <w:rPr>
          <w:color w:val="231F20"/>
          <w:spacing w:val="2"/>
        </w:rPr>
        <w:t xml:space="preserve">more dif- </w:t>
      </w:r>
      <w:r>
        <w:rPr>
          <w:color w:val="231F20"/>
        </w:rPr>
        <w:t xml:space="preserve">ficulties with abscesses, rare benign tumors, </w:t>
      </w:r>
      <w:r>
        <w:rPr>
          <w:color w:val="231F20"/>
          <w:spacing w:val="2"/>
        </w:rPr>
        <w:t xml:space="preserve">and </w:t>
      </w:r>
      <w:r>
        <w:rPr>
          <w:color w:val="231F20"/>
        </w:rPr>
        <w:t xml:space="preserve">fibromas, with average predicted probabilities of being benign of around 70%. Regarding malignant masses, the average risk of being classified as an </w:t>
      </w:r>
      <w:r>
        <w:rPr>
          <w:color w:val="231F20"/>
          <w:spacing w:val="3"/>
        </w:rPr>
        <w:t xml:space="preserve">advanced stage cancer </w:t>
      </w:r>
      <w:r>
        <w:rPr>
          <w:color w:val="231F20"/>
        </w:rPr>
        <w:t xml:space="preserve">by </w:t>
      </w:r>
      <w:r>
        <w:rPr>
          <w:color w:val="231F20"/>
          <w:spacing w:val="2"/>
        </w:rPr>
        <w:t xml:space="preserve">the </w:t>
      </w:r>
      <w:r>
        <w:rPr>
          <w:color w:val="231F20"/>
          <w:spacing w:val="3"/>
        </w:rPr>
        <w:t xml:space="preserve">ADNEX model </w:t>
      </w:r>
      <w:r>
        <w:rPr>
          <w:color w:val="231F20"/>
          <w:spacing w:val="5"/>
        </w:rPr>
        <w:t xml:space="preserve">increased </w:t>
      </w:r>
      <w:r>
        <w:rPr>
          <w:color w:val="231F20"/>
          <w:spacing w:val="4"/>
        </w:rPr>
        <w:t xml:space="preserve">with FIGO </w:t>
      </w:r>
      <w:r>
        <w:rPr>
          <w:color w:val="231F20"/>
          <w:spacing w:val="5"/>
        </w:rPr>
        <w:t xml:space="preserve">stage. Conversely, </w:t>
      </w:r>
      <w:r>
        <w:rPr>
          <w:color w:val="231F20"/>
          <w:spacing w:val="6"/>
        </w:rPr>
        <w:t>the</w:t>
      </w:r>
      <w:r>
        <w:rPr>
          <w:color w:val="231F20"/>
          <w:spacing w:val="67"/>
        </w:rPr>
        <w:t xml:space="preserve"> </w:t>
      </w:r>
      <w:r>
        <w:rPr>
          <w:color w:val="231F20"/>
        </w:rPr>
        <w:t>predicted</w:t>
      </w:r>
      <w:r>
        <w:rPr>
          <w:color w:val="231F20"/>
          <w:spacing w:val="-14"/>
        </w:rPr>
        <w:t xml:space="preserve"> </w:t>
      </w:r>
      <w:r>
        <w:rPr>
          <w:color w:val="231F20"/>
        </w:rPr>
        <w:t>risk</w:t>
      </w:r>
      <w:r>
        <w:rPr>
          <w:color w:val="231F20"/>
          <w:spacing w:val="-13"/>
        </w:rPr>
        <w:t xml:space="preserve"> </w:t>
      </w:r>
      <w:r>
        <w:rPr>
          <w:color w:val="231F20"/>
        </w:rPr>
        <w:t>of</w:t>
      </w:r>
      <w:r>
        <w:rPr>
          <w:color w:val="231F20"/>
          <w:spacing w:val="-13"/>
        </w:rPr>
        <w:t xml:space="preserve"> </w:t>
      </w:r>
      <w:r>
        <w:rPr>
          <w:color w:val="231F20"/>
        </w:rPr>
        <w:t>borde</w:t>
      </w:r>
      <w:r>
        <w:rPr>
          <w:color w:val="231F20"/>
        </w:rPr>
        <w:t>rline</w:t>
      </w:r>
      <w:r>
        <w:rPr>
          <w:color w:val="231F20"/>
          <w:spacing w:val="-13"/>
        </w:rPr>
        <w:t xml:space="preserve"> </w:t>
      </w:r>
      <w:r>
        <w:rPr>
          <w:color w:val="231F20"/>
        </w:rPr>
        <w:t>or</w:t>
      </w:r>
      <w:r>
        <w:rPr>
          <w:color w:val="231F20"/>
          <w:spacing w:val="-14"/>
        </w:rPr>
        <w:t xml:space="preserve"> </w:t>
      </w:r>
      <w:r>
        <w:rPr>
          <w:color w:val="231F20"/>
        </w:rPr>
        <w:t>stage</w:t>
      </w:r>
      <w:r>
        <w:rPr>
          <w:color w:val="231F20"/>
          <w:spacing w:val="-15"/>
        </w:rPr>
        <w:t xml:space="preserve"> </w:t>
      </w:r>
      <w:r>
        <w:rPr>
          <w:color w:val="231F20"/>
        </w:rPr>
        <w:t>I</w:t>
      </w:r>
      <w:r>
        <w:rPr>
          <w:color w:val="231F20"/>
          <w:spacing w:val="-13"/>
        </w:rPr>
        <w:t xml:space="preserve"> </w:t>
      </w:r>
      <w:r>
        <w:rPr>
          <w:color w:val="231F20"/>
        </w:rPr>
        <w:t>ovarian</w:t>
      </w:r>
      <w:r>
        <w:rPr>
          <w:color w:val="231F20"/>
          <w:spacing w:val="-13"/>
        </w:rPr>
        <w:t xml:space="preserve"> </w:t>
      </w:r>
      <w:r>
        <w:rPr>
          <w:color w:val="231F20"/>
        </w:rPr>
        <w:t xml:space="preserve">cancer decreased with increasing FIGO stage. Finally, the </w:t>
      </w:r>
      <w:r>
        <w:rPr>
          <w:color w:val="231F20"/>
          <w:spacing w:val="3"/>
        </w:rPr>
        <w:t xml:space="preserve">average predicted risk </w:t>
      </w:r>
      <w:r>
        <w:rPr>
          <w:color w:val="231F20"/>
        </w:rPr>
        <w:t xml:space="preserve">of </w:t>
      </w:r>
      <w:r>
        <w:rPr>
          <w:color w:val="231F20"/>
          <w:spacing w:val="3"/>
        </w:rPr>
        <w:t xml:space="preserve">secondary metastatic </w:t>
      </w:r>
      <w:r>
        <w:rPr>
          <w:color w:val="231F20"/>
        </w:rPr>
        <w:t>cancer</w:t>
      </w:r>
      <w:r>
        <w:rPr>
          <w:color w:val="231F20"/>
          <w:spacing w:val="-23"/>
        </w:rPr>
        <w:t xml:space="preserve"> </w:t>
      </w:r>
      <w:r>
        <w:rPr>
          <w:color w:val="231F20"/>
        </w:rPr>
        <w:t>is</w:t>
      </w:r>
      <w:r>
        <w:rPr>
          <w:color w:val="231F20"/>
          <w:spacing w:val="-23"/>
        </w:rPr>
        <w:t xml:space="preserve"> </w:t>
      </w:r>
      <w:r>
        <w:rPr>
          <w:color w:val="231F20"/>
        </w:rPr>
        <w:t>highest</w:t>
      </w:r>
      <w:r>
        <w:rPr>
          <w:color w:val="231F20"/>
          <w:spacing w:val="-23"/>
        </w:rPr>
        <w:t xml:space="preserve"> </w:t>
      </w:r>
      <w:r>
        <w:rPr>
          <w:color w:val="231F20"/>
        </w:rPr>
        <w:t>for</w:t>
      </w:r>
      <w:r>
        <w:rPr>
          <w:color w:val="231F20"/>
          <w:spacing w:val="-22"/>
        </w:rPr>
        <w:t xml:space="preserve"> </w:t>
      </w:r>
      <w:r>
        <w:rPr>
          <w:color w:val="231F20"/>
        </w:rPr>
        <w:t>histologically</w:t>
      </w:r>
      <w:r>
        <w:rPr>
          <w:color w:val="231F20"/>
          <w:spacing w:val="-23"/>
        </w:rPr>
        <w:t xml:space="preserve"> </w:t>
      </w:r>
      <w:r>
        <w:rPr>
          <w:color w:val="231F20"/>
        </w:rPr>
        <w:t>proven</w:t>
      </w:r>
      <w:r>
        <w:rPr>
          <w:color w:val="231F20"/>
          <w:spacing w:val="-23"/>
        </w:rPr>
        <w:t xml:space="preserve"> </w:t>
      </w:r>
      <w:r>
        <w:rPr>
          <w:color w:val="231F20"/>
        </w:rPr>
        <w:t>metastatic cancers, but notice that also fibromas, rare benign tumors and invasive</w:t>
      </w:r>
      <w:r>
        <w:rPr>
          <w:color w:val="231F20"/>
        </w:rPr>
        <w:t xml:space="preserve"> ovarian cancers were assigned rather high risks of metastatic cancer.</w:t>
      </w:r>
    </w:p>
    <w:p w:rsidR="00966BA7" w:rsidRDefault="00F255A2">
      <w:pPr>
        <w:pStyle w:val="BodyText"/>
        <w:spacing w:line="247" w:lineRule="auto"/>
        <w:ind w:left="170" w:right="38" w:firstLine="226"/>
        <w:jc w:val="both"/>
      </w:pPr>
      <w:r>
        <w:rPr>
          <w:color w:val="231F20"/>
        </w:rPr>
        <w:t xml:space="preserve">The final ADNEX model is available online and in </w:t>
      </w:r>
      <w:proofErr w:type="gramStart"/>
      <w:r>
        <w:rPr>
          <w:color w:val="231F20"/>
        </w:rPr>
        <w:t>mobile  applications</w:t>
      </w:r>
      <w:proofErr w:type="gramEnd"/>
      <w:r>
        <w:rPr>
          <w:color w:val="231F20"/>
        </w:rPr>
        <w:t xml:space="preserve"> (</w:t>
      </w:r>
      <w:hyperlink r:id="rId14">
        <w:r>
          <w:rPr>
            <w:color w:val="231F20"/>
            <w:u w:val="single" w:color="231F20"/>
          </w:rPr>
          <w:t>www.iotagroup.org/</w:t>
        </w:r>
      </w:hyperlink>
      <w:r>
        <w:rPr>
          <w:color w:val="231F20"/>
        </w:rPr>
        <w:t xml:space="preserve"> </w:t>
      </w:r>
      <w:r>
        <w:rPr>
          <w:color w:val="231F20"/>
          <w:u w:val="single" w:color="231F20"/>
        </w:rPr>
        <w:t>adnexmodel/</w:t>
      </w:r>
      <w:r>
        <w:rPr>
          <w:color w:val="231F20"/>
        </w:rPr>
        <w:t>).</w:t>
      </w:r>
    </w:p>
    <w:p w:rsidR="00966BA7" w:rsidRDefault="00966BA7">
      <w:pPr>
        <w:pStyle w:val="BodyText"/>
        <w:spacing w:before="7"/>
        <w:rPr>
          <w:sz w:val="21"/>
        </w:rPr>
      </w:pPr>
    </w:p>
    <w:p w:rsidR="00966BA7" w:rsidRDefault="00F255A2">
      <w:pPr>
        <w:pStyle w:val="Heading1"/>
      </w:pPr>
      <w:r>
        <w:rPr>
          <w:color w:val="6D6E71"/>
        </w:rPr>
        <w:t>Clinical implications of the ADNEX model</w:t>
      </w:r>
    </w:p>
    <w:p w:rsidR="00966BA7" w:rsidRDefault="00966BA7">
      <w:pPr>
        <w:pStyle w:val="BodyText"/>
        <w:spacing w:before="3"/>
        <w:rPr>
          <w:b/>
          <w:sz w:val="23"/>
        </w:rPr>
      </w:pPr>
    </w:p>
    <w:p w:rsidR="00966BA7" w:rsidRDefault="00F255A2">
      <w:pPr>
        <w:pStyle w:val="BodyText"/>
        <w:spacing w:line="247" w:lineRule="auto"/>
        <w:ind w:left="170" w:right="40"/>
        <w:jc w:val="both"/>
      </w:pPr>
      <w:r>
        <w:rPr>
          <w:color w:val="231F20"/>
        </w:rPr>
        <w:t xml:space="preserve">As with any decision support tool, there does not </w:t>
      </w:r>
      <w:proofErr w:type="gramStart"/>
      <w:r>
        <w:rPr>
          <w:color w:val="231F20"/>
        </w:rPr>
        <w:t>exist</w:t>
      </w:r>
      <w:proofErr w:type="gramEnd"/>
      <w:r>
        <w:rPr>
          <w:color w:val="231F20"/>
        </w:rPr>
        <w:t xml:space="preserve"> a single fixed approach to use the model in </w:t>
      </w:r>
      <w:r>
        <w:rPr>
          <w:color w:val="231F20"/>
          <w:spacing w:val="4"/>
        </w:rPr>
        <w:t xml:space="preserve">clinical practice. </w:t>
      </w:r>
      <w:r>
        <w:rPr>
          <w:color w:val="231F20"/>
          <w:spacing w:val="3"/>
        </w:rPr>
        <w:t xml:space="preserve">Risk </w:t>
      </w:r>
      <w:r>
        <w:rPr>
          <w:color w:val="231F20"/>
          <w:spacing w:val="4"/>
        </w:rPr>
        <w:t xml:space="preserve">models </w:t>
      </w:r>
      <w:r>
        <w:rPr>
          <w:color w:val="231F20"/>
          <w:spacing w:val="3"/>
        </w:rPr>
        <w:t xml:space="preserve">aim </w:t>
      </w:r>
      <w:r>
        <w:rPr>
          <w:color w:val="231F20"/>
        </w:rPr>
        <w:t xml:space="preserve">to </w:t>
      </w:r>
      <w:r>
        <w:rPr>
          <w:color w:val="231F20"/>
          <w:spacing w:val="5"/>
        </w:rPr>
        <w:t xml:space="preserve">provide </w:t>
      </w:r>
      <w:r>
        <w:rPr>
          <w:color w:val="231F20"/>
        </w:rPr>
        <w:t>accurate risk estimates for individual patients. How these estimates</w:t>
      </w:r>
      <w:r>
        <w:rPr>
          <w:color w:val="231F20"/>
        </w:rPr>
        <w:t xml:space="preserve"> are used to inform patients or make decisions depends on a multitude of factors, such</w:t>
      </w:r>
      <w:r>
        <w:rPr>
          <w:color w:val="231F20"/>
          <w:spacing w:val="-35"/>
        </w:rPr>
        <w:t xml:space="preserve"> </w:t>
      </w:r>
      <w:r>
        <w:rPr>
          <w:color w:val="231F20"/>
        </w:rPr>
        <w:t>as personal preferences, patient characteristics (e.g. age and co-morbidity), the patient’s values, local protocols</w:t>
      </w:r>
      <w:r>
        <w:rPr>
          <w:color w:val="231F20"/>
          <w:spacing w:val="-16"/>
        </w:rPr>
        <w:t xml:space="preserve"> </w:t>
      </w:r>
      <w:r>
        <w:rPr>
          <w:color w:val="231F20"/>
        </w:rPr>
        <w:t>and</w:t>
      </w:r>
      <w:r>
        <w:rPr>
          <w:color w:val="231F20"/>
          <w:spacing w:val="-15"/>
        </w:rPr>
        <w:t xml:space="preserve"> </w:t>
      </w:r>
      <w:r>
        <w:rPr>
          <w:color w:val="231F20"/>
        </w:rPr>
        <w:t>regional</w:t>
      </w:r>
      <w:r>
        <w:rPr>
          <w:color w:val="231F20"/>
          <w:spacing w:val="-16"/>
        </w:rPr>
        <w:t xml:space="preserve"> </w:t>
      </w:r>
      <w:r>
        <w:rPr>
          <w:color w:val="231F20"/>
        </w:rPr>
        <w:t>guidelines.</w:t>
      </w:r>
      <w:r>
        <w:rPr>
          <w:color w:val="231F20"/>
          <w:spacing w:val="-15"/>
        </w:rPr>
        <w:t xml:space="preserve"> </w:t>
      </w:r>
      <w:r>
        <w:rPr>
          <w:color w:val="231F20"/>
        </w:rPr>
        <w:t>In</w:t>
      </w:r>
      <w:r>
        <w:rPr>
          <w:color w:val="231F20"/>
          <w:spacing w:val="-15"/>
        </w:rPr>
        <w:t xml:space="preserve"> </w:t>
      </w:r>
      <w:r>
        <w:rPr>
          <w:color w:val="231F20"/>
        </w:rPr>
        <w:t>this</w:t>
      </w:r>
      <w:r>
        <w:rPr>
          <w:color w:val="231F20"/>
          <w:spacing w:val="-16"/>
        </w:rPr>
        <w:t xml:space="preserve"> </w:t>
      </w:r>
      <w:r>
        <w:rPr>
          <w:color w:val="231F20"/>
        </w:rPr>
        <w:t>section,</w:t>
      </w:r>
      <w:r>
        <w:rPr>
          <w:color w:val="231F20"/>
          <w:spacing w:val="-16"/>
        </w:rPr>
        <w:t xml:space="preserve"> </w:t>
      </w:r>
      <w:r>
        <w:rPr>
          <w:color w:val="231F20"/>
        </w:rPr>
        <w:t>we will dis</w:t>
      </w:r>
      <w:r>
        <w:rPr>
          <w:color w:val="231F20"/>
        </w:rPr>
        <w:t>cuss some general suggestions for using the ADNEX model in clinical</w:t>
      </w:r>
      <w:r>
        <w:rPr>
          <w:color w:val="231F20"/>
          <w:spacing w:val="-2"/>
        </w:rPr>
        <w:t xml:space="preserve"> </w:t>
      </w:r>
      <w:r>
        <w:rPr>
          <w:color w:val="231F20"/>
        </w:rPr>
        <w:t>practice.</w:t>
      </w:r>
    </w:p>
    <w:p w:rsidR="00966BA7" w:rsidRDefault="00966BA7">
      <w:pPr>
        <w:pStyle w:val="BodyText"/>
        <w:spacing w:before="1"/>
      </w:pPr>
    </w:p>
    <w:p w:rsidR="00966BA7" w:rsidRDefault="00F255A2">
      <w:pPr>
        <w:ind w:left="170"/>
        <w:rPr>
          <w:i/>
        </w:rPr>
      </w:pPr>
      <w:r>
        <w:rPr>
          <w:i/>
          <w:color w:val="231F20"/>
        </w:rPr>
        <w:t>Cut-offs</w:t>
      </w:r>
    </w:p>
    <w:p w:rsidR="00966BA7" w:rsidRDefault="00966BA7">
      <w:pPr>
        <w:pStyle w:val="BodyText"/>
        <w:spacing w:before="3"/>
        <w:rPr>
          <w:i/>
          <w:sz w:val="23"/>
        </w:rPr>
      </w:pPr>
    </w:p>
    <w:p w:rsidR="00966BA7" w:rsidRDefault="00F255A2">
      <w:pPr>
        <w:pStyle w:val="BodyText"/>
        <w:spacing w:line="247" w:lineRule="auto"/>
        <w:ind w:left="170" w:right="45"/>
        <w:jc w:val="both"/>
      </w:pPr>
      <w:r>
        <w:rPr>
          <w:color w:val="231F20"/>
        </w:rPr>
        <w:t>Using risk predictions to guide patient stratification and treatment selection implies the introduction of cut-offs.</w:t>
      </w:r>
      <w:r>
        <w:rPr>
          <w:color w:val="231F20"/>
          <w:spacing w:val="-25"/>
        </w:rPr>
        <w:t xml:space="preserve"> </w:t>
      </w:r>
      <w:r>
        <w:rPr>
          <w:color w:val="231F20"/>
        </w:rPr>
        <w:t>The</w:t>
      </w:r>
      <w:r>
        <w:rPr>
          <w:color w:val="231F20"/>
          <w:spacing w:val="-25"/>
        </w:rPr>
        <w:t xml:space="preserve"> </w:t>
      </w:r>
      <w:r>
        <w:rPr>
          <w:color w:val="231F20"/>
        </w:rPr>
        <w:t>choice</w:t>
      </w:r>
      <w:r>
        <w:rPr>
          <w:color w:val="231F20"/>
          <w:spacing w:val="-24"/>
        </w:rPr>
        <w:t xml:space="preserve"> </w:t>
      </w:r>
      <w:r>
        <w:rPr>
          <w:color w:val="231F20"/>
        </w:rPr>
        <w:t>of</w:t>
      </w:r>
      <w:r>
        <w:rPr>
          <w:color w:val="231F20"/>
          <w:spacing w:val="-26"/>
        </w:rPr>
        <w:t xml:space="preserve"> </w:t>
      </w:r>
      <w:r>
        <w:rPr>
          <w:color w:val="231F20"/>
        </w:rPr>
        <w:t>cut-offs</w:t>
      </w:r>
      <w:r>
        <w:rPr>
          <w:color w:val="231F20"/>
          <w:spacing w:val="-24"/>
        </w:rPr>
        <w:t xml:space="preserve"> </w:t>
      </w:r>
      <w:r>
        <w:rPr>
          <w:color w:val="231F20"/>
        </w:rPr>
        <w:t>is</w:t>
      </w:r>
      <w:r>
        <w:rPr>
          <w:color w:val="231F20"/>
          <w:spacing w:val="-25"/>
        </w:rPr>
        <w:t xml:space="preserve"> </w:t>
      </w:r>
      <w:r>
        <w:rPr>
          <w:color w:val="231F20"/>
        </w:rPr>
        <w:t>not</w:t>
      </w:r>
      <w:r>
        <w:rPr>
          <w:color w:val="231F20"/>
          <w:spacing w:val="-25"/>
        </w:rPr>
        <w:t xml:space="preserve"> </w:t>
      </w:r>
      <w:r>
        <w:rPr>
          <w:color w:val="231F20"/>
        </w:rPr>
        <w:t>straightforward and</w:t>
      </w:r>
      <w:r>
        <w:rPr>
          <w:color w:val="231F20"/>
          <w:spacing w:val="-14"/>
        </w:rPr>
        <w:t xml:space="preserve"> </w:t>
      </w:r>
      <w:r>
        <w:rPr>
          <w:color w:val="231F20"/>
        </w:rPr>
        <w:t>may</w:t>
      </w:r>
      <w:r>
        <w:rPr>
          <w:color w:val="231F20"/>
          <w:spacing w:val="-14"/>
        </w:rPr>
        <w:t xml:space="preserve"> </w:t>
      </w:r>
      <w:r>
        <w:rPr>
          <w:color w:val="231F20"/>
        </w:rPr>
        <w:t>not</w:t>
      </w:r>
      <w:r>
        <w:rPr>
          <w:color w:val="231F20"/>
          <w:spacing w:val="-14"/>
        </w:rPr>
        <w:t xml:space="preserve"> </w:t>
      </w:r>
      <w:r>
        <w:rPr>
          <w:color w:val="231F20"/>
        </w:rPr>
        <w:t>be</w:t>
      </w:r>
      <w:r>
        <w:rPr>
          <w:color w:val="231F20"/>
          <w:spacing w:val="-14"/>
        </w:rPr>
        <w:t xml:space="preserve"> </w:t>
      </w:r>
      <w:r>
        <w:rPr>
          <w:color w:val="231F20"/>
        </w:rPr>
        <w:t>in</w:t>
      </w:r>
      <w:r>
        <w:rPr>
          <w:color w:val="231F20"/>
          <w:spacing w:val="-14"/>
        </w:rPr>
        <w:t xml:space="preserve"> </w:t>
      </w:r>
      <w:r>
        <w:rPr>
          <w:color w:val="231F20"/>
        </w:rPr>
        <w:t>accordance</w:t>
      </w:r>
      <w:r>
        <w:rPr>
          <w:color w:val="231F20"/>
          <w:spacing w:val="-14"/>
        </w:rPr>
        <w:t xml:space="preserve"> </w:t>
      </w:r>
      <w:r>
        <w:rPr>
          <w:color w:val="231F20"/>
        </w:rPr>
        <w:t>with</w:t>
      </w:r>
      <w:r>
        <w:rPr>
          <w:color w:val="231F20"/>
          <w:spacing w:val="-14"/>
        </w:rPr>
        <w:t xml:space="preserve"> </w:t>
      </w:r>
      <w:r>
        <w:rPr>
          <w:color w:val="231F20"/>
        </w:rPr>
        <w:t>modern</w:t>
      </w:r>
      <w:r>
        <w:rPr>
          <w:color w:val="231F20"/>
          <w:spacing w:val="-13"/>
        </w:rPr>
        <w:t xml:space="preserve"> </w:t>
      </w:r>
      <w:r>
        <w:rPr>
          <w:color w:val="231F20"/>
        </w:rPr>
        <w:t xml:space="preserve">evidence based medicine </w:t>
      </w:r>
      <w:r>
        <w:rPr>
          <w:color w:val="231F20"/>
          <w:spacing w:val="2"/>
        </w:rPr>
        <w:t xml:space="preserve">(EBM). </w:t>
      </w:r>
      <w:r>
        <w:rPr>
          <w:color w:val="231F20"/>
        </w:rPr>
        <w:t xml:space="preserve">Indeed, </w:t>
      </w:r>
      <w:r>
        <w:rPr>
          <w:color w:val="231F20"/>
          <w:spacing w:val="2"/>
        </w:rPr>
        <w:t xml:space="preserve">Greenhalgh </w:t>
      </w:r>
      <w:r>
        <w:rPr>
          <w:color w:val="231F20"/>
        </w:rPr>
        <w:t>and colleagues (2014), in their recent discussion of the EBM crisis stated that “inflexible rules and tech- nology driven prompts may produce care that is management dri</w:t>
      </w:r>
      <w:r>
        <w:rPr>
          <w:color w:val="231F20"/>
        </w:rPr>
        <w:t xml:space="preserve">ven rather than patient centered” </w:t>
      </w:r>
      <w:r>
        <w:rPr>
          <w:color w:val="231F20"/>
          <w:spacing w:val="4"/>
        </w:rPr>
        <w:t xml:space="preserve">and that “real EBM </w:t>
      </w:r>
      <w:r>
        <w:rPr>
          <w:color w:val="231F20"/>
          <w:spacing w:val="5"/>
        </w:rPr>
        <w:t xml:space="preserve">demands individualized </w:t>
      </w:r>
      <w:r>
        <w:rPr>
          <w:color w:val="231F20"/>
        </w:rPr>
        <w:t>evidence,</w:t>
      </w:r>
      <w:r>
        <w:rPr>
          <w:color w:val="231F20"/>
          <w:spacing w:val="-15"/>
        </w:rPr>
        <w:t xml:space="preserve"> </w:t>
      </w:r>
      <w:r>
        <w:rPr>
          <w:color w:val="231F20"/>
        </w:rPr>
        <w:t>is</w:t>
      </w:r>
      <w:r>
        <w:rPr>
          <w:color w:val="231F20"/>
          <w:spacing w:val="-15"/>
        </w:rPr>
        <w:t xml:space="preserve"> </w:t>
      </w:r>
      <w:r>
        <w:rPr>
          <w:color w:val="231F20"/>
        </w:rPr>
        <w:t>characterized</w:t>
      </w:r>
      <w:r>
        <w:rPr>
          <w:color w:val="231F20"/>
          <w:spacing w:val="-15"/>
        </w:rPr>
        <w:t xml:space="preserve"> </w:t>
      </w:r>
      <w:r>
        <w:rPr>
          <w:color w:val="231F20"/>
        </w:rPr>
        <w:t>by</w:t>
      </w:r>
      <w:r>
        <w:rPr>
          <w:color w:val="231F20"/>
          <w:spacing w:val="-15"/>
        </w:rPr>
        <w:t xml:space="preserve"> </w:t>
      </w:r>
      <w:r>
        <w:rPr>
          <w:color w:val="231F20"/>
        </w:rPr>
        <w:t>expert</w:t>
      </w:r>
      <w:r>
        <w:rPr>
          <w:color w:val="231F20"/>
          <w:spacing w:val="-15"/>
        </w:rPr>
        <w:t xml:space="preserve"> </w:t>
      </w:r>
      <w:r>
        <w:rPr>
          <w:color w:val="231F20"/>
        </w:rPr>
        <w:t>judgment</w:t>
      </w:r>
      <w:r>
        <w:rPr>
          <w:color w:val="231F20"/>
          <w:spacing w:val="-15"/>
        </w:rPr>
        <w:t xml:space="preserve"> </w:t>
      </w:r>
      <w:r>
        <w:rPr>
          <w:color w:val="231F20"/>
        </w:rPr>
        <w:t xml:space="preserve">rather than mechanical rule following“ (Greenhalgh et </w:t>
      </w:r>
      <w:r>
        <w:rPr>
          <w:color w:val="231F20"/>
          <w:spacing w:val="-3"/>
        </w:rPr>
        <w:t xml:space="preserve">al., </w:t>
      </w:r>
      <w:r>
        <w:rPr>
          <w:color w:val="231F20"/>
        </w:rPr>
        <w:t>2014). The rigid use of a cut-off may result in sub- optimal and even uneth</w:t>
      </w:r>
      <w:r>
        <w:rPr>
          <w:color w:val="231F20"/>
        </w:rPr>
        <w:t>ical judgment.</w:t>
      </w:r>
    </w:p>
    <w:p w:rsidR="00966BA7" w:rsidRDefault="00F255A2">
      <w:pPr>
        <w:pStyle w:val="BodyText"/>
        <w:spacing w:line="247" w:lineRule="auto"/>
        <w:ind w:left="170" w:right="41" w:firstLine="226"/>
        <w:jc w:val="both"/>
      </w:pPr>
      <w:r>
        <w:rPr>
          <w:color w:val="231F20"/>
        </w:rPr>
        <w:t>Nevertheless, instead of inflexibly using cut-offs both as a surrogate for clinical patient-centered decision making and as a generally applicable algorithm, a critical determination of cut-offs to</w:t>
      </w:r>
    </w:p>
    <w:p w:rsidR="00966BA7" w:rsidRDefault="00F255A2">
      <w:pPr>
        <w:pStyle w:val="BodyText"/>
        <w:spacing w:before="42" w:line="247" w:lineRule="auto"/>
        <w:ind w:left="170" w:right="109"/>
        <w:jc w:val="both"/>
      </w:pPr>
      <w:r>
        <w:br w:type="column"/>
      </w:r>
      <w:proofErr w:type="gramStart"/>
      <w:r>
        <w:rPr>
          <w:color w:val="231F20"/>
          <w:spacing w:val="2"/>
        </w:rPr>
        <w:lastRenderedPageBreak/>
        <w:t>provide</w:t>
      </w:r>
      <w:proofErr w:type="gramEnd"/>
      <w:r>
        <w:rPr>
          <w:color w:val="231F20"/>
          <w:spacing w:val="2"/>
        </w:rPr>
        <w:t xml:space="preserve"> risk stratification could </w:t>
      </w:r>
      <w:r>
        <w:rPr>
          <w:color w:val="231F20"/>
        </w:rPr>
        <w:t xml:space="preserve">be the </w:t>
      </w:r>
      <w:r>
        <w:rPr>
          <w:color w:val="231F20"/>
          <w:spacing w:val="2"/>
        </w:rPr>
        <w:t xml:space="preserve">“golden </w:t>
      </w:r>
      <w:r>
        <w:rPr>
          <w:color w:val="231F20"/>
        </w:rPr>
        <w:t>standard”</w:t>
      </w:r>
      <w:r>
        <w:rPr>
          <w:color w:val="231F20"/>
          <w:spacing w:val="-18"/>
        </w:rPr>
        <w:t xml:space="preserve"> </w:t>
      </w:r>
      <w:r>
        <w:rPr>
          <w:color w:val="231F20"/>
        </w:rPr>
        <w:t>in</w:t>
      </w:r>
      <w:r>
        <w:rPr>
          <w:color w:val="231F20"/>
          <w:spacing w:val="-18"/>
        </w:rPr>
        <w:t xml:space="preserve"> </w:t>
      </w:r>
      <w:r>
        <w:rPr>
          <w:color w:val="231F20"/>
        </w:rPr>
        <w:t>optimizing</w:t>
      </w:r>
      <w:r>
        <w:rPr>
          <w:color w:val="231F20"/>
          <w:spacing w:val="-18"/>
        </w:rPr>
        <w:t xml:space="preserve"> </w:t>
      </w:r>
      <w:r>
        <w:rPr>
          <w:color w:val="231F20"/>
        </w:rPr>
        <w:t>patient-centered</w:t>
      </w:r>
      <w:r>
        <w:rPr>
          <w:color w:val="231F20"/>
          <w:spacing w:val="-18"/>
        </w:rPr>
        <w:t xml:space="preserve"> </w:t>
      </w:r>
      <w:r>
        <w:rPr>
          <w:color w:val="231F20"/>
        </w:rPr>
        <w:t>health</w:t>
      </w:r>
      <w:r>
        <w:rPr>
          <w:color w:val="231F20"/>
          <w:spacing w:val="-18"/>
        </w:rPr>
        <w:t xml:space="preserve"> </w:t>
      </w:r>
      <w:r>
        <w:rPr>
          <w:color w:val="231F20"/>
        </w:rPr>
        <w:t>care. Selecting cut-offs may be dependent on clinician, center, local protocols or guidelines.</w:t>
      </w:r>
    </w:p>
    <w:p w:rsidR="00966BA7" w:rsidRDefault="00F255A2">
      <w:pPr>
        <w:pStyle w:val="BodyText"/>
        <w:spacing w:line="247" w:lineRule="auto"/>
        <w:ind w:left="170" w:right="106" w:firstLine="226"/>
        <w:jc w:val="both"/>
      </w:pPr>
      <w:r>
        <w:rPr>
          <w:color w:val="231F20"/>
        </w:rPr>
        <w:t xml:space="preserve">For example, consider defining a risk cut-off for the selection of patients with benign masses </w:t>
      </w:r>
      <w:r>
        <w:rPr>
          <w:color w:val="231F20"/>
          <w:spacing w:val="2"/>
        </w:rPr>
        <w:t xml:space="preserve">for </w:t>
      </w:r>
      <w:r>
        <w:rPr>
          <w:color w:val="231F20"/>
        </w:rPr>
        <w:t>expectant</w:t>
      </w:r>
      <w:r>
        <w:rPr>
          <w:color w:val="231F20"/>
          <w:spacing w:val="-16"/>
        </w:rPr>
        <w:t xml:space="preserve"> </w:t>
      </w:r>
      <w:r>
        <w:rPr>
          <w:color w:val="231F20"/>
        </w:rPr>
        <w:t>management.</w:t>
      </w:r>
      <w:r>
        <w:rPr>
          <w:color w:val="231F20"/>
          <w:spacing w:val="-15"/>
        </w:rPr>
        <w:t xml:space="preserve"> </w:t>
      </w:r>
      <w:r>
        <w:rPr>
          <w:color w:val="231F20"/>
        </w:rPr>
        <w:t>Some</w:t>
      </w:r>
      <w:r>
        <w:rPr>
          <w:color w:val="231F20"/>
          <w:spacing w:val="-16"/>
        </w:rPr>
        <w:t xml:space="preserve"> </w:t>
      </w:r>
      <w:r>
        <w:rPr>
          <w:color w:val="231F20"/>
        </w:rPr>
        <w:t>centers</w:t>
      </w:r>
      <w:r>
        <w:rPr>
          <w:color w:val="231F20"/>
          <w:spacing w:val="-15"/>
        </w:rPr>
        <w:t xml:space="preserve"> </w:t>
      </w:r>
      <w:r>
        <w:rPr>
          <w:color w:val="231F20"/>
        </w:rPr>
        <w:t>will</w:t>
      </w:r>
      <w:r>
        <w:rPr>
          <w:color w:val="231F20"/>
          <w:spacing w:val="-16"/>
        </w:rPr>
        <w:t xml:space="preserve"> </w:t>
      </w:r>
      <w:r>
        <w:rPr>
          <w:color w:val="231F20"/>
        </w:rPr>
        <w:t>prefer</w:t>
      </w:r>
      <w:r>
        <w:rPr>
          <w:color w:val="231F20"/>
          <w:spacing w:val="-15"/>
        </w:rPr>
        <w:t xml:space="preserve"> </w:t>
      </w:r>
      <w:r>
        <w:rPr>
          <w:color w:val="231F20"/>
        </w:rPr>
        <w:t>the risk</w:t>
      </w:r>
      <w:r>
        <w:rPr>
          <w:color w:val="231F20"/>
          <w:spacing w:val="-6"/>
        </w:rPr>
        <w:t xml:space="preserve"> </w:t>
      </w:r>
      <w:r>
        <w:rPr>
          <w:color w:val="231F20"/>
        </w:rPr>
        <w:t>to</w:t>
      </w:r>
      <w:r>
        <w:rPr>
          <w:color w:val="231F20"/>
          <w:spacing w:val="-4"/>
        </w:rPr>
        <w:t xml:space="preserve"> </w:t>
      </w:r>
      <w:r>
        <w:rPr>
          <w:color w:val="231F20"/>
        </w:rPr>
        <w:t>be</w:t>
      </w:r>
      <w:r>
        <w:rPr>
          <w:color w:val="231F20"/>
          <w:spacing w:val="-6"/>
        </w:rPr>
        <w:t xml:space="preserve"> </w:t>
      </w:r>
      <w:r>
        <w:rPr>
          <w:color w:val="231F20"/>
        </w:rPr>
        <w:t>below</w:t>
      </w:r>
      <w:r>
        <w:rPr>
          <w:color w:val="231F20"/>
          <w:spacing w:val="-5"/>
        </w:rPr>
        <w:t xml:space="preserve"> </w:t>
      </w:r>
      <w:r>
        <w:rPr>
          <w:color w:val="231F20"/>
        </w:rPr>
        <w:t>1%,</w:t>
      </w:r>
      <w:r>
        <w:rPr>
          <w:color w:val="231F20"/>
          <w:spacing w:val="-5"/>
        </w:rPr>
        <w:t xml:space="preserve"> </w:t>
      </w:r>
      <w:r>
        <w:rPr>
          <w:color w:val="231F20"/>
        </w:rPr>
        <w:t>while</w:t>
      </w:r>
      <w:r>
        <w:rPr>
          <w:color w:val="231F20"/>
          <w:spacing w:val="-6"/>
        </w:rPr>
        <w:t xml:space="preserve"> </w:t>
      </w:r>
      <w:r>
        <w:rPr>
          <w:color w:val="231F20"/>
        </w:rPr>
        <w:t>in</w:t>
      </w:r>
      <w:r>
        <w:rPr>
          <w:color w:val="231F20"/>
          <w:spacing w:val="-4"/>
        </w:rPr>
        <w:t xml:space="preserve"> </w:t>
      </w:r>
      <w:r>
        <w:rPr>
          <w:color w:val="231F20"/>
        </w:rPr>
        <w:t>other</w:t>
      </w:r>
      <w:r>
        <w:rPr>
          <w:color w:val="231F20"/>
          <w:spacing w:val="-6"/>
        </w:rPr>
        <w:t xml:space="preserve"> </w:t>
      </w:r>
      <w:r>
        <w:rPr>
          <w:color w:val="231F20"/>
        </w:rPr>
        <w:t>centers</w:t>
      </w:r>
      <w:r>
        <w:rPr>
          <w:color w:val="231F20"/>
          <w:spacing w:val="-5"/>
        </w:rPr>
        <w:t xml:space="preserve"> </w:t>
      </w:r>
      <w:r>
        <w:rPr>
          <w:color w:val="231F20"/>
        </w:rPr>
        <w:t>a</w:t>
      </w:r>
      <w:r>
        <w:rPr>
          <w:color w:val="231F20"/>
          <w:spacing w:val="-4"/>
        </w:rPr>
        <w:t xml:space="preserve"> </w:t>
      </w:r>
      <w:r>
        <w:rPr>
          <w:color w:val="231F20"/>
        </w:rPr>
        <w:t xml:space="preserve">cut-off of 5% may be chosen. On the other hand, referral to a tertiary oncology center for treatment of </w:t>
      </w:r>
      <w:r>
        <w:rPr>
          <w:color w:val="231F20"/>
          <w:spacing w:val="2"/>
        </w:rPr>
        <w:t xml:space="preserve">the </w:t>
      </w:r>
      <w:r>
        <w:rPr>
          <w:color w:val="231F20"/>
        </w:rPr>
        <w:t>most suspicious tumors by skilled gynecological onc</w:t>
      </w:r>
      <w:r>
        <w:rPr>
          <w:color w:val="231F20"/>
        </w:rPr>
        <w:t>ologists may be more or less restricted. For one center it may be most important to have a high sensitivity,</w:t>
      </w:r>
      <w:r>
        <w:rPr>
          <w:color w:val="231F20"/>
          <w:spacing w:val="-23"/>
        </w:rPr>
        <w:t xml:space="preserve"> </w:t>
      </w:r>
      <w:r>
        <w:rPr>
          <w:color w:val="231F20"/>
        </w:rPr>
        <w:t>by</w:t>
      </w:r>
      <w:r>
        <w:rPr>
          <w:color w:val="231F20"/>
          <w:spacing w:val="-23"/>
        </w:rPr>
        <w:t xml:space="preserve"> </w:t>
      </w:r>
      <w:r>
        <w:rPr>
          <w:color w:val="231F20"/>
        </w:rPr>
        <w:t>choosing</w:t>
      </w:r>
      <w:r>
        <w:rPr>
          <w:color w:val="231F20"/>
          <w:spacing w:val="-22"/>
        </w:rPr>
        <w:t xml:space="preserve"> </w:t>
      </w:r>
      <w:r>
        <w:rPr>
          <w:color w:val="231F20"/>
        </w:rPr>
        <w:t>a</w:t>
      </w:r>
      <w:r>
        <w:rPr>
          <w:color w:val="231F20"/>
          <w:spacing w:val="-23"/>
        </w:rPr>
        <w:t xml:space="preserve"> </w:t>
      </w:r>
      <w:r>
        <w:rPr>
          <w:color w:val="231F20"/>
        </w:rPr>
        <w:t>low</w:t>
      </w:r>
      <w:r>
        <w:rPr>
          <w:color w:val="231F20"/>
          <w:spacing w:val="-22"/>
        </w:rPr>
        <w:t xml:space="preserve"> </w:t>
      </w:r>
      <w:r>
        <w:rPr>
          <w:color w:val="231F20"/>
        </w:rPr>
        <w:t>cut-off</w:t>
      </w:r>
      <w:r>
        <w:rPr>
          <w:color w:val="231F20"/>
          <w:spacing w:val="-23"/>
        </w:rPr>
        <w:t xml:space="preserve"> </w:t>
      </w:r>
      <w:r>
        <w:rPr>
          <w:color w:val="231F20"/>
        </w:rPr>
        <w:t>for</w:t>
      </w:r>
      <w:r>
        <w:rPr>
          <w:color w:val="231F20"/>
          <w:spacing w:val="-22"/>
        </w:rPr>
        <w:t xml:space="preserve"> </w:t>
      </w:r>
      <w:r>
        <w:rPr>
          <w:color w:val="231F20"/>
        </w:rPr>
        <w:t>malignancy (e.g. 5-10%). This leads to the appropriate referral of</w:t>
      </w:r>
      <w:r>
        <w:rPr>
          <w:color w:val="231F20"/>
          <w:spacing w:val="-7"/>
        </w:rPr>
        <w:t xml:space="preserve"> </w:t>
      </w:r>
      <w:r>
        <w:rPr>
          <w:color w:val="231F20"/>
        </w:rPr>
        <w:t>most</w:t>
      </w:r>
      <w:r>
        <w:rPr>
          <w:color w:val="231F20"/>
          <w:spacing w:val="-7"/>
        </w:rPr>
        <w:t xml:space="preserve"> </w:t>
      </w:r>
      <w:r>
        <w:rPr>
          <w:color w:val="231F20"/>
        </w:rPr>
        <w:t>malignancies</w:t>
      </w:r>
      <w:r>
        <w:rPr>
          <w:color w:val="231F20"/>
          <w:spacing w:val="-7"/>
        </w:rPr>
        <w:t xml:space="preserve"> </w:t>
      </w:r>
      <w:r>
        <w:rPr>
          <w:color w:val="231F20"/>
        </w:rPr>
        <w:t>to</w:t>
      </w:r>
      <w:r>
        <w:rPr>
          <w:color w:val="231F20"/>
          <w:spacing w:val="-7"/>
        </w:rPr>
        <w:t xml:space="preserve"> </w:t>
      </w:r>
      <w:r>
        <w:rPr>
          <w:color w:val="231F20"/>
        </w:rPr>
        <w:t>a</w:t>
      </w:r>
      <w:r>
        <w:rPr>
          <w:color w:val="231F20"/>
          <w:spacing w:val="-7"/>
        </w:rPr>
        <w:t xml:space="preserve"> </w:t>
      </w:r>
      <w:r>
        <w:rPr>
          <w:color w:val="231F20"/>
        </w:rPr>
        <w:t>gynecological</w:t>
      </w:r>
      <w:r>
        <w:rPr>
          <w:color w:val="231F20"/>
          <w:spacing w:val="-8"/>
        </w:rPr>
        <w:t xml:space="preserve"> </w:t>
      </w:r>
      <w:r>
        <w:rPr>
          <w:color w:val="231F20"/>
        </w:rPr>
        <w:t>oncologist. F</w:t>
      </w:r>
      <w:r>
        <w:rPr>
          <w:color w:val="231F20"/>
        </w:rPr>
        <w:t>or</w:t>
      </w:r>
      <w:r>
        <w:rPr>
          <w:color w:val="231F20"/>
          <w:spacing w:val="-15"/>
        </w:rPr>
        <w:t xml:space="preserve"> </w:t>
      </w:r>
      <w:r>
        <w:rPr>
          <w:color w:val="231F20"/>
        </w:rPr>
        <w:t>another</w:t>
      </w:r>
      <w:r>
        <w:rPr>
          <w:color w:val="231F20"/>
          <w:spacing w:val="-14"/>
        </w:rPr>
        <w:t xml:space="preserve"> </w:t>
      </w:r>
      <w:r>
        <w:rPr>
          <w:color w:val="231F20"/>
        </w:rPr>
        <w:t>center,</w:t>
      </w:r>
      <w:r>
        <w:rPr>
          <w:color w:val="231F20"/>
          <w:spacing w:val="-13"/>
        </w:rPr>
        <w:t xml:space="preserve"> </w:t>
      </w:r>
      <w:r>
        <w:rPr>
          <w:color w:val="231F20"/>
        </w:rPr>
        <w:t>it</w:t>
      </w:r>
      <w:r>
        <w:rPr>
          <w:color w:val="231F20"/>
          <w:spacing w:val="-14"/>
        </w:rPr>
        <w:t xml:space="preserve"> </w:t>
      </w:r>
      <w:r>
        <w:rPr>
          <w:color w:val="231F20"/>
        </w:rPr>
        <w:t>may</w:t>
      </w:r>
      <w:r>
        <w:rPr>
          <w:color w:val="231F20"/>
          <w:spacing w:val="-14"/>
        </w:rPr>
        <w:t xml:space="preserve"> </w:t>
      </w:r>
      <w:r>
        <w:rPr>
          <w:color w:val="231F20"/>
        </w:rPr>
        <w:t>be</w:t>
      </w:r>
      <w:r>
        <w:rPr>
          <w:color w:val="231F20"/>
          <w:spacing w:val="-14"/>
        </w:rPr>
        <w:t xml:space="preserve"> </w:t>
      </w:r>
      <w:r>
        <w:rPr>
          <w:color w:val="231F20"/>
        </w:rPr>
        <w:t>more</w:t>
      </w:r>
      <w:r>
        <w:rPr>
          <w:color w:val="231F20"/>
          <w:spacing w:val="-14"/>
        </w:rPr>
        <w:t xml:space="preserve"> </w:t>
      </w:r>
      <w:r>
        <w:rPr>
          <w:color w:val="231F20"/>
        </w:rPr>
        <w:t>important</w:t>
      </w:r>
      <w:r>
        <w:rPr>
          <w:color w:val="231F20"/>
          <w:spacing w:val="-13"/>
        </w:rPr>
        <w:t xml:space="preserve"> </w:t>
      </w:r>
      <w:r>
        <w:rPr>
          <w:color w:val="231F20"/>
        </w:rPr>
        <w:t>to</w:t>
      </w:r>
      <w:r>
        <w:rPr>
          <w:color w:val="231F20"/>
          <w:spacing w:val="-14"/>
        </w:rPr>
        <w:t xml:space="preserve"> </w:t>
      </w:r>
      <w:r>
        <w:rPr>
          <w:color w:val="231F20"/>
        </w:rPr>
        <w:t xml:space="preserve">have a high specificity, by choosing a much higher cut- off value for malignancy (e.g. 30%). This </w:t>
      </w:r>
      <w:r>
        <w:rPr>
          <w:color w:val="231F20"/>
          <w:spacing w:val="2"/>
        </w:rPr>
        <w:t xml:space="preserve">limits </w:t>
      </w:r>
      <w:r>
        <w:rPr>
          <w:color w:val="231F20"/>
        </w:rPr>
        <w:t>the</w:t>
      </w:r>
      <w:r>
        <w:rPr>
          <w:color w:val="231F20"/>
          <w:spacing w:val="-15"/>
        </w:rPr>
        <w:t xml:space="preserve"> </w:t>
      </w:r>
      <w:r>
        <w:rPr>
          <w:color w:val="231F20"/>
        </w:rPr>
        <w:t>number</w:t>
      </w:r>
      <w:r>
        <w:rPr>
          <w:color w:val="231F20"/>
          <w:spacing w:val="-16"/>
        </w:rPr>
        <w:t xml:space="preserve"> </w:t>
      </w:r>
      <w:r>
        <w:rPr>
          <w:color w:val="231F20"/>
        </w:rPr>
        <w:t>of</w:t>
      </w:r>
      <w:r>
        <w:rPr>
          <w:color w:val="231F20"/>
          <w:spacing w:val="-16"/>
        </w:rPr>
        <w:t xml:space="preserve"> </w:t>
      </w:r>
      <w:r>
        <w:rPr>
          <w:color w:val="231F20"/>
        </w:rPr>
        <w:t>false</w:t>
      </w:r>
      <w:r>
        <w:rPr>
          <w:color w:val="231F20"/>
          <w:spacing w:val="-15"/>
        </w:rPr>
        <w:t xml:space="preserve"> </w:t>
      </w:r>
      <w:r>
        <w:rPr>
          <w:color w:val="231F20"/>
        </w:rPr>
        <w:t>positive</w:t>
      </w:r>
      <w:r>
        <w:rPr>
          <w:color w:val="231F20"/>
          <w:spacing w:val="-16"/>
        </w:rPr>
        <w:t xml:space="preserve"> </w:t>
      </w:r>
      <w:r>
        <w:rPr>
          <w:color w:val="231F20"/>
        </w:rPr>
        <w:t>results,</w:t>
      </w:r>
      <w:r>
        <w:rPr>
          <w:color w:val="231F20"/>
          <w:spacing w:val="-15"/>
        </w:rPr>
        <w:t xml:space="preserve"> </w:t>
      </w:r>
      <w:r>
        <w:rPr>
          <w:color w:val="231F20"/>
        </w:rPr>
        <w:t>i.e.</w:t>
      </w:r>
      <w:r>
        <w:rPr>
          <w:color w:val="231F20"/>
          <w:spacing w:val="-15"/>
        </w:rPr>
        <w:t xml:space="preserve"> </w:t>
      </w:r>
      <w:r>
        <w:rPr>
          <w:color w:val="231F20"/>
        </w:rPr>
        <w:t>patients</w:t>
      </w:r>
      <w:r>
        <w:rPr>
          <w:color w:val="231F20"/>
          <w:spacing w:val="-16"/>
        </w:rPr>
        <w:t xml:space="preserve"> </w:t>
      </w:r>
      <w:r>
        <w:rPr>
          <w:color w:val="231F20"/>
        </w:rPr>
        <w:t xml:space="preserve">with </w:t>
      </w:r>
      <w:r>
        <w:rPr>
          <w:color w:val="231F20"/>
          <w:spacing w:val="2"/>
        </w:rPr>
        <w:t xml:space="preserve">benign pathology that </w:t>
      </w:r>
      <w:r>
        <w:rPr>
          <w:color w:val="231F20"/>
        </w:rPr>
        <w:t xml:space="preserve">are </w:t>
      </w:r>
      <w:r>
        <w:rPr>
          <w:color w:val="231F20"/>
          <w:spacing w:val="2"/>
        </w:rPr>
        <w:t xml:space="preserve">referred </w:t>
      </w:r>
      <w:r>
        <w:rPr>
          <w:color w:val="231F20"/>
        </w:rPr>
        <w:t xml:space="preserve">to the </w:t>
      </w:r>
      <w:r>
        <w:rPr>
          <w:color w:val="231F20"/>
          <w:spacing w:val="2"/>
        </w:rPr>
        <w:t xml:space="preserve">gyne- </w:t>
      </w:r>
      <w:r>
        <w:rPr>
          <w:color w:val="231F20"/>
        </w:rPr>
        <w:t>cological oncologist. A wide spectrum of strategies could be encountered in different countries, with different health systems and referral</w:t>
      </w:r>
      <w:r>
        <w:rPr>
          <w:color w:val="231F20"/>
          <w:spacing w:val="-4"/>
        </w:rPr>
        <w:t xml:space="preserve"> </w:t>
      </w:r>
      <w:r>
        <w:rPr>
          <w:color w:val="231F20"/>
        </w:rPr>
        <w:t>protocols.</w:t>
      </w:r>
    </w:p>
    <w:p w:rsidR="00966BA7" w:rsidRDefault="00F255A2">
      <w:pPr>
        <w:pStyle w:val="BodyText"/>
        <w:spacing w:line="247" w:lineRule="auto"/>
        <w:ind w:left="170" w:right="105" w:firstLine="226"/>
        <w:jc w:val="both"/>
      </w:pPr>
      <w:r>
        <w:rPr>
          <w:color w:val="231F20"/>
        </w:rPr>
        <w:t>Furthermore, once these cut-offs have been chosen, they should be interpreted for each indi- vidual</w:t>
      </w:r>
      <w:r>
        <w:rPr>
          <w:color w:val="231F20"/>
        </w:rPr>
        <w:t xml:space="preserve"> patient depending on her characteristics (e.g. age, history, comorbidity, operability, symptoms, fertility wish) and values. We will try to illustrate this in the next sections.</w:t>
      </w:r>
    </w:p>
    <w:p w:rsidR="00966BA7" w:rsidRDefault="00966BA7">
      <w:pPr>
        <w:pStyle w:val="BodyText"/>
        <w:spacing w:before="2"/>
        <w:rPr>
          <w:sz w:val="21"/>
        </w:rPr>
      </w:pPr>
    </w:p>
    <w:p w:rsidR="00966BA7" w:rsidRDefault="00F255A2">
      <w:pPr>
        <w:spacing w:before="1"/>
        <w:ind w:left="170"/>
        <w:jc w:val="both"/>
        <w:rPr>
          <w:i/>
        </w:rPr>
      </w:pPr>
      <w:r>
        <w:rPr>
          <w:i/>
          <w:color w:val="231F20"/>
        </w:rPr>
        <w:t>Benign versus malignant</w:t>
      </w:r>
    </w:p>
    <w:p w:rsidR="00966BA7" w:rsidRDefault="00966BA7">
      <w:pPr>
        <w:pStyle w:val="BodyText"/>
        <w:spacing w:before="2"/>
        <w:rPr>
          <w:i/>
          <w:sz w:val="23"/>
        </w:rPr>
      </w:pPr>
    </w:p>
    <w:p w:rsidR="00966BA7" w:rsidRDefault="00F255A2">
      <w:pPr>
        <w:pStyle w:val="BodyText"/>
        <w:spacing w:line="247" w:lineRule="auto"/>
        <w:ind w:left="170" w:right="104"/>
        <w:jc w:val="both"/>
      </w:pPr>
      <w:r>
        <w:rPr>
          <w:color w:val="231F20"/>
        </w:rPr>
        <w:t>When</w:t>
      </w:r>
      <w:r>
        <w:rPr>
          <w:color w:val="231F20"/>
          <w:spacing w:val="-15"/>
        </w:rPr>
        <w:t xml:space="preserve"> </w:t>
      </w:r>
      <w:r>
        <w:rPr>
          <w:color w:val="231F20"/>
        </w:rPr>
        <w:t>applying</w:t>
      </w:r>
      <w:r>
        <w:rPr>
          <w:color w:val="231F20"/>
          <w:spacing w:val="-14"/>
        </w:rPr>
        <w:t xml:space="preserve"> </w:t>
      </w:r>
      <w:r>
        <w:rPr>
          <w:color w:val="231F20"/>
        </w:rPr>
        <w:t>the</w:t>
      </w:r>
      <w:r>
        <w:rPr>
          <w:color w:val="231F20"/>
          <w:spacing w:val="-14"/>
        </w:rPr>
        <w:t xml:space="preserve"> </w:t>
      </w:r>
      <w:r>
        <w:rPr>
          <w:color w:val="231F20"/>
        </w:rPr>
        <w:t>ADNEX</w:t>
      </w:r>
      <w:r>
        <w:rPr>
          <w:color w:val="231F20"/>
          <w:spacing w:val="-15"/>
        </w:rPr>
        <w:t xml:space="preserve"> </w:t>
      </w:r>
      <w:r>
        <w:rPr>
          <w:color w:val="231F20"/>
        </w:rPr>
        <w:t>model</w:t>
      </w:r>
      <w:r>
        <w:rPr>
          <w:color w:val="231F20"/>
          <w:spacing w:val="-14"/>
        </w:rPr>
        <w:t xml:space="preserve"> </w:t>
      </w:r>
      <w:r>
        <w:rPr>
          <w:color w:val="231F20"/>
        </w:rPr>
        <w:t>for</w:t>
      </w:r>
      <w:r>
        <w:rPr>
          <w:color w:val="231F20"/>
          <w:spacing w:val="-14"/>
        </w:rPr>
        <w:t xml:space="preserve"> </w:t>
      </w:r>
      <w:r>
        <w:rPr>
          <w:color w:val="231F20"/>
        </w:rPr>
        <w:t>an</w:t>
      </w:r>
      <w:r>
        <w:rPr>
          <w:color w:val="231F20"/>
          <w:spacing w:val="-15"/>
        </w:rPr>
        <w:t xml:space="preserve"> </w:t>
      </w:r>
      <w:r>
        <w:rPr>
          <w:color w:val="231F20"/>
        </w:rPr>
        <w:t>individual pat</w:t>
      </w:r>
      <w:r>
        <w:rPr>
          <w:color w:val="231F20"/>
        </w:rPr>
        <w:t>ient,</w:t>
      </w:r>
      <w:r>
        <w:rPr>
          <w:color w:val="231F20"/>
          <w:spacing w:val="-14"/>
        </w:rPr>
        <w:t xml:space="preserve"> </w:t>
      </w:r>
      <w:r>
        <w:rPr>
          <w:color w:val="231F20"/>
        </w:rPr>
        <w:t>probabilities</w:t>
      </w:r>
      <w:r>
        <w:rPr>
          <w:color w:val="231F20"/>
          <w:spacing w:val="-13"/>
        </w:rPr>
        <w:t xml:space="preserve"> </w:t>
      </w:r>
      <w:r>
        <w:rPr>
          <w:color w:val="231F20"/>
        </w:rPr>
        <w:t>for</w:t>
      </w:r>
      <w:r>
        <w:rPr>
          <w:color w:val="231F20"/>
          <w:spacing w:val="-13"/>
        </w:rPr>
        <w:t xml:space="preserve"> </w:t>
      </w:r>
      <w:r>
        <w:rPr>
          <w:color w:val="231F20"/>
        </w:rPr>
        <w:t>a</w:t>
      </w:r>
      <w:r>
        <w:rPr>
          <w:color w:val="231F20"/>
          <w:spacing w:val="-13"/>
        </w:rPr>
        <w:t xml:space="preserve"> </w:t>
      </w:r>
      <w:r>
        <w:rPr>
          <w:color w:val="231F20"/>
        </w:rPr>
        <w:t>benign</w:t>
      </w:r>
      <w:r>
        <w:rPr>
          <w:color w:val="231F20"/>
          <w:spacing w:val="-13"/>
        </w:rPr>
        <w:t xml:space="preserve"> </w:t>
      </w:r>
      <w:r>
        <w:rPr>
          <w:color w:val="231F20"/>
        </w:rPr>
        <w:t>tumor</w:t>
      </w:r>
      <w:r>
        <w:rPr>
          <w:color w:val="231F20"/>
          <w:spacing w:val="-14"/>
        </w:rPr>
        <w:t xml:space="preserve"> </w:t>
      </w:r>
      <w:r>
        <w:rPr>
          <w:color w:val="231F20"/>
        </w:rPr>
        <w:t>and</w:t>
      </w:r>
      <w:r>
        <w:rPr>
          <w:color w:val="231F20"/>
          <w:spacing w:val="-13"/>
        </w:rPr>
        <w:t xml:space="preserve"> </w:t>
      </w:r>
      <w:r>
        <w:rPr>
          <w:color w:val="231F20"/>
        </w:rPr>
        <w:t>for</w:t>
      </w:r>
      <w:r>
        <w:rPr>
          <w:color w:val="231F20"/>
          <w:spacing w:val="-13"/>
        </w:rPr>
        <w:t xml:space="preserve"> </w:t>
      </w:r>
      <w:r>
        <w:rPr>
          <w:color w:val="231F20"/>
        </w:rPr>
        <w:t xml:space="preserve">four </w:t>
      </w:r>
      <w:r>
        <w:rPr>
          <w:color w:val="231F20"/>
          <w:spacing w:val="3"/>
        </w:rPr>
        <w:t xml:space="preserve">types </w:t>
      </w:r>
      <w:r>
        <w:rPr>
          <w:color w:val="231F20"/>
        </w:rPr>
        <w:t xml:space="preserve">of </w:t>
      </w:r>
      <w:r>
        <w:rPr>
          <w:color w:val="231F20"/>
          <w:spacing w:val="3"/>
        </w:rPr>
        <w:t xml:space="preserve">malignant tumors </w:t>
      </w:r>
      <w:r>
        <w:rPr>
          <w:color w:val="231F20"/>
          <w:spacing w:val="2"/>
        </w:rPr>
        <w:t xml:space="preserve">are </w:t>
      </w:r>
      <w:r>
        <w:rPr>
          <w:color w:val="231F20"/>
          <w:spacing w:val="3"/>
        </w:rPr>
        <w:t xml:space="preserve">obtained. </w:t>
      </w:r>
      <w:r>
        <w:rPr>
          <w:color w:val="231F20"/>
          <w:spacing w:val="4"/>
        </w:rPr>
        <w:t xml:space="preserve">When </w:t>
      </w:r>
      <w:r>
        <w:rPr>
          <w:color w:val="231F20"/>
        </w:rPr>
        <w:t>summing</w:t>
      </w:r>
      <w:r>
        <w:rPr>
          <w:color w:val="231F20"/>
          <w:spacing w:val="-14"/>
        </w:rPr>
        <w:t xml:space="preserve"> </w:t>
      </w:r>
      <w:r>
        <w:rPr>
          <w:color w:val="231F20"/>
        </w:rPr>
        <w:t>the</w:t>
      </w:r>
      <w:r>
        <w:rPr>
          <w:color w:val="231F20"/>
          <w:spacing w:val="-13"/>
        </w:rPr>
        <w:t xml:space="preserve"> </w:t>
      </w:r>
      <w:r>
        <w:rPr>
          <w:color w:val="231F20"/>
        </w:rPr>
        <w:t>latter</w:t>
      </w:r>
      <w:r>
        <w:rPr>
          <w:color w:val="231F20"/>
          <w:spacing w:val="-13"/>
        </w:rPr>
        <w:t xml:space="preserve"> </w:t>
      </w:r>
      <w:r>
        <w:rPr>
          <w:color w:val="231F20"/>
        </w:rPr>
        <w:t>four,</w:t>
      </w:r>
      <w:r>
        <w:rPr>
          <w:color w:val="231F20"/>
          <w:spacing w:val="-13"/>
        </w:rPr>
        <w:t xml:space="preserve"> </w:t>
      </w:r>
      <w:r>
        <w:rPr>
          <w:color w:val="231F20"/>
        </w:rPr>
        <w:t>the</w:t>
      </w:r>
      <w:r>
        <w:rPr>
          <w:color w:val="231F20"/>
          <w:spacing w:val="-13"/>
        </w:rPr>
        <w:t xml:space="preserve"> </w:t>
      </w:r>
      <w:r>
        <w:rPr>
          <w:color w:val="231F20"/>
        </w:rPr>
        <w:t>overall</w:t>
      </w:r>
      <w:r>
        <w:rPr>
          <w:color w:val="231F20"/>
          <w:spacing w:val="-14"/>
        </w:rPr>
        <w:t xml:space="preserve"> </w:t>
      </w:r>
      <w:r>
        <w:rPr>
          <w:color w:val="231F20"/>
        </w:rPr>
        <w:t>predicted</w:t>
      </w:r>
      <w:r>
        <w:rPr>
          <w:color w:val="231F20"/>
          <w:spacing w:val="-13"/>
        </w:rPr>
        <w:t xml:space="preserve"> </w:t>
      </w:r>
      <w:r>
        <w:rPr>
          <w:color w:val="231F20"/>
        </w:rPr>
        <w:t>risk</w:t>
      </w:r>
      <w:r>
        <w:rPr>
          <w:color w:val="231F20"/>
          <w:spacing w:val="-13"/>
        </w:rPr>
        <w:t xml:space="preserve"> </w:t>
      </w:r>
      <w:r>
        <w:rPr>
          <w:color w:val="231F20"/>
        </w:rPr>
        <w:t xml:space="preserve">of malignancy is obtained. As described above, </w:t>
      </w:r>
      <w:r>
        <w:rPr>
          <w:color w:val="231F20"/>
          <w:spacing w:val="2"/>
        </w:rPr>
        <w:t xml:space="preserve">the </w:t>
      </w:r>
      <w:r>
        <w:rPr>
          <w:color w:val="231F20"/>
        </w:rPr>
        <w:t xml:space="preserve">ADNEX model seems to discriminate at least as well between benign and malignant adnexal lesions as the simple rules or LR2. Note that future studies comparing ADNEX with other prediction models still have to confirm this finding. A center-specific cut-off </w:t>
      </w:r>
      <w:r>
        <w:rPr>
          <w:color w:val="231F20"/>
        </w:rPr>
        <w:t>value for relative risk stratification could be chosen</w:t>
      </w:r>
      <w:r>
        <w:rPr>
          <w:color w:val="231F20"/>
          <w:spacing w:val="-8"/>
        </w:rPr>
        <w:t xml:space="preserve"> </w:t>
      </w:r>
      <w:r>
        <w:rPr>
          <w:color w:val="231F20"/>
        </w:rPr>
        <w:t>for</w:t>
      </w:r>
      <w:r>
        <w:rPr>
          <w:color w:val="231F20"/>
          <w:spacing w:val="-7"/>
        </w:rPr>
        <w:t xml:space="preserve"> </w:t>
      </w:r>
      <w:r>
        <w:rPr>
          <w:color w:val="231F20"/>
        </w:rPr>
        <w:t>clinical</w:t>
      </w:r>
      <w:r>
        <w:rPr>
          <w:color w:val="231F20"/>
          <w:spacing w:val="-7"/>
        </w:rPr>
        <w:t xml:space="preserve"> </w:t>
      </w:r>
      <w:r>
        <w:rPr>
          <w:color w:val="231F20"/>
        </w:rPr>
        <w:t>management.</w:t>
      </w:r>
      <w:r>
        <w:rPr>
          <w:color w:val="231F20"/>
          <w:spacing w:val="-7"/>
        </w:rPr>
        <w:t xml:space="preserve"> </w:t>
      </w:r>
      <w:r>
        <w:rPr>
          <w:color w:val="231F20"/>
        </w:rPr>
        <w:t>When</w:t>
      </w:r>
      <w:r>
        <w:rPr>
          <w:color w:val="231F20"/>
          <w:spacing w:val="-7"/>
        </w:rPr>
        <w:t xml:space="preserve"> </w:t>
      </w:r>
      <w:r>
        <w:rPr>
          <w:color w:val="231F20"/>
        </w:rPr>
        <w:t>the</w:t>
      </w:r>
      <w:r>
        <w:rPr>
          <w:color w:val="231F20"/>
          <w:spacing w:val="-7"/>
        </w:rPr>
        <w:t xml:space="preserve"> </w:t>
      </w:r>
      <w:r>
        <w:rPr>
          <w:color w:val="231F20"/>
        </w:rPr>
        <w:t xml:space="preserve">patient’s risk is situated below the cut-off value, the mass can be considered as benign. Taking into account </w:t>
      </w:r>
      <w:r>
        <w:rPr>
          <w:color w:val="231F20"/>
          <w:spacing w:val="2"/>
        </w:rPr>
        <w:t xml:space="preserve">the patient’s values and symptomatology, </w:t>
      </w:r>
      <w:r>
        <w:rPr>
          <w:color w:val="231F20"/>
          <w:spacing w:val="3"/>
        </w:rPr>
        <w:t xml:space="preserve">con- </w:t>
      </w:r>
      <w:r>
        <w:rPr>
          <w:color w:val="231F20"/>
          <w:spacing w:val="2"/>
        </w:rPr>
        <w:t>servative f</w:t>
      </w:r>
      <w:r>
        <w:rPr>
          <w:color w:val="231F20"/>
          <w:spacing w:val="2"/>
        </w:rPr>
        <w:t xml:space="preserve">ollow-up </w:t>
      </w:r>
      <w:r>
        <w:rPr>
          <w:color w:val="231F20"/>
        </w:rPr>
        <w:t xml:space="preserve">or </w:t>
      </w:r>
      <w:proofErr w:type="gramStart"/>
      <w:r>
        <w:rPr>
          <w:color w:val="231F20"/>
          <w:spacing w:val="2"/>
        </w:rPr>
        <w:t xml:space="preserve">laparoscopic  </w:t>
      </w:r>
      <w:r>
        <w:rPr>
          <w:color w:val="231F20"/>
          <w:spacing w:val="3"/>
        </w:rPr>
        <w:t>cystectomy</w:t>
      </w:r>
      <w:proofErr w:type="gramEnd"/>
      <w:r>
        <w:rPr>
          <w:color w:val="231F20"/>
          <w:spacing w:val="3"/>
        </w:rPr>
        <w:t xml:space="preserve"> </w:t>
      </w:r>
      <w:r>
        <w:rPr>
          <w:color w:val="231F20"/>
        </w:rPr>
        <w:t xml:space="preserve">or adnexectomy may be appropriate. Above the </w:t>
      </w:r>
      <w:r>
        <w:rPr>
          <w:color w:val="231F20"/>
          <w:spacing w:val="3"/>
        </w:rPr>
        <w:t xml:space="preserve">cut-off, </w:t>
      </w:r>
      <w:r>
        <w:rPr>
          <w:color w:val="231F20"/>
          <w:spacing w:val="2"/>
        </w:rPr>
        <w:t xml:space="preserve">the </w:t>
      </w:r>
      <w:r>
        <w:rPr>
          <w:color w:val="231F20"/>
          <w:spacing w:val="3"/>
        </w:rPr>
        <w:t xml:space="preserve">adnexal lesion </w:t>
      </w:r>
      <w:r>
        <w:rPr>
          <w:color w:val="231F20"/>
          <w:spacing w:val="2"/>
        </w:rPr>
        <w:t xml:space="preserve">may </w:t>
      </w:r>
      <w:r>
        <w:rPr>
          <w:color w:val="231F20"/>
        </w:rPr>
        <w:t xml:space="preserve">be </w:t>
      </w:r>
      <w:r>
        <w:rPr>
          <w:color w:val="231F20"/>
          <w:spacing w:val="4"/>
        </w:rPr>
        <w:t xml:space="preserve">considered </w:t>
      </w:r>
      <w:r>
        <w:rPr>
          <w:color w:val="231F20"/>
        </w:rPr>
        <w:t xml:space="preserve">suspicious enough for referral to a gynecological oncologist for appropriate treatment. In this second </w:t>
      </w:r>
      <w:r>
        <w:rPr>
          <w:color w:val="231F20"/>
          <w:spacing w:val="3"/>
        </w:rPr>
        <w:t>step, differential diagno</w:t>
      </w:r>
      <w:r>
        <w:rPr>
          <w:color w:val="231F20"/>
          <w:spacing w:val="3"/>
        </w:rPr>
        <w:t xml:space="preserve">sis </w:t>
      </w:r>
      <w:r>
        <w:rPr>
          <w:color w:val="231F20"/>
        </w:rPr>
        <w:t xml:space="preserve">of </w:t>
      </w:r>
      <w:r>
        <w:rPr>
          <w:color w:val="231F20"/>
          <w:spacing w:val="2"/>
        </w:rPr>
        <w:t xml:space="preserve">the </w:t>
      </w:r>
      <w:r>
        <w:rPr>
          <w:color w:val="231F20"/>
          <w:spacing w:val="3"/>
        </w:rPr>
        <w:t xml:space="preserve">mass </w:t>
      </w:r>
      <w:r>
        <w:rPr>
          <w:color w:val="231F20"/>
        </w:rPr>
        <w:t xml:space="preserve">by </w:t>
      </w:r>
      <w:r>
        <w:rPr>
          <w:color w:val="231F20"/>
          <w:spacing w:val="4"/>
        </w:rPr>
        <w:t xml:space="preserve">the </w:t>
      </w:r>
      <w:r>
        <w:rPr>
          <w:color w:val="231F20"/>
        </w:rPr>
        <w:t>ADNEX model may help to optimize management (See 3.3).</w:t>
      </w:r>
    </w:p>
    <w:p w:rsidR="00966BA7" w:rsidRDefault="00966BA7">
      <w:pPr>
        <w:spacing w:line="247" w:lineRule="auto"/>
        <w:jc w:val="both"/>
        <w:sectPr w:rsidR="00966BA7">
          <w:pgSz w:w="11910" w:h="16840"/>
          <w:pgMar w:top="900" w:right="1020" w:bottom="720" w:left="1020" w:header="0" w:footer="537" w:gutter="0"/>
          <w:cols w:num="2" w:space="720" w:equalWidth="0">
            <w:col w:w="4756" w:space="289"/>
            <w:col w:w="4825"/>
          </w:cols>
        </w:sectPr>
      </w:pPr>
    </w:p>
    <w:p w:rsidR="00966BA7" w:rsidRDefault="00F255A2">
      <w:pPr>
        <w:pStyle w:val="BodyText"/>
        <w:spacing w:before="42" w:line="247" w:lineRule="auto"/>
        <w:ind w:left="113" w:right="42" w:firstLine="226"/>
        <w:jc w:val="both"/>
      </w:pPr>
      <w:r>
        <w:rPr>
          <w:color w:val="231F20"/>
        </w:rPr>
        <w:lastRenderedPageBreak/>
        <w:t>Note that the model is based on patients selected for surgery, with histopathological examination as standard reference. These patients in fact all h</w:t>
      </w:r>
      <w:r>
        <w:rPr>
          <w:color w:val="231F20"/>
        </w:rPr>
        <w:t>ad an indication for surgical intervention. This implies that the population on which the model was developed and validated is at higher risk than a population that includes patients who are selected for expectant management. This means that below the cut-</w:t>
      </w:r>
      <w:r>
        <w:rPr>
          <w:color w:val="231F20"/>
        </w:rPr>
        <w:t>off, the true risk of being malignant is expected to be even lower.</w:t>
      </w:r>
    </w:p>
    <w:p w:rsidR="00966BA7" w:rsidRDefault="00F255A2">
      <w:pPr>
        <w:pStyle w:val="BodyText"/>
        <w:spacing w:line="247" w:lineRule="auto"/>
        <w:ind w:left="113" w:right="42" w:firstLine="227"/>
        <w:jc w:val="both"/>
      </w:pPr>
      <w:r>
        <w:rPr>
          <w:color w:val="231F20"/>
        </w:rPr>
        <w:t xml:space="preserve">In the future, once the model can be </w:t>
      </w:r>
      <w:proofErr w:type="gramStart"/>
      <w:r>
        <w:rPr>
          <w:color w:val="231F20"/>
        </w:rPr>
        <w:t>validated  on</w:t>
      </w:r>
      <w:proofErr w:type="gramEnd"/>
      <w:r>
        <w:rPr>
          <w:color w:val="231F20"/>
        </w:rPr>
        <w:t xml:space="preserve"> populations including patients that are</w:t>
      </w:r>
      <w:r>
        <w:rPr>
          <w:color w:val="231F20"/>
          <w:spacing w:val="-13"/>
        </w:rPr>
        <w:t xml:space="preserve"> </w:t>
      </w:r>
      <w:r>
        <w:rPr>
          <w:color w:val="231F20"/>
        </w:rPr>
        <w:t xml:space="preserve">conserva- </w:t>
      </w:r>
      <w:r>
        <w:rPr>
          <w:color w:val="231F20"/>
          <w:spacing w:val="4"/>
        </w:rPr>
        <w:t xml:space="preserve">tively followed </w:t>
      </w:r>
      <w:r>
        <w:rPr>
          <w:color w:val="231F20"/>
          <w:spacing w:val="3"/>
        </w:rPr>
        <w:t xml:space="preserve">(as </w:t>
      </w:r>
      <w:r>
        <w:rPr>
          <w:color w:val="231F20"/>
          <w:spacing w:val="2"/>
        </w:rPr>
        <w:t xml:space="preserve">in </w:t>
      </w:r>
      <w:r>
        <w:rPr>
          <w:color w:val="231F20"/>
          <w:spacing w:val="3"/>
        </w:rPr>
        <w:t xml:space="preserve">IOTA </w:t>
      </w:r>
      <w:r>
        <w:rPr>
          <w:color w:val="231F20"/>
          <w:spacing w:val="4"/>
        </w:rPr>
        <w:t xml:space="preserve">phase </w:t>
      </w:r>
      <w:r>
        <w:rPr>
          <w:color w:val="231F20"/>
          <w:spacing w:val="3"/>
        </w:rPr>
        <w:t xml:space="preserve">5), </w:t>
      </w:r>
      <w:r>
        <w:rPr>
          <w:color w:val="231F20"/>
          <w:spacing w:val="4"/>
        </w:rPr>
        <w:t xml:space="preserve">better discrimination between benign </w:t>
      </w:r>
      <w:r>
        <w:rPr>
          <w:color w:val="231F20"/>
          <w:spacing w:val="3"/>
        </w:rPr>
        <w:t xml:space="preserve">and </w:t>
      </w:r>
      <w:r>
        <w:rPr>
          <w:color w:val="231F20"/>
          <w:spacing w:val="4"/>
        </w:rPr>
        <w:t xml:space="preserve">malignant </w:t>
      </w:r>
      <w:r>
        <w:rPr>
          <w:color w:val="231F20"/>
        </w:rPr>
        <w:t>tumors can probably be reached.</w:t>
      </w:r>
    </w:p>
    <w:p w:rsidR="00966BA7" w:rsidRDefault="00966BA7">
      <w:pPr>
        <w:pStyle w:val="BodyText"/>
        <w:spacing w:before="10"/>
        <w:rPr>
          <w:sz w:val="21"/>
        </w:rPr>
      </w:pPr>
    </w:p>
    <w:p w:rsidR="00966BA7" w:rsidRDefault="00F255A2">
      <w:pPr>
        <w:spacing w:line="247" w:lineRule="auto"/>
        <w:ind w:left="113" w:right="48"/>
        <w:jc w:val="both"/>
        <w:rPr>
          <w:i/>
        </w:rPr>
      </w:pPr>
      <w:r>
        <w:rPr>
          <w:i/>
          <w:color w:val="231F20"/>
        </w:rPr>
        <w:t>Differential diagnosis of malignancy: absolute risk versus relative change in risk</w:t>
      </w:r>
    </w:p>
    <w:p w:rsidR="00966BA7" w:rsidRDefault="00966BA7">
      <w:pPr>
        <w:pStyle w:val="BodyText"/>
        <w:spacing w:before="6"/>
        <w:rPr>
          <w:i/>
        </w:rPr>
      </w:pPr>
    </w:p>
    <w:p w:rsidR="00966BA7" w:rsidRDefault="00F255A2">
      <w:pPr>
        <w:pStyle w:val="BodyText"/>
        <w:spacing w:line="247" w:lineRule="auto"/>
        <w:ind w:left="113" w:right="38"/>
        <w:jc w:val="both"/>
      </w:pPr>
      <w:r>
        <w:rPr>
          <w:color w:val="231F20"/>
          <w:spacing w:val="4"/>
        </w:rPr>
        <w:t xml:space="preserve">The ADNEX model </w:t>
      </w:r>
      <w:r>
        <w:rPr>
          <w:color w:val="231F20"/>
          <w:spacing w:val="5"/>
        </w:rPr>
        <w:t xml:space="preserve">calculates absolute </w:t>
      </w:r>
      <w:r>
        <w:rPr>
          <w:color w:val="231F20"/>
          <w:spacing w:val="6"/>
        </w:rPr>
        <w:t xml:space="preserve">risk </w:t>
      </w:r>
      <w:r>
        <w:rPr>
          <w:color w:val="231F20"/>
        </w:rPr>
        <w:t>estimates for four types of malignant tumors.</w:t>
      </w:r>
      <w:r>
        <w:rPr>
          <w:color w:val="231F20"/>
          <w:spacing w:val="-14"/>
        </w:rPr>
        <w:t xml:space="preserve"> </w:t>
      </w:r>
      <w:r>
        <w:rPr>
          <w:color w:val="231F20"/>
        </w:rPr>
        <w:t xml:space="preserve">These </w:t>
      </w:r>
      <w:r>
        <w:rPr>
          <w:color w:val="231F20"/>
          <w:spacing w:val="2"/>
        </w:rPr>
        <w:t xml:space="preserve">predicted risks </w:t>
      </w:r>
      <w:r>
        <w:rPr>
          <w:color w:val="231F20"/>
        </w:rPr>
        <w:t xml:space="preserve">for a </w:t>
      </w:r>
      <w:r>
        <w:rPr>
          <w:color w:val="231F20"/>
          <w:spacing w:val="2"/>
        </w:rPr>
        <w:t xml:space="preserve">specific patient </w:t>
      </w:r>
      <w:r>
        <w:rPr>
          <w:color w:val="231F20"/>
        </w:rPr>
        <w:t xml:space="preserve">can be </w:t>
      </w:r>
      <w:r>
        <w:rPr>
          <w:color w:val="231F20"/>
          <w:spacing w:val="3"/>
        </w:rPr>
        <w:t xml:space="preserve">an </w:t>
      </w:r>
      <w:r>
        <w:rPr>
          <w:color w:val="231F20"/>
        </w:rPr>
        <w:t xml:space="preserve">important result on which to base clinical mana- gement. Of the four groups of malignant tumors, especially the secondary metastases to the ovaries and the borderline malignant ovarian tumors are of </w:t>
      </w:r>
      <w:r>
        <w:rPr>
          <w:color w:val="231F20"/>
          <w:spacing w:val="5"/>
        </w:rPr>
        <w:t xml:space="preserve">particular interest </w:t>
      </w:r>
      <w:r>
        <w:rPr>
          <w:color w:val="231F20"/>
          <w:spacing w:val="3"/>
        </w:rPr>
        <w:t xml:space="preserve">to </w:t>
      </w:r>
      <w:r>
        <w:rPr>
          <w:color w:val="231F20"/>
          <w:spacing w:val="5"/>
        </w:rPr>
        <w:t>identif</w:t>
      </w:r>
      <w:r>
        <w:rPr>
          <w:color w:val="231F20"/>
          <w:spacing w:val="5"/>
        </w:rPr>
        <w:t xml:space="preserve">y preoperatively. </w:t>
      </w:r>
      <w:r>
        <w:rPr>
          <w:color w:val="231F20"/>
        </w:rPr>
        <w:t xml:space="preserve">However, due to the low prevalence of most malig- nant outcome categories, predicted risks for these </w:t>
      </w:r>
      <w:r>
        <w:rPr>
          <w:color w:val="231F20"/>
          <w:spacing w:val="2"/>
        </w:rPr>
        <w:t xml:space="preserve">categories will </w:t>
      </w:r>
      <w:r>
        <w:rPr>
          <w:color w:val="231F20"/>
        </w:rPr>
        <w:t xml:space="preserve">not </w:t>
      </w:r>
      <w:r>
        <w:rPr>
          <w:color w:val="231F20"/>
          <w:spacing w:val="2"/>
        </w:rPr>
        <w:t xml:space="preserve">always </w:t>
      </w:r>
      <w:r>
        <w:rPr>
          <w:color w:val="231F20"/>
        </w:rPr>
        <w:t xml:space="preserve">be </w:t>
      </w:r>
      <w:r>
        <w:rPr>
          <w:color w:val="231F20"/>
          <w:spacing w:val="2"/>
        </w:rPr>
        <w:t xml:space="preserve">very high. </w:t>
      </w:r>
      <w:r>
        <w:rPr>
          <w:color w:val="231F20"/>
        </w:rPr>
        <w:t xml:space="preserve">As </w:t>
      </w:r>
      <w:r>
        <w:rPr>
          <w:color w:val="231F20"/>
          <w:spacing w:val="3"/>
        </w:rPr>
        <w:t xml:space="preserve">an </w:t>
      </w:r>
      <w:r>
        <w:rPr>
          <w:color w:val="231F20"/>
        </w:rPr>
        <w:t>example,</w:t>
      </w:r>
      <w:r>
        <w:rPr>
          <w:color w:val="231F20"/>
          <w:spacing w:val="-15"/>
        </w:rPr>
        <w:t xml:space="preserve"> </w:t>
      </w:r>
      <w:r>
        <w:rPr>
          <w:color w:val="231F20"/>
        </w:rPr>
        <w:t>secondary</w:t>
      </w:r>
      <w:r>
        <w:rPr>
          <w:color w:val="231F20"/>
          <w:spacing w:val="-15"/>
        </w:rPr>
        <w:t xml:space="preserve"> </w:t>
      </w:r>
      <w:r>
        <w:rPr>
          <w:color w:val="231F20"/>
        </w:rPr>
        <w:t>metastatic</w:t>
      </w:r>
      <w:r>
        <w:rPr>
          <w:color w:val="231F20"/>
          <w:spacing w:val="-14"/>
        </w:rPr>
        <w:t xml:space="preserve"> </w:t>
      </w:r>
      <w:r>
        <w:rPr>
          <w:color w:val="231F20"/>
        </w:rPr>
        <w:t>cancer</w:t>
      </w:r>
      <w:r>
        <w:rPr>
          <w:color w:val="231F20"/>
          <w:spacing w:val="-15"/>
        </w:rPr>
        <w:t xml:space="preserve"> </w:t>
      </w:r>
      <w:r>
        <w:rPr>
          <w:color w:val="231F20"/>
        </w:rPr>
        <w:t>has</w:t>
      </w:r>
      <w:r>
        <w:rPr>
          <w:color w:val="231F20"/>
          <w:spacing w:val="-15"/>
        </w:rPr>
        <w:t xml:space="preserve"> </w:t>
      </w:r>
      <w:r>
        <w:rPr>
          <w:color w:val="231F20"/>
        </w:rPr>
        <w:t>a</w:t>
      </w:r>
      <w:r>
        <w:rPr>
          <w:color w:val="231F20"/>
          <w:spacing w:val="-14"/>
        </w:rPr>
        <w:t xml:space="preserve"> </w:t>
      </w:r>
      <w:r>
        <w:rPr>
          <w:color w:val="231F20"/>
        </w:rPr>
        <w:t>baseline risk of only 4% (Table I). Hence it is</w:t>
      </w:r>
      <w:r>
        <w:rPr>
          <w:color w:val="231F20"/>
        </w:rPr>
        <w:t xml:space="preserve"> more difficult to</w:t>
      </w:r>
      <w:r>
        <w:rPr>
          <w:color w:val="231F20"/>
          <w:spacing w:val="-22"/>
        </w:rPr>
        <w:t xml:space="preserve"> </w:t>
      </w:r>
      <w:r>
        <w:rPr>
          <w:color w:val="231F20"/>
        </w:rPr>
        <w:t>observe</w:t>
      </w:r>
      <w:r>
        <w:rPr>
          <w:color w:val="231F20"/>
          <w:spacing w:val="-22"/>
        </w:rPr>
        <w:t xml:space="preserve"> </w:t>
      </w:r>
      <w:r>
        <w:rPr>
          <w:color w:val="231F20"/>
        </w:rPr>
        <w:t>very</w:t>
      </w:r>
      <w:r>
        <w:rPr>
          <w:color w:val="231F20"/>
          <w:spacing w:val="-22"/>
        </w:rPr>
        <w:t xml:space="preserve"> </w:t>
      </w:r>
      <w:r>
        <w:rPr>
          <w:color w:val="231F20"/>
        </w:rPr>
        <w:t>high-predicted</w:t>
      </w:r>
      <w:r>
        <w:rPr>
          <w:color w:val="231F20"/>
          <w:spacing w:val="-22"/>
        </w:rPr>
        <w:t xml:space="preserve"> </w:t>
      </w:r>
      <w:r>
        <w:rPr>
          <w:color w:val="231F20"/>
        </w:rPr>
        <w:t>risks</w:t>
      </w:r>
      <w:r>
        <w:rPr>
          <w:color w:val="231F20"/>
          <w:spacing w:val="-22"/>
        </w:rPr>
        <w:t xml:space="preserve"> </w:t>
      </w:r>
      <w:r>
        <w:rPr>
          <w:color w:val="231F20"/>
        </w:rPr>
        <w:t>for</w:t>
      </w:r>
      <w:r>
        <w:rPr>
          <w:color w:val="231F20"/>
          <w:spacing w:val="-21"/>
        </w:rPr>
        <w:t xml:space="preserve"> </w:t>
      </w:r>
      <w:r>
        <w:rPr>
          <w:color w:val="231F20"/>
        </w:rPr>
        <w:t>this</w:t>
      </w:r>
      <w:r>
        <w:rPr>
          <w:color w:val="231F20"/>
          <w:spacing w:val="-22"/>
        </w:rPr>
        <w:t xml:space="preserve"> </w:t>
      </w:r>
      <w:r>
        <w:rPr>
          <w:color w:val="231F20"/>
        </w:rPr>
        <w:t>category compared to stage II-IV ovarian cancer (baseline risk 14.1%). We observed a maximum predicted risk of 68.4% for being borderline, 48.9% for being stage</w:t>
      </w:r>
      <w:r>
        <w:rPr>
          <w:color w:val="231F20"/>
          <w:spacing w:val="10"/>
        </w:rPr>
        <w:t xml:space="preserve"> </w:t>
      </w:r>
      <w:r>
        <w:rPr>
          <w:color w:val="231F20"/>
        </w:rPr>
        <w:t>I</w:t>
      </w:r>
      <w:r>
        <w:rPr>
          <w:color w:val="231F20"/>
          <w:spacing w:val="10"/>
        </w:rPr>
        <w:t xml:space="preserve"> </w:t>
      </w:r>
      <w:r>
        <w:rPr>
          <w:color w:val="231F20"/>
        </w:rPr>
        <w:t>cancer,</w:t>
      </w:r>
      <w:r>
        <w:rPr>
          <w:color w:val="231F20"/>
          <w:spacing w:val="10"/>
        </w:rPr>
        <w:t xml:space="preserve"> </w:t>
      </w:r>
      <w:r>
        <w:rPr>
          <w:color w:val="231F20"/>
        </w:rPr>
        <w:t>99.6%</w:t>
      </w:r>
      <w:r>
        <w:rPr>
          <w:color w:val="231F20"/>
          <w:spacing w:val="10"/>
        </w:rPr>
        <w:t xml:space="preserve"> </w:t>
      </w:r>
      <w:r>
        <w:rPr>
          <w:color w:val="231F20"/>
        </w:rPr>
        <w:t>for</w:t>
      </w:r>
      <w:r>
        <w:rPr>
          <w:color w:val="231F20"/>
          <w:spacing w:val="10"/>
        </w:rPr>
        <w:t xml:space="preserve"> </w:t>
      </w:r>
      <w:r>
        <w:rPr>
          <w:color w:val="231F20"/>
        </w:rPr>
        <w:t>being</w:t>
      </w:r>
      <w:r>
        <w:rPr>
          <w:color w:val="231F20"/>
          <w:spacing w:val="10"/>
        </w:rPr>
        <w:t xml:space="preserve"> </w:t>
      </w:r>
      <w:r>
        <w:rPr>
          <w:color w:val="231F20"/>
        </w:rPr>
        <w:t>stage</w:t>
      </w:r>
      <w:r>
        <w:rPr>
          <w:color w:val="231F20"/>
          <w:spacing w:val="10"/>
        </w:rPr>
        <w:t xml:space="preserve"> </w:t>
      </w:r>
      <w:r>
        <w:rPr>
          <w:color w:val="231F20"/>
        </w:rPr>
        <w:t>II-IV</w:t>
      </w:r>
      <w:r>
        <w:rPr>
          <w:color w:val="231F20"/>
          <w:spacing w:val="10"/>
        </w:rPr>
        <w:t xml:space="preserve"> </w:t>
      </w:r>
      <w:r>
        <w:rPr>
          <w:color w:val="231F20"/>
        </w:rPr>
        <w:t>cancer,</w:t>
      </w:r>
    </w:p>
    <w:p w:rsidR="00966BA7" w:rsidRDefault="00F255A2">
      <w:pPr>
        <w:pStyle w:val="BodyText"/>
        <w:spacing w:before="42" w:line="247" w:lineRule="auto"/>
        <w:ind w:left="113" w:right="161"/>
        <w:jc w:val="both"/>
      </w:pPr>
      <w:r>
        <w:br w:type="column"/>
      </w:r>
      <w:proofErr w:type="gramStart"/>
      <w:r>
        <w:rPr>
          <w:color w:val="231F20"/>
        </w:rPr>
        <w:lastRenderedPageBreak/>
        <w:t>and</w:t>
      </w:r>
      <w:proofErr w:type="gramEnd"/>
      <w:r>
        <w:rPr>
          <w:color w:val="231F20"/>
        </w:rPr>
        <w:t xml:space="preserve"> 44.6% for being secondary metastatic cancer. </w:t>
      </w:r>
      <w:r>
        <w:rPr>
          <w:color w:val="231F20"/>
          <w:spacing w:val="3"/>
        </w:rPr>
        <w:t xml:space="preserve">Therefore, </w:t>
      </w:r>
      <w:r>
        <w:rPr>
          <w:color w:val="231F20"/>
        </w:rPr>
        <w:t xml:space="preserve">it is not </w:t>
      </w:r>
      <w:r>
        <w:rPr>
          <w:color w:val="231F20"/>
          <w:spacing w:val="2"/>
        </w:rPr>
        <w:t xml:space="preserve">realistic </w:t>
      </w:r>
      <w:r>
        <w:rPr>
          <w:color w:val="231F20"/>
        </w:rPr>
        <w:t xml:space="preserve">to </w:t>
      </w:r>
      <w:r>
        <w:rPr>
          <w:color w:val="231F20"/>
          <w:spacing w:val="3"/>
        </w:rPr>
        <w:t xml:space="preserve">expect that </w:t>
      </w:r>
      <w:r>
        <w:rPr>
          <w:color w:val="231F20"/>
          <w:spacing w:val="4"/>
        </w:rPr>
        <w:t xml:space="preserve">the </w:t>
      </w:r>
      <w:r>
        <w:rPr>
          <w:color w:val="231F20"/>
        </w:rPr>
        <w:t>predicted</w:t>
      </w:r>
      <w:r>
        <w:rPr>
          <w:color w:val="231F20"/>
          <w:spacing w:val="-7"/>
        </w:rPr>
        <w:t xml:space="preserve"> </w:t>
      </w:r>
      <w:r>
        <w:rPr>
          <w:color w:val="231F20"/>
        </w:rPr>
        <w:t>risk</w:t>
      </w:r>
      <w:r>
        <w:rPr>
          <w:color w:val="231F20"/>
          <w:spacing w:val="-5"/>
        </w:rPr>
        <w:t xml:space="preserve"> </w:t>
      </w:r>
      <w:r>
        <w:rPr>
          <w:color w:val="231F20"/>
        </w:rPr>
        <w:t>for</w:t>
      </w:r>
      <w:r>
        <w:rPr>
          <w:color w:val="231F20"/>
          <w:spacing w:val="-6"/>
        </w:rPr>
        <w:t xml:space="preserve"> </w:t>
      </w:r>
      <w:r>
        <w:rPr>
          <w:color w:val="231F20"/>
        </w:rPr>
        <w:t>being</w:t>
      </w:r>
      <w:r>
        <w:rPr>
          <w:color w:val="231F20"/>
          <w:spacing w:val="-6"/>
        </w:rPr>
        <w:t xml:space="preserve"> </w:t>
      </w:r>
      <w:r>
        <w:rPr>
          <w:color w:val="231F20"/>
        </w:rPr>
        <w:t>borderline,</w:t>
      </w:r>
      <w:r>
        <w:rPr>
          <w:color w:val="231F20"/>
          <w:spacing w:val="-7"/>
        </w:rPr>
        <w:t xml:space="preserve"> </w:t>
      </w:r>
      <w:r>
        <w:rPr>
          <w:color w:val="231F20"/>
        </w:rPr>
        <w:t>stage</w:t>
      </w:r>
      <w:r>
        <w:rPr>
          <w:color w:val="231F20"/>
          <w:spacing w:val="-6"/>
        </w:rPr>
        <w:t xml:space="preserve"> </w:t>
      </w:r>
      <w:r>
        <w:rPr>
          <w:color w:val="231F20"/>
        </w:rPr>
        <w:t>I</w:t>
      </w:r>
      <w:r>
        <w:rPr>
          <w:color w:val="231F20"/>
          <w:spacing w:val="-6"/>
        </w:rPr>
        <w:t xml:space="preserve"> </w:t>
      </w:r>
      <w:r>
        <w:rPr>
          <w:color w:val="231F20"/>
        </w:rPr>
        <w:t>cancer</w:t>
      </w:r>
      <w:r>
        <w:rPr>
          <w:color w:val="231F20"/>
          <w:spacing w:val="-6"/>
        </w:rPr>
        <w:t xml:space="preserve"> </w:t>
      </w:r>
      <w:r>
        <w:rPr>
          <w:color w:val="231F20"/>
        </w:rPr>
        <w:t>or secondary metastatic cancer could be as high as 80%. This does not imply that the model</w:t>
      </w:r>
      <w:r>
        <w:rPr>
          <w:color w:val="231F20"/>
        </w:rPr>
        <w:t xml:space="preserve"> does not </w:t>
      </w:r>
      <w:r>
        <w:rPr>
          <w:color w:val="231F20"/>
          <w:spacing w:val="3"/>
        </w:rPr>
        <w:t xml:space="preserve">function well: </w:t>
      </w:r>
      <w:r>
        <w:rPr>
          <w:color w:val="231F20"/>
          <w:spacing w:val="2"/>
        </w:rPr>
        <w:t xml:space="preserve">the </w:t>
      </w:r>
      <w:r>
        <w:rPr>
          <w:color w:val="231F20"/>
          <w:spacing w:val="3"/>
        </w:rPr>
        <w:t xml:space="preserve">AUCs </w:t>
      </w:r>
      <w:r>
        <w:rPr>
          <w:color w:val="231F20"/>
          <w:spacing w:val="2"/>
        </w:rPr>
        <w:t xml:space="preserve">for </w:t>
      </w:r>
      <w:r>
        <w:rPr>
          <w:color w:val="231F20"/>
          <w:spacing w:val="3"/>
        </w:rPr>
        <w:t xml:space="preserve">pairs </w:t>
      </w:r>
      <w:r>
        <w:rPr>
          <w:color w:val="231F20"/>
        </w:rPr>
        <w:t xml:space="preserve">of </w:t>
      </w:r>
      <w:r>
        <w:rPr>
          <w:color w:val="231F20"/>
          <w:spacing w:val="3"/>
        </w:rPr>
        <w:t xml:space="preserve">outcome </w:t>
      </w:r>
      <w:r>
        <w:rPr>
          <w:color w:val="231F20"/>
        </w:rPr>
        <w:t>categories were in fact quite high for a model that aims</w:t>
      </w:r>
      <w:r>
        <w:rPr>
          <w:color w:val="231F20"/>
          <w:spacing w:val="-25"/>
        </w:rPr>
        <w:t xml:space="preserve"> </w:t>
      </w:r>
      <w:r>
        <w:rPr>
          <w:color w:val="231F20"/>
        </w:rPr>
        <w:t>to</w:t>
      </w:r>
      <w:r>
        <w:rPr>
          <w:color w:val="231F20"/>
          <w:spacing w:val="-24"/>
        </w:rPr>
        <w:t xml:space="preserve"> </w:t>
      </w:r>
      <w:r>
        <w:rPr>
          <w:color w:val="231F20"/>
        </w:rPr>
        <w:t>differentiate</w:t>
      </w:r>
      <w:r>
        <w:rPr>
          <w:color w:val="231F20"/>
          <w:spacing w:val="-24"/>
        </w:rPr>
        <w:t xml:space="preserve"> </w:t>
      </w:r>
      <w:r>
        <w:rPr>
          <w:color w:val="231F20"/>
        </w:rPr>
        <w:t>between</w:t>
      </w:r>
      <w:r>
        <w:rPr>
          <w:color w:val="231F20"/>
          <w:spacing w:val="-24"/>
        </w:rPr>
        <w:t xml:space="preserve"> </w:t>
      </w:r>
      <w:r>
        <w:rPr>
          <w:color w:val="231F20"/>
        </w:rPr>
        <w:t>five</w:t>
      </w:r>
      <w:r>
        <w:rPr>
          <w:color w:val="231F20"/>
          <w:spacing w:val="-24"/>
        </w:rPr>
        <w:t xml:space="preserve"> </w:t>
      </w:r>
      <w:r>
        <w:rPr>
          <w:color w:val="231F20"/>
        </w:rPr>
        <w:t>categories.</w:t>
      </w:r>
      <w:r>
        <w:rPr>
          <w:color w:val="231F20"/>
          <w:spacing w:val="-24"/>
        </w:rPr>
        <w:t xml:space="preserve"> </w:t>
      </w:r>
      <w:r>
        <w:rPr>
          <w:color w:val="231F20"/>
        </w:rPr>
        <w:t>Rather, this finding may imply that the ADNEX model is a very interesting tool to assess whether there</w:t>
      </w:r>
      <w:r>
        <w:rPr>
          <w:color w:val="231F20"/>
        </w:rPr>
        <w:t xml:space="preserve"> is an </w:t>
      </w:r>
      <w:r>
        <w:rPr>
          <w:color w:val="231F20"/>
          <w:spacing w:val="4"/>
        </w:rPr>
        <w:t xml:space="preserve">increased possibility </w:t>
      </w:r>
      <w:r>
        <w:rPr>
          <w:color w:val="231F20"/>
          <w:spacing w:val="2"/>
        </w:rPr>
        <w:t xml:space="preserve">of </w:t>
      </w:r>
      <w:r>
        <w:rPr>
          <w:color w:val="231F20"/>
          <w:spacing w:val="3"/>
        </w:rPr>
        <w:t xml:space="preserve">one </w:t>
      </w:r>
      <w:r>
        <w:rPr>
          <w:color w:val="231F20"/>
          <w:spacing w:val="2"/>
        </w:rPr>
        <w:t xml:space="preserve">of </w:t>
      </w:r>
      <w:r>
        <w:rPr>
          <w:color w:val="231F20"/>
          <w:spacing w:val="3"/>
        </w:rPr>
        <w:t xml:space="preserve">the more </w:t>
      </w:r>
      <w:r>
        <w:rPr>
          <w:color w:val="231F20"/>
          <w:spacing w:val="5"/>
        </w:rPr>
        <w:t xml:space="preserve">rare </w:t>
      </w:r>
      <w:r>
        <w:rPr>
          <w:color w:val="231F20"/>
        </w:rPr>
        <w:t>categories. In that sense, it is useful to check how the</w:t>
      </w:r>
      <w:r>
        <w:rPr>
          <w:color w:val="231F20"/>
          <w:spacing w:val="-14"/>
        </w:rPr>
        <w:t xml:space="preserve"> </w:t>
      </w:r>
      <w:r>
        <w:rPr>
          <w:color w:val="231F20"/>
        </w:rPr>
        <w:t>predicted</w:t>
      </w:r>
      <w:r>
        <w:rPr>
          <w:color w:val="231F20"/>
          <w:spacing w:val="-14"/>
        </w:rPr>
        <w:t xml:space="preserve"> </w:t>
      </w:r>
      <w:r>
        <w:rPr>
          <w:color w:val="231F20"/>
        </w:rPr>
        <w:t>risks</w:t>
      </w:r>
      <w:r>
        <w:rPr>
          <w:color w:val="231F20"/>
          <w:spacing w:val="-14"/>
        </w:rPr>
        <w:t xml:space="preserve"> </w:t>
      </w:r>
      <w:r>
        <w:rPr>
          <w:color w:val="231F20"/>
        </w:rPr>
        <w:t>for</w:t>
      </w:r>
      <w:r>
        <w:rPr>
          <w:color w:val="231F20"/>
          <w:spacing w:val="-14"/>
        </w:rPr>
        <w:t xml:space="preserve"> </w:t>
      </w:r>
      <w:r>
        <w:rPr>
          <w:color w:val="231F20"/>
        </w:rPr>
        <w:t>an</w:t>
      </w:r>
      <w:r>
        <w:rPr>
          <w:color w:val="231F20"/>
          <w:spacing w:val="-13"/>
        </w:rPr>
        <w:t xml:space="preserve"> </w:t>
      </w:r>
      <w:r>
        <w:rPr>
          <w:color w:val="231F20"/>
        </w:rPr>
        <w:t>individual</w:t>
      </w:r>
      <w:r>
        <w:rPr>
          <w:color w:val="231F20"/>
          <w:spacing w:val="-14"/>
        </w:rPr>
        <w:t xml:space="preserve"> </w:t>
      </w:r>
      <w:r>
        <w:rPr>
          <w:color w:val="231F20"/>
        </w:rPr>
        <w:t>patient</w:t>
      </w:r>
      <w:r>
        <w:rPr>
          <w:color w:val="231F20"/>
          <w:spacing w:val="-14"/>
        </w:rPr>
        <w:t xml:space="preserve"> </w:t>
      </w:r>
      <w:r>
        <w:rPr>
          <w:color w:val="231F20"/>
        </w:rPr>
        <w:t>compare with</w:t>
      </w:r>
      <w:r>
        <w:rPr>
          <w:color w:val="231F20"/>
          <w:spacing w:val="-9"/>
        </w:rPr>
        <w:t xml:space="preserve"> </w:t>
      </w:r>
      <w:r>
        <w:rPr>
          <w:color w:val="231F20"/>
        </w:rPr>
        <w:t>the</w:t>
      </w:r>
      <w:r>
        <w:rPr>
          <w:color w:val="231F20"/>
          <w:spacing w:val="-9"/>
        </w:rPr>
        <w:t xml:space="preserve"> </w:t>
      </w:r>
      <w:r>
        <w:rPr>
          <w:color w:val="231F20"/>
        </w:rPr>
        <w:t>baseline</w:t>
      </w:r>
      <w:r>
        <w:rPr>
          <w:color w:val="231F20"/>
          <w:spacing w:val="-8"/>
        </w:rPr>
        <w:t xml:space="preserve"> </w:t>
      </w:r>
      <w:r>
        <w:rPr>
          <w:color w:val="231F20"/>
        </w:rPr>
        <w:t>risks.</w:t>
      </w:r>
      <w:r>
        <w:rPr>
          <w:color w:val="231F20"/>
          <w:spacing w:val="-9"/>
        </w:rPr>
        <w:t xml:space="preserve"> </w:t>
      </w:r>
      <w:r>
        <w:rPr>
          <w:color w:val="231F20"/>
        </w:rPr>
        <w:t>For</w:t>
      </w:r>
      <w:r>
        <w:rPr>
          <w:color w:val="231F20"/>
          <w:spacing w:val="-8"/>
        </w:rPr>
        <w:t xml:space="preserve"> </w:t>
      </w:r>
      <w:r>
        <w:rPr>
          <w:color w:val="231F20"/>
        </w:rPr>
        <w:t>this</w:t>
      </w:r>
      <w:r>
        <w:rPr>
          <w:color w:val="231F20"/>
          <w:spacing w:val="-9"/>
        </w:rPr>
        <w:t xml:space="preserve"> </w:t>
      </w:r>
      <w:r>
        <w:rPr>
          <w:color w:val="231F20"/>
        </w:rPr>
        <w:t>purpose,</w:t>
      </w:r>
      <w:r>
        <w:rPr>
          <w:color w:val="231F20"/>
          <w:spacing w:val="-9"/>
        </w:rPr>
        <w:t xml:space="preserve"> </w:t>
      </w:r>
      <w:r>
        <w:rPr>
          <w:color w:val="231F20"/>
        </w:rPr>
        <w:t>the</w:t>
      </w:r>
      <w:r>
        <w:rPr>
          <w:color w:val="231F20"/>
          <w:spacing w:val="-8"/>
        </w:rPr>
        <w:t xml:space="preserve"> </w:t>
      </w:r>
      <w:r>
        <w:rPr>
          <w:color w:val="231F20"/>
        </w:rPr>
        <w:t xml:space="preserve">relative risk, i.e. absolute predicted risk divided by baseline </w:t>
      </w:r>
      <w:r>
        <w:rPr>
          <w:color w:val="231F20"/>
          <w:spacing w:val="2"/>
        </w:rPr>
        <w:t xml:space="preserve">risk, </w:t>
      </w:r>
      <w:r>
        <w:rPr>
          <w:color w:val="231F20"/>
        </w:rPr>
        <w:t xml:space="preserve">and </w:t>
      </w:r>
      <w:r>
        <w:rPr>
          <w:color w:val="231F20"/>
          <w:spacing w:val="2"/>
        </w:rPr>
        <w:t xml:space="preserve">their corresponding positive </w:t>
      </w:r>
      <w:r>
        <w:rPr>
          <w:color w:val="231F20"/>
          <w:spacing w:val="3"/>
        </w:rPr>
        <w:t xml:space="preserve">predictive value </w:t>
      </w:r>
      <w:r>
        <w:rPr>
          <w:color w:val="231F20"/>
          <w:spacing w:val="4"/>
        </w:rPr>
        <w:t xml:space="preserve">(PPV) </w:t>
      </w:r>
      <w:r>
        <w:rPr>
          <w:color w:val="231F20"/>
          <w:spacing w:val="3"/>
        </w:rPr>
        <w:t xml:space="preserve">can </w:t>
      </w:r>
      <w:r>
        <w:rPr>
          <w:color w:val="231F20"/>
          <w:spacing w:val="2"/>
        </w:rPr>
        <w:t xml:space="preserve">be </w:t>
      </w:r>
      <w:r>
        <w:rPr>
          <w:color w:val="231F20"/>
          <w:spacing w:val="4"/>
        </w:rPr>
        <w:t xml:space="preserve">computed (Table </w:t>
      </w:r>
      <w:r>
        <w:rPr>
          <w:color w:val="231F20"/>
          <w:spacing w:val="3"/>
        </w:rPr>
        <w:t xml:space="preserve">II). </w:t>
      </w:r>
      <w:r>
        <w:rPr>
          <w:color w:val="231F20"/>
          <w:spacing w:val="5"/>
        </w:rPr>
        <w:t xml:space="preserve">For </w:t>
      </w:r>
      <w:r>
        <w:rPr>
          <w:color w:val="231F20"/>
        </w:rPr>
        <w:t>example, patients with a relative risk of having a borderline</w:t>
      </w:r>
      <w:r>
        <w:rPr>
          <w:color w:val="231F20"/>
          <w:spacing w:val="-15"/>
        </w:rPr>
        <w:t xml:space="preserve"> </w:t>
      </w:r>
      <w:r>
        <w:rPr>
          <w:color w:val="231F20"/>
        </w:rPr>
        <w:t>tumor</w:t>
      </w:r>
      <w:r>
        <w:rPr>
          <w:color w:val="231F20"/>
          <w:spacing w:val="-15"/>
        </w:rPr>
        <w:t xml:space="preserve"> </w:t>
      </w:r>
      <w:r>
        <w:rPr>
          <w:color w:val="231F20"/>
        </w:rPr>
        <w:t>above</w:t>
      </w:r>
      <w:r>
        <w:rPr>
          <w:color w:val="231F20"/>
          <w:spacing w:val="-15"/>
        </w:rPr>
        <w:t xml:space="preserve"> </w:t>
      </w:r>
      <w:r>
        <w:rPr>
          <w:color w:val="231F20"/>
        </w:rPr>
        <w:t>2</w:t>
      </w:r>
      <w:r>
        <w:rPr>
          <w:color w:val="231F20"/>
          <w:spacing w:val="-15"/>
        </w:rPr>
        <w:t xml:space="preserve"> </w:t>
      </w:r>
      <w:r>
        <w:rPr>
          <w:color w:val="231F20"/>
        </w:rPr>
        <w:t>have</w:t>
      </w:r>
      <w:r>
        <w:rPr>
          <w:color w:val="231F20"/>
          <w:spacing w:val="-14"/>
        </w:rPr>
        <w:t xml:space="preserve"> </w:t>
      </w:r>
      <w:r>
        <w:rPr>
          <w:color w:val="231F20"/>
        </w:rPr>
        <w:t>an</w:t>
      </w:r>
      <w:r>
        <w:rPr>
          <w:color w:val="231F20"/>
          <w:spacing w:val="-15"/>
        </w:rPr>
        <w:t xml:space="preserve"> </w:t>
      </w:r>
      <w:r>
        <w:rPr>
          <w:color w:val="231F20"/>
        </w:rPr>
        <w:t>absolute</w:t>
      </w:r>
      <w:r>
        <w:rPr>
          <w:color w:val="231F20"/>
          <w:spacing w:val="-15"/>
        </w:rPr>
        <w:t xml:space="preserve"> </w:t>
      </w:r>
      <w:r>
        <w:rPr>
          <w:color w:val="231F20"/>
        </w:rPr>
        <w:t>predi</w:t>
      </w:r>
      <w:r>
        <w:rPr>
          <w:color w:val="231F20"/>
        </w:rPr>
        <w:t xml:space="preserve">cted </w:t>
      </w:r>
      <w:r>
        <w:rPr>
          <w:color w:val="231F20"/>
          <w:spacing w:val="2"/>
        </w:rPr>
        <w:t xml:space="preserve">risk above 12.6%. </w:t>
      </w:r>
      <w:r>
        <w:rPr>
          <w:color w:val="231F20"/>
        </w:rPr>
        <w:t xml:space="preserve">In </w:t>
      </w:r>
      <w:r>
        <w:rPr>
          <w:color w:val="231F20"/>
          <w:spacing w:val="2"/>
        </w:rPr>
        <w:t xml:space="preserve">this subgroup </w:t>
      </w:r>
      <w:r>
        <w:rPr>
          <w:color w:val="231F20"/>
        </w:rPr>
        <w:t xml:space="preserve">of </w:t>
      </w:r>
      <w:r>
        <w:rPr>
          <w:color w:val="231F20"/>
          <w:spacing w:val="3"/>
        </w:rPr>
        <w:t xml:space="preserve">patients, </w:t>
      </w:r>
      <w:r>
        <w:rPr>
          <w:color w:val="231F20"/>
        </w:rPr>
        <w:t>23.9% were eventually diagnosed with a borderline tumor in our dataset.</w:t>
      </w:r>
    </w:p>
    <w:p w:rsidR="00966BA7" w:rsidRDefault="00F255A2">
      <w:pPr>
        <w:pStyle w:val="BodyText"/>
        <w:spacing w:line="247" w:lineRule="auto"/>
        <w:ind w:left="113" w:right="164" w:firstLine="226"/>
        <w:jc w:val="right"/>
      </w:pPr>
      <w:r>
        <w:rPr>
          <w:color w:val="231F20"/>
        </w:rPr>
        <w:t>The</w:t>
      </w:r>
      <w:r>
        <w:rPr>
          <w:color w:val="231F20"/>
          <w:spacing w:val="-12"/>
        </w:rPr>
        <w:t xml:space="preserve"> </w:t>
      </w:r>
      <w:r>
        <w:rPr>
          <w:color w:val="231F20"/>
        </w:rPr>
        <w:t>ADNEX</w:t>
      </w:r>
      <w:r>
        <w:rPr>
          <w:color w:val="231F20"/>
          <w:spacing w:val="-11"/>
        </w:rPr>
        <w:t xml:space="preserve"> </w:t>
      </w:r>
      <w:r>
        <w:rPr>
          <w:color w:val="231F20"/>
        </w:rPr>
        <w:t>model</w:t>
      </w:r>
      <w:r>
        <w:rPr>
          <w:color w:val="231F20"/>
          <w:spacing w:val="-12"/>
        </w:rPr>
        <w:t xml:space="preserve"> </w:t>
      </w:r>
      <w:r>
        <w:rPr>
          <w:color w:val="231F20"/>
        </w:rPr>
        <w:t>is</w:t>
      </w:r>
      <w:r>
        <w:rPr>
          <w:color w:val="231F20"/>
          <w:spacing w:val="-12"/>
        </w:rPr>
        <w:t xml:space="preserve"> </w:t>
      </w:r>
      <w:r>
        <w:rPr>
          <w:color w:val="231F20"/>
        </w:rPr>
        <w:t>the</w:t>
      </w:r>
      <w:r>
        <w:rPr>
          <w:color w:val="231F20"/>
          <w:spacing w:val="-11"/>
        </w:rPr>
        <w:t xml:space="preserve"> </w:t>
      </w:r>
      <w:r>
        <w:rPr>
          <w:color w:val="231F20"/>
        </w:rPr>
        <w:t>first</w:t>
      </w:r>
      <w:r>
        <w:rPr>
          <w:color w:val="231F20"/>
          <w:spacing w:val="-12"/>
        </w:rPr>
        <w:t xml:space="preserve"> </w:t>
      </w:r>
      <w:r>
        <w:rPr>
          <w:color w:val="231F20"/>
        </w:rPr>
        <w:t>known</w:t>
      </w:r>
      <w:r>
        <w:rPr>
          <w:color w:val="231F20"/>
          <w:spacing w:val="-11"/>
        </w:rPr>
        <w:t xml:space="preserve"> </w:t>
      </w:r>
      <w:r>
        <w:rPr>
          <w:color w:val="231F20"/>
        </w:rPr>
        <w:t>model</w:t>
      </w:r>
      <w:r>
        <w:rPr>
          <w:color w:val="231F20"/>
          <w:spacing w:val="-12"/>
        </w:rPr>
        <w:t xml:space="preserve"> </w:t>
      </w:r>
      <w:r>
        <w:rPr>
          <w:color w:val="231F20"/>
        </w:rPr>
        <w:t>able to</w:t>
      </w:r>
      <w:r>
        <w:rPr>
          <w:color w:val="231F20"/>
          <w:spacing w:val="-16"/>
        </w:rPr>
        <w:t xml:space="preserve"> </w:t>
      </w:r>
      <w:r>
        <w:rPr>
          <w:color w:val="231F20"/>
        </w:rPr>
        <w:t>discriminate</w:t>
      </w:r>
      <w:r>
        <w:rPr>
          <w:color w:val="231F20"/>
          <w:spacing w:val="-17"/>
        </w:rPr>
        <w:t xml:space="preserve"> </w:t>
      </w:r>
      <w:r>
        <w:rPr>
          <w:color w:val="231F20"/>
        </w:rPr>
        <w:t>between</w:t>
      </w:r>
      <w:r>
        <w:rPr>
          <w:color w:val="231F20"/>
          <w:spacing w:val="-16"/>
        </w:rPr>
        <w:t xml:space="preserve"> </w:t>
      </w:r>
      <w:r>
        <w:rPr>
          <w:color w:val="231F20"/>
        </w:rPr>
        <w:t>different</w:t>
      </w:r>
      <w:r>
        <w:rPr>
          <w:color w:val="231F20"/>
          <w:spacing w:val="-17"/>
        </w:rPr>
        <w:t xml:space="preserve"> </w:t>
      </w:r>
      <w:r>
        <w:rPr>
          <w:color w:val="231F20"/>
        </w:rPr>
        <w:t>types</w:t>
      </w:r>
      <w:r>
        <w:rPr>
          <w:color w:val="231F20"/>
          <w:spacing w:val="-16"/>
        </w:rPr>
        <w:t xml:space="preserve"> </w:t>
      </w:r>
      <w:r>
        <w:rPr>
          <w:color w:val="231F20"/>
        </w:rPr>
        <w:t>of</w:t>
      </w:r>
      <w:r>
        <w:rPr>
          <w:color w:val="231F20"/>
          <w:spacing w:val="-16"/>
        </w:rPr>
        <w:t xml:space="preserve"> </w:t>
      </w:r>
      <w:r>
        <w:rPr>
          <w:color w:val="231F20"/>
        </w:rPr>
        <w:t>malignant</w:t>
      </w:r>
      <w:r>
        <w:rPr>
          <w:color w:val="231F20"/>
          <w:spacing w:val="-1"/>
        </w:rPr>
        <w:t xml:space="preserve"> </w:t>
      </w:r>
      <w:proofErr w:type="gramStart"/>
      <w:r>
        <w:rPr>
          <w:color w:val="231F20"/>
        </w:rPr>
        <w:t>tumors,</w:t>
      </w:r>
      <w:proofErr w:type="gramEnd"/>
      <w:r>
        <w:rPr>
          <w:color w:val="231F20"/>
        </w:rPr>
        <w:t xml:space="preserve"> hence it is not straightforward how to</w:t>
      </w:r>
      <w:r>
        <w:rPr>
          <w:color w:val="231F20"/>
          <w:spacing w:val="-29"/>
        </w:rPr>
        <w:t xml:space="preserve"> </w:t>
      </w:r>
      <w:r>
        <w:rPr>
          <w:color w:val="231F20"/>
        </w:rPr>
        <w:t>use</w:t>
      </w:r>
      <w:r>
        <w:rPr>
          <w:color w:val="231F20"/>
          <w:spacing w:val="-3"/>
        </w:rPr>
        <w:t xml:space="preserve"> </w:t>
      </w:r>
      <w:r>
        <w:rPr>
          <w:color w:val="231F20"/>
        </w:rPr>
        <w:t>it clinically.</w:t>
      </w:r>
      <w:r>
        <w:rPr>
          <w:color w:val="231F20"/>
          <w:spacing w:val="-16"/>
        </w:rPr>
        <w:t xml:space="preserve"> </w:t>
      </w:r>
      <w:r>
        <w:rPr>
          <w:color w:val="231F20"/>
        </w:rPr>
        <w:t>In</w:t>
      </w:r>
      <w:r>
        <w:rPr>
          <w:color w:val="231F20"/>
          <w:spacing w:val="-17"/>
        </w:rPr>
        <w:t xml:space="preserve"> </w:t>
      </w:r>
      <w:r>
        <w:rPr>
          <w:color w:val="231F20"/>
        </w:rPr>
        <w:t>this</w:t>
      </w:r>
      <w:r>
        <w:rPr>
          <w:color w:val="231F20"/>
          <w:spacing w:val="-16"/>
        </w:rPr>
        <w:t xml:space="preserve"> </w:t>
      </w:r>
      <w:r>
        <w:rPr>
          <w:color w:val="231F20"/>
        </w:rPr>
        <w:t>respect</w:t>
      </w:r>
      <w:r>
        <w:rPr>
          <w:color w:val="231F20"/>
          <w:spacing w:val="-17"/>
        </w:rPr>
        <w:t xml:space="preserve"> </w:t>
      </w:r>
      <w:r>
        <w:rPr>
          <w:color w:val="231F20"/>
        </w:rPr>
        <w:t>knowledge</w:t>
      </w:r>
      <w:r>
        <w:rPr>
          <w:color w:val="231F20"/>
          <w:spacing w:val="-17"/>
        </w:rPr>
        <w:t xml:space="preserve"> </w:t>
      </w:r>
      <w:r>
        <w:rPr>
          <w:color w:val="231F20"/>
        </w:rPr>
        <w:t>of</w:t>
      </w:r>
      <w:r>
        <w:rPr>
          <w:color w:val="231F20"/>
          <w:spacing w:val="-17"/>
        </w:rPr>
        <w:t xml:space="preserve"> </w:t>
      </w:r>
      <w:r>
        <w:rPr>
          <w:color w:val="231F20"/>
        </w:rPr>
        <w:t>these</w:t>
      </w:r>
      <w:r>
        <w:rPr>
          <w:color w:val="231F20"/>
          <w:spacing w:val="-15"/>
        </w:rPr>
        <w:t xml:space="preserve"> </w:t>
      </w:r>
      <w:r>
        <w:rPr>
          <w:color w:val="231F20"/>
        </w:rPr>
        <w:t>relative</w:t>
      </w:r>
      <w:r>
        <w:rPr>
          <w:color w:val="231F20"/>
          <w:spacing w:val="-1"/>
        </w:rPr>
        <w:t xml:space="preserve"> </w:t>
      </w:r>
      <w:r>
        <w:rPr>
          <w:color w:val="231F20"/>
        </w:rPr>
        <w:t>risks as additional information to the</w:t>
      </w:r>
      <w:r>
        <w:rPr>
          <w:color w:val="231F20"/>
          <w:spacing w:val="-34"/>
        </w:rPr>
        <w:t xml:space="preserve"> </w:t>
      </w:r>
      <w:r>
        <w:rPr>
          <w:color w:val="231F20"/>
        </w:rPr>
        <w:t>predicted</w:t>
      </w:r>
      <w:r>
        <w:rPr>
          <w:color w:val="231F20"/>
          <w:spacing w:val="-5"/>
        </w:rPr>
        <w:t xml:space="preserve"> </w:t>
      </w:r>
      <w:r>
        <w:rPr>
          <w:color w:val="231F20"/>
          <w:spacing w:val="-3"/>
        </w:rPr>
        <w:t>risks</w:t>
      </w:r>
      <w:r>
        <w:rPr>
          <w:color w:val="231F20"/>
        </w:rPr>
        <w:t xml:space="preserve"> might</w:t>
      </w:r>
      <w:r>
        <w:rPr>
          <w:color w:val="231F20"/>
          <w:spacing w:val="14"/>
        </w:rPr>
        <w:t xml:space="preserve"> </w:t>
      </w:r>
      <w:r>
        <w:rPr>
          <w:color w:val="231F20"/>
        </w:rPr>
        <w:t>help</w:t>
      </w:r>
      <w:r>
        <w:rPr>
          <w:color w:val="231F20"/>
          <w:spacing w:val="14"/>
        </w:rPr>
        <w:t xml:space="preserve"> </w:t>
      </w:r>
      <w:r>
        <w:rPr>
          <w:color w:val="231F20"/>
        </w:rPr>
        <w:t>to</w:t>
      </w:r>
      <w:r>
        <w:rPr>
          <w:color w:val="231F20"/>
          <w:spacing w:val="14"/>
        </w:rPr>
        <w:t xml:space="preserve"> </w:t>
      </w:r>
      <w:r>
        <w:rPr>
          <w:color w:val="231F20"/>
        </w:rPr>
        <w:t>adjust</w:t>
      </w:r>
      <w:r>
        <w:rPr>
          <w:color w:val="231F20"/>
          <w:spacing w:val="14"/>
        </w:rPr>
        <w:t xml:space="preserve"> </w:t>
      </w:r>
      <w:r>
        <w:rPr>
          <w:color w:val="231F20"/>
        </w:rPr>
        <w:t>management</w:t>
      </w:r>
      <w:r>
        <w:rPr>
          <w:color w:val="231F20"/>
          <w:spacing w:val="14"/>
        </w:rPr>
        <w:t xml:space="preserve"> </w:t>
      </w:r>
      <w:r>
        <w:rPr>
          <w:color w:val="231F20"/>
        </w:rPr>
        <w:t>to</w:t>
      </w:r>
      <w:r>
        <w:rPr>
          <w:color w:val="231F20"/>
          <w:spacing w:val="14"/>
        </w:rPr>
        <w:t xml:space="preserve"> </w:t>
      </w:r>
      <w:r>
        <w:rPr>
          <w:color w:val="231F20"/>
        </w:rPr>
        <w:t>the</w:t>
      </w:r>
      <w:r>
        <w:rPr>
          <w:color w:val="231F20"/>
          <w:spacing w:val="14"/>
        </w:rPr>
        <w:t xml:space="preserve"> </w:t>
      </w:r>
      <w:r>
        <w:rPr>
          <w:color w:val="231F20"/>
        </w:rPr>
        <w:t>individual patient.</w:t>
      </w:r>
      <w:r>
        <w:rPr>
          <w:color w:val="231F20"/>
          <w:spacing w:val="27"/>
        </w:rPr>
        <w:t xml:space="preserve"> </w:t>
      </w:r>
      <w:r>
        <w:rPr>
          <w:color w:val="231F20"/>
        </w:rPr>
        <w:t>We</w:t>
      </w:r>
      <w:r>
        <w:rPr>
          <w:color w:val="231F20"/>
          <w:spacing w:val="27"/>
        </w:rPr>
        <w:t xml:space="preserve"> </w:t>
      </w:r>
      <w:r>
        <w:rPr>
          <w:color w:val="231F20"/>
        </w:rPr>
        <w:t>believe</w:t>
      </w:r>
      <w:r>
        <w:rPr>
          <w:color w:val="231F20"/>
          <w:spacing w:val="28"/>
        </w:rPr>
        <w:t xml:space="preserve"> </w:t>
      </w:r>
      <w:r>
        <w:rPr>
          <w:color w:val="231F20"/>
        </w:rPr>
        <w:t>that</w:t>
      </w:r>
      <w:r>
        <w:rPr>
          <w:color w:val="231F20"/>
          <w:spacing w:val="27"/>
        </w:rPr>
        <w:t xml:space="preserve"> </w:t>
      </w:r>
      <w:r>
        <w:rPr>
          <w:color w:val="231F20"/>
        </w:rPr>
        <w:t>the</w:t>
      </w:r>
      <w:r>
        <w:rPr>
          <w:color w:val="231F20"/>
          <w:spacing w:val="27"/>
        </w:rPr>
        <w:t xml:space="preserve"> </w:t>
      </w:r>
      <w:r>
        <w:rPr>
          <w:color w:val="231F20"/>
        </w:rPr>
        <w:t>aim</w:t>
      </w:r>
      <w:r>
        <w:rPr>
          <w:color w:val="231F20"/>
          <w:spacing w:val="28"/>
        </w:rPr>
        <w:t xml:space="preserve"> </w:t>
      </w:r>
      <w:r>
        <w:rPr>
          <w:color w:val="231F20"/>
        </w:rPr>
        <w:t>should</w:t>
      </w:r>
      <w:r>
        <w:rPr>
          <w:color w:val="231F20"/>
          <w:spacing w:val="27"/>
        </w:rPr>
        <w:t xml:space="preserve"> </w:t>
      </w:r>
      <w:r>
        <w:rPr>
          <w:color w:val="231F20"/>
        </w:rPr>
        <w:t>not</w:t>
      </w:r>
      <w:r>
        <w:rPr>
          <w:color w:val="231F20"/>
          <w:spacing w:val="27"/>
        </w:rPr>
        <w:t xml:space="preserve"> </w:t>
      </w:r>
      <w:r>
        <w:rPr>
          <w:color w:val="231F20"/>
        </w:rPr>
        <w:t>be</w:t>
      </w:r>
      <w:r>
        <w:rPr>
          <w:color w:val="231F20"/>
          <w:spacing w:val="28"/>
        </w:rPr>
        <w:t xml:space="preserve"> </w:t>
      </w:r>
      <w:r>
        <w:rPr>
          <w:color w:val="231F20"/>
        </w:rPr>
        <w:t>to classify</w:t>
      </w:r>
      <w:r>
        <w:rPr>
          <w:color w:val="231F20"/>
          <w:spacing w:val="-23"/>
        </w:rPr>
        <w:t xml:space="preserve"> </w:t>
      </w:r>
      <w:r>
        <w:rPr>
          <w:color w:val="231F20"/>
        </w:rPr>
        <w:t>tumors</w:t>
      </w:r>
      <w:r>
        <w:rPr>
          <w:color w:val="231F20"/>
          <w:spacing w:val="-23"/>
        </w:rPr>
        <w:t xml:space="preserve"> </w:t>
      </w:r>
      <w:r>
        <w:rPr>
          <w:color w:val="231F20"/>
        </w:rPr>
        <w:t>into</w:t>
      </w:r>
      <w:r>
        <w:rPr>
          <w:color w:val="231F20"/>
          <w:spacing w:val="-23"/>
        </w:rPr>
        <w:t xml:space="preserve"> </w:t>
      </w:r>
      <w:r>
        <w:rPr>
          <w:color w:val="231F20"/>
        </w:rPr>
        <w:t>a</w:t>
      </w:r>
      <w:r>
        <w:rPr>
          <w:color w:val="231F20"/>
          <w:spacing w:val="-23"/>
        </w:rPr>
        <w:t xml:space="preserve"> </w:t>
      </w:r>
      <w:r>
        <w:rPr>
          <w:color w:val="231F20"/>
        </w:rPr>
        <w:t>single</w:t>
      </w:r>
      <w:r>
        <w:rPr>
          <w:color w:val="231F20"/>
          <w:spacing w:val="-23"/>
        </w:rPr>
        <w:t xml:space="preserve"> </w:t>
      </w:r>
      <w:r>
        <w:rPr>
          <w:color w:val="231F20"/>
        </w:rPr>
        <w:t>subgroup</w:t>
      </w:r>
      <w:r>
        <w:rPr>
          <w:color w:val="231F20"/>
          <w:spacing w:val="-23"/>
        </w:rPr>
        <w:t xml:space="preserve"> </w:t>
      </w:r>
      <w:r>
        <w:rPr>
          <w:color w:val="231F20"/>
        </w:rPr>
        <w:t>of</w:t>
      </w:r>
      <w:r>
        <w:rPr>
          <w:color w:val="231F20"/>
          <w:spacing w:val="-22"/>
        </w:rPr>
        <w:t xml:space="preserve"> </w:t>
      </w:r>
      <w:r>
        <w:rPr>
          <w:color w:val="231F20"/>
        </w:rPr>
        <w:t>malignancy</w:t>
      </w:r>
      <w:r>
        <w:rPr>
          <w:color w:val="231F20"/>
          <w:spacing w:val="-2"/>
        </w:rPr>
        <w:t xml:space="preserve"> </w:t>
      </w:r>
      <w:r>
        <w:rPr>
          <w:color w:val="231F20"/>
        </w:rPr>
        <w:t>and to manage the patients accordingly. Rather,</w:t>
      </w:r>
      <w:r>
        <w:rPr>
          <w:color w:val="231F20"/>
          <w:spacing w:val="-35"/>
        </w:rPr>
        <w:t xml:space="preserve"> </w:t>
      </w:r>
      <w:r>
        <w:rPr>
          <w:color w:val="231F20"/>
        </w:rPr>
        <w:t>it</w:t>
      </w:r>
      <w:r>
        <w:rPr>
          <w:color w:val="231F20"/>
          <w:spacing w:val="-5"/>
        </w:rPr>
        <w:t xml:space="preserve"> </w:t>
      </w:r>
      <w:r>
        <w:rPr>
          <w:color w:val="231F20"/>
        </w:rPr>
        <w:t xml:space="preserve">is </w:t>
      </w:r>
      <w:r>
        <w:rPr>
          <w:color w:val="231F20"/>
          <w:w w:val="95"/>
        </w:rPr>
        <w:t>more</w:t>
      </w:r>
      <w:r>
        <w:rPr>
          <w:color w:val="231F20"/>
          <w:spacing w:val="-18"/>
          <w:w w:val="95"/>
        </w:rPr>
        <w:t xml:space="preserve"> </w:t>
      </w:r>
      <w:r>
        <w:rPr>
          <w:color w:val="231F20"/>
          <w:w w:val="95"/>
        </w:rPr>
        <w:t>sensible</w:t>
      </w:r>
      <w:r>
        <w:rPr>
          <w:color w:val="231F20"/>
          <w:spacing w:val="-17"/>
          <w:w w:val="95"/>
        </w:rPr>
        <w:t xml:space="preserve"> </w:t>
      </w:r>
      <w:r>
        <w:rPr>
          <w:color w:val="231F20"/>
          <w:w w:val="95"/>
        </w:rPr>
        <w:t>to</w:t>
      </w:r>
      <w:r>
        <w:rPr>
          <w:color w:val="231F20"/>
          <w:spacing w:val="-17"/>
          <w:w w:val="95"/>
        </w:rPr>
        <w:t xml:space="preserve"> </w:t>
      </w:r>
      <w:r>
        <w:rPr>
          <w:color w:val="231F20"/>
          <w:w w:val="95"/>
        </w:rPr>
        <w:t>assess</w:t>
      </w:r>
      <w:r>
        <w:rPr>
          <w:color w:val="231F20"/>
          <w:spacing w:val="-17"/>
          <w:w w:val="95"/>
        </w:rPr>
        <w:t xml:space="preserve"> </w:t>
      </w:r>
      <w:r>
        <w:rPr>
          <w:color w:val="231F20"/>
          <w:w w:val="95"/>
        </w:rPr>
        <w:t>per</w:t>
      </w:r>
      <w:r>
        <w:rPr>
          <w:color w:val="231F20"/>
          <w:spacing w:val="-17"/>
          <w:w w:val="95"/>
        </w:rPr>
        <w:t xml:space="preserve"> </w:t>
      </w:r>
      <w:r>
        <w:rPr>
          <w:color w:val="231F20"/>
          <w:w w:val="95"/>
        </w:rPr>
        <w:t>type</w:t>
      </w:r>
      <w:r>
        <w:rPr>
          <w:color w:val="231F20"/>
          <w:spacing w:val="-18"/>
          <w:w w:val="95"/>
        </w:rPr>
        <w:t xml:space="preserve"> </w:t>
      </w:r>
      <w:r>
        <w:rPr>
          <w:color w:val="231F20"/>
          <w:w w:val="95"/>
        </w:rPr>
        <w:t>of</w:t>
      </w:r>
      <w:r>
        <w:rPr>
          <w:color w:val="231F20"/>
          <w:spacing w:val="-17"/>
          <w:w w:val="95"/>
        </w:rPr>
        <w:t xml:space="preserve"> </w:t>
      </w:r>
      <w:r>
        <w:rPr>
          <w:color w:val="231F20"/>
          <w:w w:val="95"/>
        </w:rPr>
        <w:t>malignancy</w:t>
      </w:r>
      <w:r>
        <w:rPr>
          <w:color w:val="231F20"/>
          <w:spacing w:val="-17"/>
          <w:w w:val="95"/>
        </w:rPr>
        <w:t xml:space="preserve"> </w:t>
      </w:r>
      <w:r>
        <w:rPr>
          <w:color w:val="231F20"/>
          <w:w w:val="95"/>
        </w:rPr>
        <w:t>whether</w:t>
      </w:r>
      <w:r>
        <w:rPr>
          <w:color w:val="231F20"/>
          <w:spacing w:val="-2"/>
          <w:w w:val="96"/>
        </w:rPr>
        <w:t xml:space="preserve"> </w:t>
      </w:r>
      <w:r>
        <w:rPr>
          <w:color w:val="231F20"/>
        </w:rPr>
        <w:t>the predicted risk and/or relative risk is high</w:t>
      </w:r>
      <w:r>
        <w:rPr>
          <w:color w:val="231F20"/>
          <w:spacing w:val="-32"/>
        </w:rPr>
        <w:t xml:space="preserve"> </w:t>
      </w:r>
      <w:r>
        <w:rPr>
          <w:color w:val="231F20"/>
        </w:rPr>
        <w:t>or</w:t>
      </w:r>
      <w:r>
        <w:rPr>
          <w:color w:val="231F20"/>
          <w:spacing w:val="-4"/>
        </w:rPr>
        <w:t xml:space="preserve"> </w:t>
      </w:r>
      <w:r>
        <w:rPr>
          <w:color w:val="231F20"/>
          <w:spacing w:val="-3"/>
        </w:rPr>
        <w:t>low.</w:t>
      </w:r>
      <w:r>
        <w:rPr>
          <w:color w:val="231F20"/>
        </w:rPr>
        <w:t xml:space="preserve"> Secondary metastases to the</w:t>
      </w:r>
      <w:r>
        <w:rPr>
          <w:color w:val="231F20"/>
          <w:spacing w:val="-36"/>
        </w:rPr>
        <w:t xml:space="preserve"> </w:t>
      </w:r>
      <w:r>
        <w:rPr>
          <w:color w:val="231F20"/>
        </w:rPr>
        <w:t>ovaries</w:t>
      </w:r>
      <w:r>
        <w:rPr>
          <w:color w:val="231F20"/>
          <w:spacing w:val="-9"/>
        </w:rPr>
        <w:t xml:space="preserve"> </w:t>
      </w:r>
      <w:r>
        <w:rPr>
          <w:color w:val="231F20"/>
        </w:rPr>
        <w:t>(Krukenberg tumors)</w:t>
      </w:r>
      <w:r>
        <w:rPr>
          <w:color w:val="231F20"/>
          <w:spacing w:val="21"/>
        </w:rPr>
        <w:t xml:space="preserve"> </w:t>
      </w:r>
      <w:r>
        <w:rPr>
          <w:color w:val="231F20"/>
        </w:rPr>
        <w:t>originate</w:t>
      </w:r>
      <w:r>
        <w:rPr>
          <w:color w:val="231F20"/>
          <w:spacing w:val="21"/>
        </w:rPr>
        <w:t xml:space="preserve"> </w:t>
      </w:r>
      <w:r>
        <w:rPr>
          <w:color w:val="231F20"/>
        </w:rPr>
        <w:t>in</w:t>
      </w:r>
      <w:r>
        <w:rPr>
          <w:color w:val="231F20"/>
          <w:spacing w:val="21"/>
        </w:rPr>
        <w:t xml:space="preserve"> </w:t>
      </w:r>
      <w:r>
        <w:rPr>
          <w:color w:val="231F20"/>
        </w:rPr>
        <w:t>76%</w:t>
      </w:r>
      <w:r>
        <w:rPr>
          <w:color w:val="231F20"/>
          <w:spacing w:val="21"/>
        </w:rPr>
        <w:t xml:space="preserve"> </w:t>
      </w:r>
      <w:r>
        <w:rPr>
          <w:color w:val="231F20"/>
        </w:rPr>
        <w:t>of</w:t>
      </w:r>
      <w:r>
        <w:rPr>
          <w:color w:val="231F20"/>
          <w:spacing w:val="21"/>
        </w:rPr>
        <w:t xml:space="preserve"> </w:t>
      </w:r>
      <w:r>
        <w:rPr>
          <w:color w:val="231F20"/>
        </w:rPr>
        <w:t>cases</w:t>
      </w:r>
      <w:r>
        <w:rPr>
          <w:color w:val="231F20"/>
          <w:spacing w:val="21"/>
        </w:rPr>
        <w:t xml:space="preserve"> </w:t>
      </w:r>
      <w:r>
        <w:rPr>
          <w:color w:val="231F20"/>
        </w:rPr>
        <w:t>in</w:t>
      </w:r>
      <w:r>
        <w:rPr>
          <w:color w:val="231F20"/>
          <w:spacing w:val="21"/>
        </w:rPr>
        <w:t xml:space="preserve"> </w:t>
      </w:r>
      <w:r>
        <w:rPr>
          <w:color w:val="231F20"/>
        </w:rPr>
        <w:t>the</w:t>
      </w:r>
      <w:r>
        <w:rPr>
          <w:color w:val="231F20"/>
          <w:spacing w:val="21"/>
        </w:rPr>
        <w:t xml:space="preserve"> </w:t>
      </w:r>
      <w:r>
        <w:rPr>
          <w:color w:val="231F20"/>
        </w:rPr>
        <w:t>stomach, 11% in the intestines (usually colon or</w:t>
      </w:r>
      <w:r>
        <w:rPr>
          <w:color w:val="231F20"/>
          <w:spacing w:val="-1"/>
        </w:rPr>
        <w:t xml:space="preserve"> </w:t>
      </w:r>
      <w:r>
        <w:rPr>
          <w:color w:val="231F20"/>
        </w:rPr>
        <w:t>rectum), 4% in</w:t>
      </w:r>
      <w:r>
        <w:rPr>
          <w:color w:val="231F20"/>
          <w:spacing w:val="24"/>
        </w:rPr>
        <w:t xml:space="preserve"> </w:t>
      </w:r>
      <w:r>
        <w:rPr>
          <w:color w:val="231F20"/>
        </w:rPr>
        <w:t>the</w:t>
      </w:r>
      <w:r>
        <w:rPr>
          <w:color w:val="231F20"/>
          <w:spacing w:val="24"/>
        </w:rPr>
        <w:t xml:space="preserve"> </w:t>
      </w:r>
      <w:r>
        <w:rPr>
          <w:color w:val="231F20"/>
        </w:rPr>
        <w:t>breast,</w:t>
      </w:r>
      <w:r>
        <w:rPr>
          <w:color w:val="231F20"/>
          <w:spacing w:val="24"/>
        </w:rPr>
        <w:t xml:space="preserve"> </w:t>
      </w:r>
      <w:r>
        <w:rPr>
          <w:color w:val="231F20"/>
        </w:rPr>
        <w:t>3%</w:t>
      </w:r>
      <w:r>
        <w:rPr>
          <w:color w:val="231F20"/>
          <w:spacing w:val="24"/>
        </w:rPr>
        <w:t xml:space="preserve"> </w:t>
      </w:r>
      <w:r>
        <w:rPr>
          <w:color w:val="231F20"/>
        </w:rPr>
        <w:t>in</w:t>
      </w:r>
      <w:r>
        <w:rPr>
          <w:color w:val="231F20"/>
          <w:spacing w:val="24"/>
        </w:rPr>
        <w:t xml:space="preserve"> </w:t>
      </w:r>
      <w:r>
        <w:rPr>
          <w:color w:val="231F20"/>
        </w:rPr>
        <w:t>the</w:t>
      </w:r>
      <w:r>
        <w:rPr>
          <w:color w:val="231F20"/>
          <w:spacing w:val="24"/>
        </w:rPr>
        <w:t xml:space="preserve"> </w:t>
      </w:r>
      <w:r>
        <w:rPr>
          <w:color w:val="231F20"/>
        </w:rPr>
        <w:t>biliary</w:t>
      </w:r>
      <w:r>
        <w:rPr>
          <w:color w:val="231F20"/>
          <w:spacing w:val="24"/>
        </w:rPr>
        <w:t xml:space="preserve"> </w:t>
      </w:r>
      <w:r>
        <w:rPr>
          <w:color w:val="231F20"/>
        </w:rPr>
        <w:t>system,</w:t>
      </w:r>
      <w:r>
        <w:rPr>
          <w:color w:val="231F20"/>
          <w:spacing w:val="24"/>
        </w:rPr>
        <w:t xml:space="preserve"> </w:t>
      </w:r>
      <w:r>
        <w:rPr>
          <w:color w:val="231F20"/>
        </w:rPr>
        <w:t>3%</w:t>
      </w:r>
      <w:r>
        <w:rPr>
          <w:color w:val="231F20"/>
          <w:spacing w:val="24"/>
        </w:rPr>
        <w:t xml:space="preserve"> </w:t>
      </w:r>
      <w:r>
        <w:rPr>
          <w:color w:val="231F20"/>
        </w:rPr>
        <w:t>in</w:t>
      </w:r>
      <w:r>
        <w:rPr>
          <w:color w:val="231F20"/>
          <w:spacing w:val="24"/>
        </w:rPr>
        <w:t xml:space="preserve"> </w:t>
      </w:r>
      <w:r>
        <w:rPr>
          <w:color w:val="231F20"/>
        </w:rPr>
        <w:t>the</w:t>
      </w:r>
    </w:p>
    <w:p w:rsidR="00966BA7" w:rsidRDefault="00966BA7">
      <w:pPr>
        <w:spacing w:line="247" w:lineRule="auto"/>
        <w:jc w:val="right"/>
        <w:sectPr w:rsidR="00966BA7">
          <w:pgSz w:w="11910" w:h="16840"/>
          <w:pgMar w:top="900" w:right="1020" w:bottom="720" w:left="1020" w:header="0" w:footer="537" w:gutter="0"/>
          <w:cols w:num="2" w:space="720" w:equalWidth="0">
            <w:col w:w="4698" w:space="348"/>
            <w:col w:w="4824"/>
          </w:cols>
        </w:sectPr>
      </w:pPr>
    </w:p>
    <w:p w:rsidR="00966BA7" w:rsidRDefault="00966BA7">
      <w:pPr>
        <w:pStyle w:val="BodyText"/>
        <w:rPr>
          <w:sz w:val="20"/>
        </w:rPr>
      </w:pPr>
    </w:p>
    <w:p w:rsidR="00966BA7" w:rsidRDefault="00966BA7">
      <w:pPr>
        <w:pStyle w:val="BodyText"/>
        <w:rPr>
          <w:sz w:val="20"/>
        </w:rPr>
      </w:pPr>
    </w:p>
    <w:p w:rsidR="00966BA7" w:rsidRDefault="00966BA7">
      <w:pPr>
        <w:pStyle w:val="BodyText"/>
        <w:spacing w:before="2"/>
        <w:rPr>
          <w:sz w:val="11"/>
        </w:rPr>
      </w:pPr>
    </w:p>
    <w:tbl>
      <w:tblPr>
        <w:tblW w:w="0" w:type="auto"/>
        <w:tblInd w:w="121" w:type="dxa"/>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2211"/>
        <w:gridCol w:w="2551"/>
        <w:gridCol w:w="964"/>
        <w:gridCol w:w="964"/>
        <w:gridCol w:w="964"/>
        <w:gridCol w:w="964"/>
        <w:gridCol w:w="964"/>
      </w:tblGrid>
      <w:tr w:rsidR="00966BA7">
        <w:trPr>
          <w:trHeight w:val="497"/>
        </w:trPr>
        <w:tc>
          <w:tcPr>
            <w:tcW w:w="9582" w:type="dxa"/>
            <w:gridSpan w:val="7"/>
            <w:tcBorders>
              <w:top w:val="nil"/>
              <w:left w:val="nil"/>
              <w:right w:val="nil"/>
            </w:tcBorders>
            <w:shd w:val="clear" w:color="auto" w:fill="EBEBEC"/>
          </w:tcPr>
          <w:p w:rsidR="00966BA7" w:rsidRDefault="00966BA7">
            <w:pPr>
              <w:pStyle w:val="TableParagraph"/>
              <w:spacing w:before="6"/>
              <w:jc w:val="left"/>
              <w:rPr>
                <w:sz w:val="17"/>
              </w:rPr>
            </w:pPr>
          </w:p>
          <w:p w:rsidR="00966BA7" w:rsidRDefault="00F255A2">
            <w:pPr>
              <w:pStyle w:val="TableParagraph"/>
              <w:spacing w:before="0"/>
              <w:ind w:left="239"/>
              <w:jc w:val="left"/>
              <w:rPr>
                <w:sz w:val="18"/>
              </w:rPr>
            </w:pPr>
            <w:r>
              <w:rPr>
                <w:b/>
                <w:color w:val="231F20"/>
                <w:sz w:val="18"/>
              </w:rPr>
              <w:t xml:space="preserve">Table II. </w:t>
            </w:r>
            <w:r>
              <w:rPr>
                <w:color w:val="231F20"/>
                <w:sz w:val="18"/>
              </w:rPr>
              <w:t>Relative risk of each tumor subgroup and</w:t>
            </w:r>
            <w:r>
              <w:rPr>
                <w:color w:val="231F20"/>
                <w:sz w:val="18"/>
              </w:rPr>
              <w:t xml:space="preserve"> corresponding positive predictive value (PPV)</w:t>
            </w:r>
          </w:p>
        </w:tc>
      </w:tr>
      <w:tr w:rsidR="00966BA7">
        <w:trPr>
          <w:trHeight w:val="270"/>
        </w:trPr>
        <w:tc>
          <w:tcPr>
            <w:tcW w:w="2211" w:type="dxa"/>
            <w:tcBorders>
              <w:left w:val="nil"/>
              <w:bottom w:val="single" w:sz="4" w:space="0" w:color="231F20"/>
              <w:right w:val="single" w:sz="4" w:space="0" w:color="231F20"/>
            </w:tcBorders>
            <w:shd w:val="clear" w:color="auto" w:fill="EBEBEC"/>
          </w:tcPr>
          <w:p w:rsidR="00966BA7" w:rsidRDefault="00966BA7">
            <w:pPr>
              <w:pStyle w:val="TableParagraph"/>
              <w:spacing w:before="0"/>
              <w:jc w:val="left"/>
              <w:rPr>
                <w:sz w:val="20"/>
              </w:rPr>
            </w:pPr>
          </w:p>
        </w:tc>
        <w:tc>
          <w:tcPr>
            <w:tcW w:w="2551" w:type="dxa"/>
            <w:tcBorders>
              <w:left w:val="single" w:sz="4" w:space="0" w:color="231F20"/>
              <w:bottom w:val="single" w:sz="4" w:space="0" w:color="231F20"/>
              <w:right w:val="single" w:sz="4" w:space="0" w:color="231F20"/>
            </w:tcBorders>
            <w:shd w:val="clear" w:color="auto" w:fill="EBEBEC"/>
          </w:tcPr>
          <w:p w:rsidR="00966BA7" w:rsidRDefault="00966BA7">
            <w:pPr>
              <w:pStyle w:val="TableParagraph"/>
              <w:spacing w:before="0"/>
              <w:jc w:val="left"/>
              <w:rPr>
                <w:sz w:val="20"/>
              </w:rPr>
            </w:pPr>
          </w:p>
        </w:tc>
        <w:tc>
          <w:tcPr>
            <w:tcW w:w="4820" w:type="dxa"/>
            <w:gridSpan w:val="5"/>
            <w:tcBorders>
              <w:left w:val="single" w:sz="4" w:space="0" w:color="231F20"/>
              <w:bottom w:val="single" w:sz="4" w:space="0" w:color="231F20"/>
              <w:right w:val="nil"/>
            </w:tcBorders>
            <w:shd w:val="clear" w:color="auto" w:fill="EBEBEC"/>
          </w:tcPr>
          <w:p w:rsidR="00966BA7" w:rsidRDefault="00F255A2">
            <w:pPr>
              <w:pStyle w:val="TableParagraph"/>
              <w:spacing w:before="16"/>
              <w:ind w:left="1899" w:right="1900"/>
              <w:rPr>
                <w:b/>
                <w:sz w:val="18"/>
              </w:rPr>
            </w:pPr>
            <w:r>
              <w:rPr>
                <w:b/>
                <w:color w:val="231F20"/>
                <w:sz w:val="18"/>
              </w:rPr>
              <w:t>Relative risk</w:t>
            </w:r>
          </w:p>
        </w:tc>
      </w:tr>
      <w:tr w:rsidR="00966BA7">
        <w:trPr>
          <w:trHeight w:val="273"/>
        </w:trPr>
        <w:tc>
          <w:tcPr>
            <w:tcW w:w="2211" w:type="dxa"/>
            <w:tcBorders>
              <w:top w:val="single" w:sz="4" w:space="0" w:color="231F20"/>
              <w:left w:val="nil"/>
              <w:bottom w:val="single" w:sz="4" w:space="0" w:color="231F20"/>
              <w:right w:val="single" w:sz="4" w:space="0" w:color="231F20"/>
            </w:tcBorders>
            <w:shd w:val="clear" w:color="auto" w:fill="EBEBEC"/>
          </w:tcPr>
          <w:p w:rsidR="00966BA7" w:rsidRDefault="00966BA7">
            <w:pPr>
              <w:pStyle w:val="TableParagraph"/>
              <w:spacing w:before="0"/>
              <w:jc w:val="left"/>
              <w:rPr>
                <w:sz w:val="20"/>
              </w:rPr>
            </w:pP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966BA7">
            <w:pPr>
              <w:pStyle w:val="TableParagraph"/>
              <w:spacing w:before="0"/>
              <w:jc w:val="left"/>
              <w:rPr>
                <w:sz w:val="20"/>
              </w:rPr>
            </w:pP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b/>
                <w:sz w:val="18"/>
              </w:rPr>
            </w:pPr>
            <w:r>
              <w:rPr>
                <w:b/>
                <w:color w:val="231F20"/>
                <w:sz w:val="18"/>
              </w:rPr>
              <w:t>≤ 1</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356"/>
              <w:jc w:val="right"/>
              <w:rPr>
                <w:b/>
                <w:sz w:val="18"/>
              </w:rPr>
            </w:pPr>
            <w:r>
              <w:rPr>
                <w:b/>
                <w:color w:val="231F20"/>
                <w:sz w:val="18"/>
              </w:rPr>
              <w:t>&gt; 1</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356"/>
              <w:jc w:val="right"/>
              <w:rPr>
                <w:b/>
                <w:sz w:val="18"/>
              </w:rPr>
            </w:pPr>
            <w:r>
              <w:rPr>
                <w:b/>
                <w:color w:val="231F20"/>
                <w:sz w:val="18"/>
              </w:rPr>
              <w:t>&gt; 2</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6"/>
              <w:rPr>
                <w:b/>
                <w:sz w:val="18"/>
              </w:rPr>
            </w:pPr>
            <w:r>
              <w:rPr>
                <w:b/>
                <w:color w:val="231F20"/>
                <w:sz w:val="18"/>
              </w:rPr>
              <w:t>&gt; 3</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ind w:left="225" w:right="229"/>
              <w:rPr>
                <w:b/>
                <w:sz w:val="18"/>
              </w:rPr>
            </w:pPr>
            <w:r>
              <w:rPr>
                <w:b/>
                <w:color w:val="231F20"/>
                <w:sz w:val="18"/>
              </w:rPr>
              <w:t>&gt; 4</w:t>
            </w:r>
          </w:p>
        </w:tc>
      </w:tr>
      <w:tr w:rsidR="00966BA7">
        <w:trPr>
          <w:trHeight w:val="273"/>
        </w:trPr>
        <w:tc>
          <w:tcPr>
            <w:tcW w:w="2211" w:type="dxa"/>
            <w:vMerge w:val="restart"/>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ind w:left="239"/>
              <w:jc w:val="left"/>
              <w:rPr>
                <w:b/>
                <w:sz w:val="18"/>
              </w:rPr>
            </w:pPr>
            <w:r>
              <w:rPr>
                <w:b/>
                <w:color w:val="231F20"/>
                <w:sz w:val="18"/>
              </w:rPr>
              <w:t>Borderline</w:t>
            </w: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117"/>
              <w:jc w:val="left"/>
              <w:rPr>
                <w:sz w:val="18"/>
              </w:rPr>
            </w:pPr>
            <w:r>
              <w:rPr>
                <w:color w:val="231F20"/>
                <w:sz w:val="18"/>
              </w:rPr>
              <w:t>Absolute predicted risk</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sz w:val="18"/>
              </w:rPr>
            </w:pPr>
            <w:r>
              <w:rPr>
                <w:color w:val="231F20"/>
                <w:sz w:val="18"/>
              </w:rPr>
              <w:t>≤ 6.3</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289"/>
              <w:jc w:val="right"/>
              <w:rPr>
                <w:sz w:val="18"/>
              </w:rPr>
            </w:pPr>
            <w:r>
              <w:rPr>
                <w:color w:val="231F20"/>
                <w:sz w:val="18"/>
              </w:rPr>
              <w:t>&gt; 6.3</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244"/>
              <w:jc w:val="right"/>
              <w:rPr>
                <w:sz w:val="18"/>
              </w:rPr>
            </w:pPr>
            <w:r>
              <w:rPr>
                <w:color w:val="231F20"/>
                <w:sz w:val="18"/>
              </w:rPr>
              <w:t>&gt; 12.6</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6"/>
              <w:rPr>
                <w:sz w:val="18"/>
              </w:rPr>
            </w:pPr>
            <w:r>
              <w:rPr>
                <w:color w:val="231F20"/>
                <w:sz w:val="18"/>
              </w:rPr>
              <w:t>&gt; 18.9</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ind w:left="225" w:right="229"/>
              <w:rPr>
                <w:sz w:val="18"/>
              </w:rPr>
            </w:pPr>
            <w:r>
              <w:rPr>
                <w:color w:val="231F20"/>
                <w:sz w:val="18"/>
              </w:rPr>
              <w:t>&gt; 25.2</w:t>
            </w:r>
          </w:p>
        </w:tc>
      </w:tr>
      <w:tr w:rsidR="00966BA7">
        <w:trPr>
          <w:trHeight w:val="273"/>
        </w:trPr>
        <w:tc>
          <w:tcPr>
            <w:tcW w:w="2211" w:type="dxa"/>
            <w:vMerge/>
            <w:tcBorders>
              <w:top w:val="nil"/>
              <w:left w:val="nil"/>
              <w:bottom w:val="single" w:sz="4" w:space="0" w:color="231F20"/>
              <w:right w:val="single" w:sz="4" w:space="0" w:color="231F20"/>
            </w:tcBorders>
            <w:shd w:val="clear" w:color="auto" w:fill="EBEBEC"/>
          </w:tcPr>
          <w:p w:rsidR="00966BA7" w:rsidRDefault="00966BA7">
            <w:pPr>
              <w:rPr>
                <w:sz w:val="2"/>
                <w:szCs w:val="2"/>
              </w:rPr>
            </w:pP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117"/>
              <w:jc w:val="left"/>
              <w:rPr>
                <w:sz w:val="18"/>
              </w:rPr>
            </w:pPr>
            <w:r>
              <w:rPr>
                <w:color w:val="231F20"/>
                <w:sz w:val="18"/>
              </w:rPr>
              <w:t>Observed PPV (%)</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sz w:val="18"/>
              </w:rPr>
            </w:pPr>
            <w:r>
              <w:rPr>
                <w:color w:val="231F20"/>
                <w:sz w:val="18"/>
              </w:rPr>
              <w:t>2.0</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317"/>
              <w:jc w:val="right"/>
              <w:rPr>
                <w:sz w:val="18"/>
              </w:rPr>
            </w:pPr>
            <w:r>
              <w:rPr>
                <w:color w:val="231F20"/>
                <w:sz w:val="18"/>
              </w:rPr>
              <w:t>18.4</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318"/>
              <w:jc w:val="right"/>
              <w:rPr>
                <w:sz w:val="18"/>
              </w:rPr>
            </w:pPr>
            <w:r>
              <w:rPr>
                <w:color w:val="231F20"/>
                <w:sz w:val="18"/>
              </w:rPr>
              <w:t>23.9</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6"/>
              <w:rPr>
                <w:sz w:val="18"/>
              </w:rPr>
            </w:pPr>
            <w:r>
              <w:rPr>
                <w:color w:val="231F20"/>
                <w:sz w:val="18"/>
              </w:rPr>
              <w:t>26.0</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ind w:left="225" w:right="230"/>
              <w:rPr>
                <w:sz w:val="18"/>
              </w:rPr>
            </w:pPr>
            <w:r>
              <w:rPr>
                <w:color w:val="231F20"/>
                <w:sz w:val="18"/>
              </w:rPr>
              <w:t>29.7</w:t>
            </w:r>
          </w:p>
        </w:tc>
      </w:tr>
      <w:tr w:rsidR="00966BA7">
        <w:trPr>
          <w:trHeight w:val="273"/>
        </w:trPr>
        <w:tc>
          <w:tcPr>
            <w:tcW w:w="2211" w:type="dxa"/>
            <w:vMerge w:val="restart"/>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ind w:left="239"/>
              <w:jc w:val="left"/>
              <w:rPr>
                <w:b/>
                <w:sz w:val="18"/>
              </w:rPr>
            </w:pPr>
            <w:r>
              <w:rPr>
                <w:b/>
                <w:color w:val="231F20"/>
                <w:sz w:val="18"/>
              </w:rPr>
              <w:t>Stage I cancer</w:t>
            </w: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117"/>
              <w:jc w:val="left"/>
              <w:rPr>
                <w:sz w:val="18"/>
              </w:rPr>
            </w:pPr>
            <w:r>
              <w:rPr>
                <w:color w:val="231F20"/>
                <w:sz w:val="18"/>
              </w:rPr>
              <w:t>Absolute predicted risk</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sz w:val="18"/>
              </w:rPr>
            </w:pPr>
            <w:r>
              <w:rPr>
                <w:color w:val="231F20"/>
                <w:sz w:val="18"/>
              </w:rPr>
              <w:t>≤ 7.4</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289"/>
              <w:jc w:val="right"/>
              <w:rPr>
                <w:sz w:val="18"/>
              </w:rPr>
            </w:pPr>
            <w:r>
              <w:rPr>
                <w:color w:val="231F20"/>
                <w:sz w:val="18"/>
              </w:rPr>
              <w:t>&gt; 7.4</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244"/>
              <w:jc w:val="right"/>
              <w:rPr>
                <w:sz w:val="18"/>
              </w:rPr>
            </w:pPr>
            <w:r>
              <w:rPr>
                <w:color w:val="231F20"/>
                <w:sz w:val="18"/>
              </w:rPr>
              <w:t>&gt;</w:t>
            </w:r>
            <w:r>
              <w:rPr>
                <w:color w:val="231F20"/>
                <w:sz w:val="18"/>
              </w:rPr>
              <w:t xml:space="preserve"> 14.8</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6"/>
              <w:rPr>
                <w:sz w:val="18"/>
              </w:rPr>
            </w:pPr>
            <w:r>
              <w:rPr>
                <w:color w:val="231F20"/>
                <w:sz w:val="18"/>
              </w:rPr>
              <w:t>&gt; 22.2</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ind w:left="225" w:right="230"/>
              <w:rPr>
                <w:sz w:val="18"/>
              </w:rPr>
            </w:pPr>
            <w:r>
              <w:rPr>
                <w:color w:val="231F20"/>
                <w:sz w:val="18"/>
              </w:rPr>
              <w:t>&gt; 29.6</w:t>
            </w:r>
          </w:p>
        </w:tc>
      </w:tr>
      <w:tr w:rsidR="00966BA7">
        <w:trPr>
          <w:trHeight w:val="273"/>
        </w:trPr>
        <w:tc>
          <w:tcPr>
            <w:tcW w:w="2211" w:type="dxa"/>
            <w:vMerge/>
            <w:tcBorders>
              <w:top w:val="nil"/>
              <w:left w:val="nil"/>
              <w:bottom w:val="single" w:sz="4" w:space="0" w:color="231F20"/>
              <w:right w:val="single" w:sz="4" w:space="0" w:color="231F20"/>
            </w:tcBorders>
            <w:shd w:val="clear" w:color="auto" w:fill="EBEBEC"/>
          </w:tcPr>
          <w:p w:rsidR="00966BA7" w:rsidRDefault="00966BA7">
            <w:pPr>
              <w:rPr>
                <w:sz w:val="2"/>
                <w:szCs w:val="2"/>
              </w:rPr>
            </w:pP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117"/>
              <w:jc w:val="left"/>
              <w:rPr>
                <w:sz w:val="18"/>
              </w:rPr>
            </w:pPr>
            <w:r>
              <w:rPr>
                <w:color w:val="231F20"/>
                <w:sz w:val="18"/>
              </w:rPr>
              <w:t>Observed PPV (%)</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sz w:val="18"/>
              </w:rPr>
            </w:pPr>
            <w:r>
              <w:rPr>
                <w:color w:val="231F20"/>
                <w:sz w:val="18"/>
              </w:rPr>
              <w:t>2.2</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317"/>
              <w:jc w:val="right"/>
              <w:rPr>
                <w:sz w:val="18"/>
              </w:rPr>
            </w:pPr>
            <w:r>
              <w:rPr>
                <w:color w:val="231F20"/>
                <w:sz w:val="18"/>
              </w:rPr>
              <w:t>16.5</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318"/>
              <w:jc w:val="right"/>
              <w:rPr>
                <w:sz w:val="18"/>
              </w:rPr>
            </w:pPr>
            <w:r>
              <w:rPr>
                <w:color w:val="231F20"/>
                <w:sz w:val="18"/>
              </w:rPr>
              <w:t>21.2</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sz w:val="18"/>
              </w:rPr>
            </w:pPr>
            <w:r>
              <w:rPr>
                <w:color w:val="231F20"/>
                <w:sz w:val="18"/>
              </w:rPr>
              <w:t>26.6</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ind w:left="225" w:right="230"/>
              <w:rPr>
                <w:sz w:val="18"/>
              </w:rPr>
            </w:pPr>
            <w:r>
              <w:rPr>
                <w:color w:val="231F20"/>
                <w:sz w:val="18"/>
              </w:rPr>
              <w:t>30.7</w:t>
            </w:r>
          </w:p>
        </w:tc>
      </w:tr>
      <w:tr w:rsidR="00966BA7">
        <w:trPr>
          <w:trHeight w:val="273"/>
        </w:trPr>
        <w:tc>
          <w:tcPr>
            <w:tcW w:w="2211" w:type="dxa"/>
            <w:vMerge w:val="restart"/>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ind w:left="239"/>
              <w:jc w:val="left"/>
              <w:rPr>
                <w:b/>
                <w:sz w:val="18"/>
              </w:rPr>
            </w:pPr>
            <w:r>
              <w:rPr>
                <w:b/>
                <w:color w:val="231F20"/>
                <w:sz w:val="18"/>
              </w:rPr>
              <w:t>Stage II-IV cancer</w:t>
            </w: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117"/>
              <w:jc w:val="left"/>
              <w:rPr>
                <w:sz w:val="18"/>
              </w:rPr>
            </w:pPr>
            <w:r>
              <w:rPr>
                <w:color w:val="231F20"/>
                <w:sz w:val="18"/>
              </w:rPr>
              <w:t>Absolute predicted risk</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sz w:val="18"/>
              </w:rPr>
            </w:pPr>
            <w:r>
              <w:rPr>
                <w:color w:val="231F20"/>
                <w:sz w:val="18"/>
              </w:rPr>
              <w:t>≤ 14.1</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244"/>
              <w:jc w:val="right"/>
              <w:rPr>
                <w:sz w:val="18"/>
              </w:rPr>
            </w:pPr>
            <w:r>
              <w:rPr>
                <w:color w:val="231F20"/>
                <w:sz w:val="18"/>
              </w:rPr>
              <w:t>&gt; 14.1</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right="246"/>
              <w:jc w:val="right"/>
              <w:rPr>
                <w:sz w:val="18"/>
              </w:rPr>
            </w:pPr>
            <w:r>
              <w:rPr>
                <w:color w:val="231F20"/>
                <w:sz w:val="18"/>
              </w:rPr>
              <w:t>&gt; 28.2</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ind w:left="225" w:right="225"/>
              <w:rPr>
                <w:sz w:val="18"/>
              </w:rPr>
            </w:pPr>
            <w:r>
              <w:rPr>
                <w:color w:val="231F20"/>
                <w:sz w:val="18"/>
              </w:rPr>
              <w:t>&gt; 42.3</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ind w:left="225" w:right="230"/>
              <w:rPr>
                <w:sz w:val="18"/>
              </w:rPr>
            </w:pPr>
            <w:r>
              <w:rPr>
                <w:color w:val="231F20"/>
                <w:sz w:val="18"/>
              </w:rPr>
              <w:t>&gt; 56.4</w:t>
            </w:r>
          </w:p>
        </w:tc>
      </w:tr>
      <w:tr w:rsidR="00966BA7">
        <w:trPr>
          <w:trHeight w:val="273"/>
        </w:trPr>
        <w:tc>
          <w:tcPr>
            <w:tcW w:w="2211" w:type="dxa"/>
            <w:vMerge/>
            <w:tcBorders>
              <w:top w:val="nil"/>
              <w:left w:val="nil"/>
              <w:bottom w:val="single" w:sz="4" w:space="0" w:color="231F20"/>
              <w:right w:val="single" w:sz="4" w:space="0" w:color="231F20"/>
            </w:tcBorders>
            <w:shd w:val="clear" w:color="auto" w:fill="EBEBEC"/>
          </w:tcPr>
          <w:p w:rsidR="00966BA7" w:rsidRDefault="00966BA7">
            <w:pPr>
              <w:rPr>
                <w:sz w:val="2"/>
                <w:szCs w:val="2"/>
              </w:rPr>
            </w:pP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left="117"/>
              <w:jc w:val="left"/>
              <w:rPr>
                <w:sz w:val="18"/>
              </w:rPr>
            </w:pPr>
            <w:r>
              <w:rPr>
                <w:color w:val="231F20"/>
                <w:sz w:val="18"/>
              </w:rPr>
              <w:t>Observed PPV (%)</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left="225" w:right="225"/>
              <w:rPr>
                <w:sz w:val="18"/>
              </w:rPr>
            </w:pPr>
            <w:r>
              <w:rPr>
                <w:color w:val="231F20"/>
                <w:sz w:val="18"/>
              </w:rPr>
              <w:t>1.4</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right="318"/>
              <w:jc w:val="right"/>
              <w:rPr>
                <w:sz w:val="18"/>
              </w:rPr>
            </w:pPr>
            <w:r>
              <w:rPr>
                <w:color w:val="231F20"/>
                <w:sz w:val="18"/>
              </w:rPr>
              <w:t>56.5</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right="318"/>
              <w:jc w:val="right"/>
              <w:rPr>
                <w:sz w:val="18"/>
              </w:rPr>
            </w:pPr>
            <w:r>
              <w:rPr>
                <w:color w:val="231F20"/>
                <w:sz w:val="18"/>
              </w:rPr>
              <w:t>66.2</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left="225" w:right="225"/>
              <w:rPr>
                <w:sz w:val="18"/>
              </w:rPr>
            </w:pPr>
            <w:r>
              <w:rPr>
                <w:color w:val="231F20"/>
                <w:sz w:val="18"/>
              </w:rPr>
              <w:t>71.3</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spacing w:before="19"/>
              <w:ind w:left="223" w:right="230"/>
              <w:rPr>
                <w:sz w:val="18"/>
              </w:rPr>
            </w:pPr>
            <w:r>
              <w:rPr>
                <w:color w:val="231F20"/>
                <w:sz w:val="18"/>
              </w:rPr>
              <w:t>75.8</w:t>
            </w:r>
          </w:p>
        </w:tc>
      </w:tr>
      <w:tr w:rsidR="00966BA7">
        <w:trPr>
          <w:trHeight w:val="273"/>
        </w:trPr>
        <w:tc>
          <w:tcPr>
            <w:tcW w:w="2211" w:type="dxa"/>
            <w:tcBorders>
              <w:top w:val="single" w:sz="4" w:space="0" w:color="231F20"/>
              <w:left w:val="nil"/>
              <w:bottom w:val="single" w:sz="4" w:space="0" w:color="231F20"/>
              <w:right w:val="single" w:sz="4" w:space="0" w:color="231F20"/>
            </w:tcBorders>
            <w:shd w:val="clear" w:color="auto" w:fill="EBEBEC"/>
          </w:tcPr>
          <w:p w:rsidR="00966BA7" w:rsidRDefault="00F255A2">
            <w:pPr>
              <w:pStyle w:val="TableParagraph"/>
              <w:spacing w:before="19"/>
              <w:ind w:left="239"/>
              <w:jc w:val="left"/>
              <w:rPr>
                <w:b/>
                <w:sz w:val="18"/>
              </w:rPr>
            </w:pPr>
            <w:r>
              <w:rPr>
                <w:b/>
                <w:color w:val="231F20"/>
                <w:sz w:val="18"/>
              </w:rPr>
              <w:t>Secondary</w:t>
            </w:r>
          </w:p>
        </w:tc>
        <w:tc>
          <w:tcPr>
            <w:tcW w:w="2551"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left="117"/>
              <w:jc w:val="left"/>
              <w:rPr>
                <w:sz w:val="18"/>
              </w:rPr>
            </w:pPr>
            <w:r>
              <w:rPr>
                <w:color w:val="231F20"/>
                <w:sz w:val="18"/>
              </w:rPr>
              <w:t>Absolute predicted risk</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left="225" w:right="225"/>
              <w:rPr>
                <w:sz w:val="18"/>
              </w:rPr>
            </w:pPr>
            <w:r>
              <w:rPr>
                <w:color w:val="231F20"/>
                <w:sz w:val="18"/>
              </w:rPr>
              <w:t>≤ 4.0</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right="289"/>
              <w:jc w:val="right"/>
              <w:rPr>
                <w:sz w:val="18"/>
              </w:rPr>
            </w:pPr>
            <w:r>
              <w:rPr>
                <w:color w:val="231F20"/>
                <w:sz w:val="18"/>
              </w:rPr>
              <w:t>&gt; 4.0</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right="290"/>
              <w:jc w:val="right"/>
              <w:rPr>
                <w:sz w:val="18"/>
              </w:rPr>
            </w:pPr>
            <w:r>
              <w:rPr>
                <w:color w:val="231F20"/>
                <w:sz w:val="18"/>
              </w:rPr>
              <w:t>&gt; 8.0</w:t>
            </w:r>
          </w:p>
        </w:tc>
        <w:tc>
          <w:tcPr>
            <w:tcW w:w="964" w:type="dxa"/>
            <w:tcBorders>
              <w:top w:val="single" w:sz="4" w:space="0" w:color="231F20"/>
              <w:left w:val="single" w:sz="4" w:space="0" w:color="231F20"/>
              <w:bottom w:val="single" w:sz="4" w:space="0" w:color="231F20"/>
              <w:right w:val="single" w:sz="4" w:space="0" w:color="231F20"/>
            </w:tcBorders>
            <w:shd w:val="clear" w:color="auto" w:fill="EBEBEC"/>
          </w:tcPr>
          <w:p w:rsidR="00966BA7" w:rsidRDefault="00F255A2">
            <w:pPr>
              <w:pStyle w:val="TableParagraph"/>
              <w:spacing w:before="19"/>
              <w:ind w:left="225" w:right="225"/>
              <w:rPr>
                <w:sz w:val="18"/>
              </w:rPr>
            </w:pPr>
            <w:r>
              <w:rPr>
                <w:color w:val="231F20"/>
                <w:sz w:val="18"/>
              </w:rPr>
              <w:t>&gt; 12.0</w:t>
            </w:r>
          </w:p>
        </w:tc>
        <w:tc>
          <w:tcPr>
            <w:tcW w:w="964" w:type="dxa"/>
            <w:tcBorders>
              <w:top w:val="single" w:sz="4" w:space="0" w:color="231F20"/>
              <w:left w:val="single" w:sz="4" w:space="0" w:color="231F20"/>
              <w:bottom w:val="single" w:sz="4" w:space="0" w:color="231F20"/>
              <w:right w:val="nil"/>
            </w:tcBorders>
            <w:shd w:val="clear" w:color="auto" w:fill="EBEBEC"/>
          </w:tcPr>
          <w:p w:rsidR="00966BA7" w:rsidRDefault="00F255A2">
            <w:pPr>
              <w:pStyle w:val="TableParagraph"/>
              <w:spacing w:before="19"/>
              <w:ind w:left="223" w:right="230"/>
              <w:rPr>
                <w:sz w:val="18"/>
              </w:rPr>
            </w:pPr>
            <w:r>
              <w:rPr>
                <w:color w:val="231F20"/>
                <w:sz w:val="18"/>
              </w:rPr>
              <w:t>&gt; 16.0</w:t>
            </w:r>
          </w:p>
        </w:tc>
      </w:tr>
      <w:tr w:rsidR="00966BA7">
        <w:trPr>
          <w:trHeight w:val="270"/>
        </w:trPr>
        <w:tc>
          <w:tcPr>
            <w:tcW w:w="2211" w:type="dxa"/>
            <w:tcBorders>
              <w:top w:val="single" w:sz="4" w:space="0" w:color="231F20"/>
              <w:left w:val="nil"/>
              <w:right w:val="single" w:sz="4" w:space="0" w:color="231F20"/>
            </w:tcBorders>
            <w:shd w:val="clear" w:color="auto" w:fill="EBEBEC"/>
          </w:tcPr>
          <w:p w:rsidR="00966BA7" w:rsidRDefault="00F255A2">
            <w:pPr>
              <w:pStyle w:val="TableParagraph"/>
              <w:spacing w:before="19"/>
              <w:ind w:left="239"/>
              <w:jc w:val="left"/>
              <w:rPr>
                <w:b/>
                <w:sz w:val="18"/>
              </w:rPr>
            </w:pPr>
            <w:r>
              <w:rPr>
                <w:b/>
                <w:color w:val="231F20"/>
                <w:sz w:val="18"/>
              </w:rPr>
              <w:t>metastatic cancer</w:t>
            </w:r>
          </w:p>
        </w:tc>
        <w:tc>
          <w:tcPr>
            <w:tcW w:w="2551" w:type="dxa"/>
            <w:tcBorders>
              <w:top w:val="single" w:sz="4" w:space="0" w:color="231F20"/>
              <w:left w:val="single" w:sz="4" w:space="0" w:color="231F20"/>
              <w:right w:val="single" w:sz="4" w:space="0" w:color="231F20"/>
            </w:tcBorders>
            <w:shd w:val="clear" w:color="auto" w:fill="EBEBEC"/>
          </w:tcPr>
          <w:p w:rsidR="00966BA7" w:rsidRDefault="00F255A2">
            <w:pPr>
              <w:pStyle w:val="TableParagraph"/>
              <w:spacing w:before="19"/>
              <w:ind w:left="117"/>
              <w:jc w:val="left"/>
              <w:rPr>
                <w:sz w:val="18"/>
              </w:rPr>
            </w:pPr>
            <w:r>
              <w:rPr>
                <w:color w:val="231F20"/>
                <w:sz w:val="18"/>
              </w:rPr>
              <w:t>Observed PPV (%)</w:t>
            </w:r>
          </w:p>
        </w:tc>
        <w:tc>
          <w:tcPr>
            <w:tcW w:w="964" w:type="dxa"/>
            <w:tcBorders>
              <w:top w:val="single" w:sz="4" w:space="0" w:color="231F20"/>
              <w:left w:val="single" w:sz="4" w:space="0" w:color="231F20"/>
              <w:right w:val="single" w:sz="4" w:space="0" w:color="231F20"/>
            </w:tcBorders>
            <w:shd w:val="clear" w:color="auto" w:fill="EBEBEC"/>
          </w:tcPr>
          <w:p w:rsidR="00966BA7" w:rsidRDefault="00F255A2">
            <w:pPr>
              <w:pStyle w:val="TableParagraph"/>
              <w:spacing w:before="19"/>
              <w:ind w:left="225" w:right="226"/>
              <w:rPr>
                <w:sz w:val="18"/>
              </w:rPr>
            </w:pPr>
            <w:r>
              <w:rPr>
                <w:color w:val="231F20"/>
                <w:sz w:val="18"/>
              </w:rPr>
              <w:t>1.0</w:t>
            </w:r>
          </w:p>
        </w:tc>
        <w:tc>
          <w:tcPr>
            <w:tcW w:w="964" w:type="dxa"/>
            <w:tcBorders>
              <w:top w:val="single" w:sz="4" w:space="0" w:color="231F20"/>
              <w:left w:val="single" w:sz="4" w:space="0" w:color="231F20"/>
              <w:right w:val="single" w:sz="4" w:space="0" w:color="231F20"/>
            </w:tcBorders>
            <w:shd w:val="clear" w:color="auto" w:fill="EBEBEC"/>
          </w:tcPr>
          <w:p w:rsidR="00966BA7" w:rsidRDefault="00F255A2">
            <w:pPr>
              <w:pStyle w:val="TableParagraph"/>
              <w:spacing w:before="19"/>
              <w:ind w:right="318"/>
              <w:jc w:val="right"/>
              <w:rPr>
                <w:sz w:val="18"/>
              </w:rPr>
            </w:pPr>
            <w:r>
              <w:rPr>
                <w:color w:val="231F20"/>
                <w:sz w:val="18"/>
              </w:rPr>
              <w:t>13.5</w:t>
            </w:r>
          </w:p>
        </w:tc>
        <w:tc>
          <w:tcPr>
            <w:tcW w:w="964" w:type="dxa"/>
            <w:tcBorders>
              <w:top w:val="single" w:sz="4" w:space="0" w:color="231F20"/>
              <w:left w:val="single" w:sz="4" w:space="0" w:color="231F20"/>
              <w:right w:val="single" w:sz="4" w:space="0" w:color="231F20"/>
            </w:tcBorders>
            <w:shd w:val="clear" w:color="auto" w:fill="EBEBEC"/>
          </w:tcPr>
          <w:p w:rsidR="00966BA7" w:rsidRDefault="00F255A2">
            <w:pPr>
              <w:pStyle w:val="TableParagraph"/>
              <w:spacing w:before="19"/>
              <w:ind w:right="318"/>
              <w:jc w:val="right"/>
              <w:rPr>
                <w:sz w:val="18"/>
              </w:rPr>
            </w:pPr>
            <w:r>
              <w:rPr>
                <w:color w:val="231F20"/>
                <w:sz w:val="18"/>
              </w:rPr>
              <w:t>18.4</w:t>
            </w:r>
          </w:p>
        </w:tc>
        <w:tc>
          <w:tcPr>
            <w:tcW w:w="964" w:type="dxa"/>
            <w:tcBorders>
              <w:top w:val="single" w:sz="4" w:space="0" w:color="231F20"/>
              <w:left w:val="single" w:sz="4" w:space="0" w:color="231F20"/>
              <w:right w:val="single" w:sz="4" w:space="0" w:color="231F20"/>
            </w:tcBorders>
            <w:shd w:val="clear" w:color="auto" w:fill="EBEBEC"/>
          </w:tcPr>
          <w:p w:rsidR="00966BA7" w:rsidRDefault="00F255A2">
            <w:pPr>
              <w:pStyle w:val="TableParagraph"/>
              <w:spacing w:before="19"/>
              <w:ind w:left="225" w:right="225"/>
              <w:rPr>
                <w:sz w:val="18"/>
              </w:rPr>
            </w:pPr>
            <w:r>
              <w:rPr>
                <w:color w:val="231F20"/>
                <w:sz w:val="18"/>
              </w:rPr>
              <w:t>26.4</w:t>
            </w:r>
          </w:p>
        </w:tc>
        <w:tc>
          <w:tcPr>
            <w:tcW w:w="964" w:type="dxa"/>
            <w:tcBorders>
              <w:top w:val="single" w:sz="4" w:space="0" w:color="231F20"/>
              <w:left w:val="single" w:sz="4" w:space="0" w:color="231F20"/>
              <w:right w:val="nil"/>
            </w:tcBorders>
            <w:shd w:val="clear" w:color="auto" w:fill="EBEBEC"/>
          </w:tcPr>
          <w:p w:rsidR="00966BA7" w:rsidRDefault="00F255A2">
            <w:pPr>
              <w:pStyle w:val="TableParagraph"/>
              <w:spacing w:before="19"/>
              <w:ind w:left="224" w:right="230"/>
              <w:rPr>
                <w:sz w:val="18"/>
              </w:rPr>
            </w:pPr>
            <w:r>
              <w:rPr>
                <w:color w:val="231F20"/>
                <w:sz w:val="18"/>
              </w:rPr>
              <w:t>31.6</w:t>
            </w:r>
          </w:p>
        </w:tc>
      </w:tr>
      <w:tr w:rsidR="00966BA7">
        <w:trPr>
          <w:trHeight w:val="1012"/>
        </w:trPr>
        <w:tc>
          <w:tcPr>
            <w:tcW w:w="9582" w:type="dxa"/>
            <w:gridSpan w:val="7"/>
            <w:tcBorders>
              <w:left w:val="nil"/>
              <w:bottom w:val="nil"/>
              <w:right w:val="nil"/>
            </w:tcBorders>
            <w:shd w:val="clear" w:color="auto" w:fill="EBEBEC"/>
          </w:tcPr>
          <w:p w:rsidR="00966BA7" w:rsidRDefault="00F255A2">
            <w:pPr>
              <w:pStyle w:val="TableParagraph"/>
              <w:spacing w:before="15"/>
              <w:ind w:left="239"/>
              <w:jc w:val="both"/>
              <w:rPr>
                <w:sz w:val="18"/>
              </w:rPr>
            </w:pPr>
            <w:r>
              <w:rPr>
                <w:color w:val="231F20"/>
                <w:sz w:val="18"/>
              </w:rPr>
              <w:t>Relative risk: rate of change of the absolute predicted risk versus the baseline risk.</w:t>
            </w:r>
          </w:p>
          <w:p w:rsidR="00966BA7" w:rsidRDefault="00F255A2">
            <w:pPr>
              <w:pStyle w:val="TableParagraph"/>
              <w:spacing w:before="13" w:line="254" w:lineRule="auto"/>
              <w:ind w:left="239"/>
              <w:jc w:val="both"/>
              <w:rPr>
                <w:sz w:val="18"/>
              </w:rPr>
            </w:pPr>
            <w:r>
              <w:rPr>
                <w:color w:val="231F20"/>
                <w:sz w:val="18"/>
              </w:rPr>
              <w:t>Observed PPV: the observed positive predictive value, i.e. the percentage of patients with a given outcome among those with a given relative risk for that outcome as observed in the sample of 5909 patients on which the final ADNEX coefficients were obtaine</w:t>
            </w:r>
            <w:r>
              <w:rPr>
                <w:color w:val="231F20"/>
                <w:sz w:val="18"/>
              </w:rPr>
              <w:t>d. Note that this is an observed percentage that is unadjusted for clustering by center.</w:t>
            </w:r>
          </w:p>
        </w:tc>
      </w:tr>
    </w:tbl>
    <w:p w:rsidR="00966BA7" w:rsidRDefault="00966BA7">
      <w:pPr>
        <w:spacing w:line="254" w:lineRule="auto"/>
        <w:jc w:val="both"/>
        <w:rPr>
          <w:sz w:val="18"/>
        </w:rPr>
        <w:sectPr w:rsidR="00966BA7">
          <w:type w:val="continuous"/>
          <w:pgSz w:w="11910" w:h="16840"/>
          <w:pgMar w:top="880" w:right="1020" w:bottom="720" w:left="1020" w:header="720" w:footer="720" w:gutter="0"/>
          <w:cols w:space="720"/>
        </w:sectPr>
      </w:pPr>
    </w:p>
    <w:p w:rsidR="00966BA7" w:rsidRDefault="00F255A2">
      <w:pPr>
        <w:pStyle w:val="BodyText"/>
        <w:spacing w:before="42" w:line="247" w:lineRule="auto"/>
        <w:ind w:left="170" w:right="38"/>
        <w:jc w:val="both"/>
      </w:pPr>
      <w:proofErr w:type="gramStart"/>
      <w:r>
        <w:rPr>
          <w:color w:val="231F20"/>
        </w:rPr>
        <w:lastRenderedPageBreak/>
        <w:t>appendix</w:t>
      </w:r>
      <w:proofErr w:type="gramEnd"/>
      <w:r>
        <w:rPr>
          <w:color w:val="231F20"/>
        </w:rPr>
        <w:t xml:space="preserve">, and the remaining 3% in miscellaneous </w:t>
      </w:r>
      <w:r>
        <w:rPr>
          <w:color w:val="231F20"/>
          <w:spacing w:val="3"/>
        </w:rPr>
        <w:t xml:space="preserve">sites, such </w:t>
      </w:r>
      <w:r>
        <w:rPr>
          <w:color w:val="231F20"/>
        </w:rPr>
        <w:t xml:space="preserve">as </w:t>
      </w:r>
      <w:r>
        <w:rPr>
          <w:color w:val="231F20"/>
          <w:spacing w:val="3"/>
        </w:rPr>
        <w:t xml:space="preserve">pancreas, uterine cervix, </w:t>
      </w:r>
      <w:r>
        <w:rPr>
          <w:color w:val="231F20"/>
        </w:rPr>
        <w:t>urinary bladder</w:t>
      </w:r>
      <w:r>
        <w:rPr>
          <w:color w:val="231F20"/>
          <w:spacing w:val="-15"/>
        </w:rPr>
        <w:t xml:space="preserve"> </w:t>
      </w:r>
      <w:r>
        <w:rPr>
          <w:color w:val="231F20"/>
        </w:rPr>
        <w:t>(including</w:t>
      </w:r>
      <w:r>
        <w:rPr>
          <w:color w:val="231F20"/>
          <w:spacing w:val="-15"/>
        </w:rPr>
        <w:t xml:space="preserve"> </w:t>
      </w:r>
      <w:r>
        <w:rPr>
          <w:color w:val="231F20"/>
        </w:rPr>
        <w:t>urachus),</w:t>
      </w:r>
      <w:r>
        <w:rPr>
          <w:color w:val="231F20"/>
          <w:spacing w:val="-15"/>
        </w:rPr>
        <w:t xml:space="preserve"> </w:t>
      </w:r>
      <w:r>
        <w:rPr>
          <w:color w:val="231F20"/>
        </w:rPr>
        <w:t>and</w:t>
      </w:r>
      <w:r>
        <w:rPr>
          <w:color w:val="231F20"/>
          <w:spacing w:val="-15"/>
        </w:rPr>
        <w:t xml:space="preserve"> </w:t>
      </w:r>
      <w:r>
        <w:rPr>
          <w:color w:val="231F20"/>
        </w:rPr>
        <w:t>renal</w:t>
      </w:r>
      <w:r>
        <w:rPr>
          <w:color w:val="231F20"/>
          <w:spacing w:val="-15"/>
        </w:rPr>
        <w:t xml:space="preserve"> </w:t>
      </w:r>
      <w:r>
        <w:rPr>
          <w:color w:val="231F20"/>
        </w:rPr>
        <w:t>pelvis</w:t>
      </w:r>
      <w:r>
        <w:rPr>
          <w:color w:val="231F20"/>
          <w:spacing w:val="-15"/>
        </w:rPr>
        <w:t xml:space="preserve"> </w:t>
      </w:r>
      <w:r>
        <w:rPr>
          <w:color w:val="231F20"/>
        </w:rPr>
        <w:t xml:space="preserve">(Irving et </w:t>
      </w:r>
      <w:r>
        <w:rPr>
          <w:color w:val="231F20"/>
          <w:spacing w:val="3"/>
        </w:rPr>
        <w:t xml:space="preserve">al., 2006). When </w:t>
      </w:r>
      <w:r>
        <w:rPr>
          <w:color w:val="231F20"/>
        </w:rPr>
        <w:t xml:space="preserve">an </w:t>
      </w:r>
      <w:r>
        <w:rPr>
          <w:color w:val="231F20"/>
          <w:spacing w:val="3"/>
        </w:rPr>
        <w:t xml:space="preserve">ovarian malignancy </w:t>
      </w:r>
      <w:r>
        <w:rPr>
          <w:color w:val="231F20"/>
        </w:rPr>
        <w:t xml:space="preserve">is </w:t>
      </w:r>
      <w:r>
        <w:rPr>
          <w:color w:val="231F20"/>
          <w:spacing w:val="4"/>
        </w:rPr>
        <w:t xml:space="preserve">suspected </w:t>
      </w:r>
      <w:r>
        <w:rPr>
          <w:color w:val="231F20"/>
          <w:spacing w:val="2"/>
        </w:rPr>
        <w:t xml:space="preserve">on </w:t>
      </w:r>
      <w:r>
        <w:rPr>
          <w:color w:val="231F20"/>
          <w:spacing w:val="4"/>
        </w:rPr>
        <w:t xml:space="preserve">vaginal ultrasound, </w:t>
      </w:r>
      <w:r>
        <w:rPr>
          <w:color w:val="231F20"/>
          <w:spacing w:val="5"/>
        </w:rPr>
        <w:t xml:space="preserve">preoperative </w:t>
      </w:r>
      <w:r>
        <w:rPr>
          <w:color w:val="231F20"/>
        </w:rPr>
        <w:t xml:space="preserve">staging is planned by using chest x-ray, computed </w:t>
      </w:r>
      <w:r>
        <w:rPr>
          <w:color w:val="231F20"/>
          <w:spacing w:val="2"/>
        </w:rPr>
        <w:t xml:space="preserve">tomography (CT) </w:t>
      </w:r>
      <w:r>
        <w:rPr>
          <w:color w:val="231F20"/>
        </w:rPr>
        <w:t xml:space="preserve">of the </w:t>
      </w:r>
      <w:r>
        <w:rPr>
          <w:color w:val="231F20"/>
          <w:spacing w:val="2"/>
        </w:rPr>
        <w:t xml:space="preserve">abdomen, </w:t>
      </w:r>
      <w:r>
        <w:rPr>
          <w:color w:val="231F20"/>
        </w:rPr>
        <w:t xml:space="preserve">or </w:t>
      </w:r>
      <w:r>
        <w:rPr>
          <w:color w:val="231F20"/>
          <w:spacing w:val="3"/>
        </w:rPr>
        <w:t xml:space="preserve">magnetic </w:t>
      </w:r>
      <w:r>
        <w:rPr>
          <w:color w:val="231F20"/>
        </w:rPr>
        <w:t>resonance imaging (MRI) to evaluate the extension of</w:t>
      </w:r>
      <w:r>
        <w:rPr>
          <w:color w:val="231F20"/>
          <w:spacing w:val="-14"/>
        </w:rPr>
        <w:t xml:space="preserve"> </w:t>
      </w:r>
      <w:r>
        <w:rPr>
          <w:color w:val="231F20"/>
        </w:rPr>
        <w:t>the</w:t>
      </w:r>
      <w:r>
        <w:rPr>
          <w:color w:val="231F20"/>
          <w:spacing w:val="-14"/>
        </w:rPr>
        <w:t xml:space="preserve"> </w:t>
      </w:r>
      <w:r>
        <w:rPr>
          <w:color w:val="231F20"/>
        </w:rPr>
        <w:t>disease.</w:t>
      </w:r>
      <w:r>
        <w:rPr>
          <w:color w:val="231F20"/>
          <w:spacing w:val="-13"/>
        </w:rPr>
        <w:t xml:space="preserve"> </w:t>
      </w:r>
      <w:r>
        <w:rPr>
          <w:color w:val="231F20"/>
        </w:rPr>
        <w:t>When</w:t>
      </w:r>
      <w:r>
        <w:rPr>
          <w:color w:val="231F20"/>
          <w:spacing w:val="-14"/>
        </w:rPr>
        <w:t xml:space="preserve"> </w:t>
      </w:r>
      <w:r>
        <w:rPr>
          <w:color w:val="231F20"/>
        </w:rPr>
        <w:t>the</w:t>
      </w:r>
      <w:r>
        <w:rPr>
          <w:color w:val="231F20"/>
          <w:spacing w:val="-13"/>
        </w:rPr>
        <w:t xml:space="preserve"> </w:t>
      </w:r>
      <w:r>
        <w:rPr>
          <w:color w:val="231F20"/>
        </w:rPr>
        <w:t>ADNEX</w:t>
      </w:r>
      <w:r>
        <w:rPr>
          <w:color w:val="231F20"/>
          <w:spacing w:val="-14"/>
        </w:rPr>
        <w:t xml:space="preserve"> </w:t>
      </w:r>
      <w:r>
        <w:rPr>
          <w:color w:val="231F20"/>
        </w:rPr>
        <w:t>model</w:t>
      </w:r>
      <w:r>
        <w:rPr>
          <w:color w:val="231F20"/>
          <w:spacing w:val="-13"/>
        </w:rPr>
        <w:t xml:space="preserve"> </w:t>
      </w:r>
      <w:r>
        <w:rPr>
          <w:color w:val="231F20"/>
        </w:rPr>
        <w:t>would</w:t>
      </w:r>
      <w:r>
        <w:rPr>
          <w:color w:val="231F20"/>
          <w:spacing w:val="-14"/>
        </w:rPr>
        <w:t xml:space="preserve"> </w:t>
      </w:r>
      <w:r>
        <w:rPr>
          <w:color w:val="231F20"/>
        </w:rPr>
        <w:t xml:space="preserve">give an increased risk of secondary metastatic </w:t>
      </w:r>
      <w:r>
        <w:rPr>
          <w:color w:val="231F20"/>
          <w:spacing w:val="2"/>
        </w:rPr>
        <w:t xml:space="preserve">cancer </w:t>
      </w:r>
      <w:r>
        <w:rPr>
          <w:color w:val="231F20"/>
        </w:rPr>
        <w:t>(e.g.</w:t>
      </w:r>
      <w:r>
        <w:rPr>
          <w:color w:val="231F20"/>
          <w:spacing w:val="14"/>
        </w:rPr>
        <w:t xml:space="preserve"> </w:t>
      </w:r>
      <w:r>
        <w:rPr>
          <w:color w:val="231F20"/>
        </w:rPr>
        <w:t>a</w:t>
      </w:r>
      <w:r>
        <w:rPr>
          <w:color w:val="231F20"/>
          <w:spacing w:val="14"/>
        </w:rPr>
        <w:t xml:space="preserve"> </w:t>
      </w:r>
      <w:r>
        <w:rPr>
          <w:color w:val="231F20"/>
        </w:rPr>
        <w:t>relative</w:t>
      </w:r>
      <w:r>
        <w:rPr>
          <w:color w:val="231F20"/>
          <w:spacing w:val="14"/>
        </w:rPr>
        <w:t xml:space="preserve"> </w:t>
      </w:r>
      <w:r>
        <w:rPr>
          <w:color w:val="231F20"/>
        </w:rPr>
        <w:t>risk</w:t>
      </w:r>
      <w:r>
        <w:rPr>
          <w:color w:val="231F20"/>
          <w:spacing w:val="14"/>
        </w:rPr>
        <w:t xml:space="preserve"> </w:t>
      </w:r>
      <w:r>
        <w:rPr>
          <w:color w:val="231F20"/>
        </w:rPr>
        <w:t>&gt;</w:t>
      </w:r>
      <w:r>
        <w:rPr>
          <w:color w:val="231F20"/>
          <w:spacing w:val="1"/>
        </w:rPr>
        <w:t xml:space="preserve"> </w:t>
      </w:r>
      <w:r>
        <w:rPr>
          <w:color w:val="231F20"/>
        </w:rPr>
        <w:t>3</w:t>
      </w:r>
      <w:r>
        <w:rPr>
          <w:color w:val="231F20"/>
          <w:spacing w:val="14"/>
        </w:rPr>
        <w:t xml:space="preserve"> </w:t>
      </w:r>
      <w:r>
        <w:rPr>
          <w:color w:val="231F20"/>
        </w:rPr>
        <w:t>or</w:t>
      </w:r>
      <w:r>
        <w:rPr>
          <w:color w:val="231F20"/>
          <w:spacing w:val="15"/>
        </w:rPr>
        <w:t xml:space="preserve"> </w:t>
      </w:r>
      <w:r>
        <w:rPr>
          <w:color w:val="231F20"/>
        </w:rPr>
        <w:t>&gt; 4,</w:t>
      </w:r>
      <w:r>
        <w:rPr>
          <w:color w:val="231F20"/>
          <w:spacing w:val="14"/>
        </w:rPr>
        <w:t xml:space="preserve"> </w:t>
      </w:r>
      <w:r>
        <w:rPr>
          <w:color w:val="231F20"/>
        </w:rPr>
        <w:t>corresponding</w:t>
      </w:r>
      <w:r>
        <w:rPr>
          <w:color w:val="231F20"/>
          <w:spacing w:val="14"/>
        </w:rPr>
        <w:t xml:space="preserve"> </w:t>
      </w:r>
      <w:r>
        <w:rPr>
          <w:color w:val="231F20"/>
        </w:rPr>
        <w:t>PPV</w:t>
      </w:r>
    </w:p>
    <w:p w:rsidR="00966BA7" w:rsidRDefault="00F255A2">
      <w:pPr>
        <w:pStyle w:val="BodyText"/>
        <w:spacing w:line="247" w:lineRule="auto"/>
        <w:ind w:left="170" w:right="38"/>
        <w:jc w:val="both"/>
      </w:pPr>
      <w:r>
        <w:rPr>
          <w:color w:val="231F20"/>
        </w:rPr>
        <w:t xml:space="preserve">26.4 </w:t>
      </w:r>
      <w:proofErr w:type="gramStart"/>
      <w:r>
        <w:rPr>
          <w:color w:val="231F20"/>
        </w:rPr>
        <w:t>and</w:t>
      </w:r>
      <w:proofErr w:type="gramEnd"/>
      <w:r>
        <w:rPr>
          <w:color w:val="231F20"/>
        </w:rPr>
        <w:t xml:space="preserve"> 31.6%), this could assist the clinician to </w:t>
      </w:r>
      <w:r>
        <w:rPr>
          <w:color w:val="231F20"/>
          <w:spacing w:val="2"/>
        </w:rPr>
        <w:t xml:space="preserve">plan appropriate diagnostics </w:t>
      </w:r>
      <w:r>
        <w:rPr>
          <w:color w:val="231F20"/>
        </w:rPr>
        <w:t xml:space="preserve">to </w:t>
      </w:r>
      <w:r>
        <w:rPr>
          <w:color w:val="231F20"/>
          <w:spacing w:val="2"/>
        </w:rPr>
        <w:t xml:space="preserve">exclude another </w:t>
      </w:r>
      <w:r>
        <w:rPr>
          <w:color w:val="231F20"/>
          <w:spacing w:val="4"/>
        </w:rPr>
        <w:t>primary origin</w:t>
      </w:r>
      <w:r>
        <w:rPr>
          <w:color w:val="231F20"/>
          <w:spacing w:val="4"/>
        </w:rPr>
        <w:t xml:space="preserve"> </w:t>
      </w:r>
      <w:r>
        <w:rPr>
          <w:color w:val="231F20"/>
          <w:spacing w:val="2"/>
        </w:rPr>
        <w:t xml:space="preserve">of </w:t>
      </w:r>
      <w:r>
        <w:rPr>
          <w:color w:val="231F20"/>
          <w:spacing w:val="4"/>
        </w:rPr>
        <w:t xml:space="preserve">malignancy.  </w:t>
      </w:r>
      <w:proofErr w:type="gramStart"/>
      <w:r>
        <w:rPr>
          <w:color w:val="231F20"/>
          <w:spacing w:val="4"/>
        </w:rPr>
        <w:t xml:space="preserve">Depending  </w:t>
      </w:r>
      <w:r>
        <w:rPr>
          <w:color w:val="231F20"/>
          <w:spacing w:val="5"/>
        </w:rPr>
        <w:t>on</w:t>
      </w:r>
      <w:proofErr w:type="gramEnd"/>
      <w:r>
        <w:rPr>
          <w:color w:val="231F20"/>
          <w:spacing w:val="5"/>
        </w:rPr>
        <w:t xml:space="preserve"> </w:t>
      </w:r>
      <w:r>
        <w:rPr>
          <w:color w:val="231F20"/>
        </w:rPr>
        <w:t xml:space="preserve">the </w:t>
      </w:r>
      <w:r>
        <w:rPr>
          <w:color w:val="231F20"/>
          <w:spacing w:val="2"/>
        </w:rPr>
        <w:t xml:space="preserve">clinical situation these additional investiga- </w:t>
      </w:r>
      <w:r>
        <w:rPr>
          <w:color w:val="231F20"/>
        </w:rPr>
        <w:t xml:space="preserve">tions could include a PET-CT, MRI whole body </w:t>
      </w:r>
      <w:r>
        <w:rPr>
          <w:color w:val="231F20"/>
          <w:spacing w:val="3"/>
        </w:rPr>
        <w:t xml:space="preserve">diffusion, gastroscopy, colonoscopy, </w:t>
      </w:r>
      <w:r>
        <w:rPr>
          <w:color w:val="231F20"/>
          <w:spacing w:val="2"/>
        </w:rPr>
        <w:t xml:space="preserve">and </w:t>
      </w:r>
      <w:r>
        <w:rPr>
          <w:color w:val="231F20"/>
          <w:spacing w:val="4"/>
        </w:rPr>
        <w:t xml:space="preserve">x-ray </w:t>
      </w:r>
      <w:r>
        <w:rPr>
          <w:color w:val="231F20"/>
        </w:rPr>
        <w:t>mammography.</w:t>
      </w:r>
    </w:p>
    <w:p w:rsidR="00966BA7" w:rsidRDefault="00F255A2">
      <w:pPr>
        <w:pStyle w:val="BodyText"/>
        <w:spacing w:line="247" w:lineRule="auto"/>
        <w:ind w:left="170" w:right="40" w:firstLine="226"/>
        <w:jc w:val="both"/>
      </w:pPr>
      <w:r>
        <w:rPr>
          <w:color w:val="231F20"/>
          <w:spacing w:val="5"/>
        </w:rPr>
        <w:t xml:space="preserve">Borderline malignant epithelial tumors </w:t>
      </w:r>
      <w:r>
        <w:rPr>
          <w:color w:val="231F20"/>
          <w:spacing w:val="4"/>
        </w:rPr>
        <w:t xml:space="preserve">are </w:t>
      </w:r>
      <w:r>
        <w:rPr>
          <w:color w:val="231F20"/>
          <w:spacing w:val="2"/>
        </w:rPr>
        <w:t xml:space="preserve">primarily non-invasive </w:t>
      </w:r>
      <w:r>
        <w:rPr>
          <w:color w:val="231F20"/>
        </w:rPr>
        <w:t>but</w:t>
      </w:r>
      <w:r>
        <w:rPr>
          <w:color w:val="231F20"/>
        </w:rPr>
        <w:t xml:space="preserve"> can </w:t>
      </w:r>
      <w:r>
        <w:rPr>
          <w:color w:val="231F20"/>
          <w:spacing w:val="2"/>
        </w:rPr>
        <w:t xml:space="preserve">(rarely) lead </w:t>
      </w:r>
      <w:r>
        <w:rPr>
          <w:color w:val="231F20"/>
        </w:rPr>
        <w:t>to invasive metastases. Extent of surgery depends on (surgical) staging and wish of fertility preservation (Cadron et al., 2007). If the latter is not desired by the patient, surgery consists of hysterectomy with bilateral adnexectomy, o</w:t>
      </w:r>
      <w:r>
        <w:rPr>
          <w:color w:val="231F20"/>
        </w:rPr>
        <w:t>mentectomy and</w:t>
      </w:r>
      <w:r>
        <w:rPr>
          <w:color w:val="231F20"/>
          <w:spacing w:val="-19"/>
        </w:rPr>
        <w:t xml:space="preserve"> </w:t>
      </w:r>
      <w:r>
        <w:rPr>
          <w:color w:val="231F20"/>
        </w:rPr>
        <w:t xml:space="preserve">collection of peritoneal biopsies and cytology. If the patient </w:t>
      </w:r>
      <w:r>
        <w:rPr>
          <w:color w:val="231F20"/>
          <w:spacing w:val="2"/>
        </w:rPr>
        <w:t xml:space="preserve">wants </w:t>
      </w:r>
      <w:r>
        <w:rPr>
          <w:color w:val="231F20"/>
        </w:rPr>
        <w:t xml:space="preserve">to </w:t>
      </w:r>
      <w:r>
        <w:rPr>
          <w:color w:val="231F20"/>
          <w:spacing w:val="2"/>
        </w:rPr>
        <w:t xml:space="preserve">preserve </w:t>
      </w:r>
      <w:r>
        <w:rPr>
          <w:color w:val="231F20"/>
        </w:rPr>
        <w:t xml:space="preserve">her </w:t>
      </w:r>
      <w:r>
        <w:rPr>
          <w:color w:val="231F20"/>
          <w:spacing w:val="2"/>
        </w:rPr>
        <w:t xml:space="preserve">fertility, fertility </w:t>
      </w:r>
      <w:r>
        <w:rPr>
          <w:color w:val="231F20"/>
          <w:spacing w:val="3"/>
        </w:rPr>
        <w:t xml:space="preserve">sparing surgery (unilateral adnexectomy </w:t>
      </w:r>
      <w:proofErr w:type="gramStart"/>
      <w:r>
        <w:rPr>
          <w:color w:val="231F20"/>
        </w:rPr>
        <w:t xml:space="preserve">or  </w:t>
      </w:r>
      <w:r>
        <w:rPr>
          <w:color w:val="231F20"/>
          <w:spacing w:val="4"/>
        </w:rPr>
        <w:t>cystectomy</w:t>
      </w:r>
      <w:proofErr w:type="gramEnd"/>
      <w:r>
        <w:rPr>
          <w:color w:val="231F20"/>
          <w:spacing w:val="4"/>
        </w:rPr>
        <w:t xml:space="preserve"> </w:t>
      </w:r>
      <w:r>
        <w:rPr>
          <w:color w:val="231F20"/>
        </w:rPr>
        <w:t>or unilateral adnexectomy with contralateral cyst- ectomy if bilateral disease, with omentectomy and peritoneal biopsies) is possible. This procedure is usually done by laparotomy, but might also be</w:t>
      </w:r>
      <w:r>
        <w:rPr>
          <w:color w:val="231F20"/>
          <w:spacing w:val="-32"/>
        </w:rPr>
        <w:t xml:space="preserve"> </w:t>
      </w:r>
      <w:r>
        <w:rPr>
          <w:color w:val="231F20"/>
        </w:rPr>
        <w:t>done by laparoscopy. These fertility-sparing procedures c</w:t>
      </w:r>
      <w:r>
        <w:rPr>
          <w:color w:val="231F20"/>
        </w:rPr>
        <w:t>ould</w:t>
      </w:r>
      <w:r>
        <w:rPr>
          <w:color w:val="231F20"/>
          <w:spacing w:val="-16"/>
        </w:rPr>
        <w:t xml:space="preserve"> </w:t>
      </w:r>
      <w:r>
        <w:rPr>
          <w:color w:val="231F20"/>
        </w:rPr>
        <w:t>be</w:t>
      </w:r>
      <w:r>
        <w:rPr>
          <w:color w:val="231F20"/>
          <w:spacing w:val="-16"/>
        </w:rPr>
        <w:t xml:space="preserve"> </w:t>
      </w:r>
      <w:r>
        <w:rPr>
          <w:color w:val="231F20"/>
        </w:rPr>
        <w:t>considered</w:t>
      </w:r>
      <w:r>
        <w:rPr>
          <w:color w:val="231F20"/>
          <w:spacing w:val="-16"/>
        </w:rPr>
        <w:t xml:space="preserve"> </w:t>
      </w:r>
      <w:r>
        <w:rPr>
          <w:color w:val="231F20"/>
        </w:rPr>
        <w:t>when</w:t>
      </w:r>
      <w:r>
        <w:rPr>
          <w:color w:val="231F20"/>
          <w:spacing w:val="-16"/>
        </w:rPr>
        <w:t xml:space="preserve"> </w:t>
      </w:r>
      <w:r>
        <w:rPr>
          <w:color w:val="231F20"/>
        </w:rPr>
        <w:t>the</w:t>
      </w:r>
      <w:r>
        <w:rPr>
          <w:color w:val="231F20"/>
          <w:spacing w:val="-16"/>
        </w:rPr>
        <w:t xml:space="preserve"> </w:t>
      </w:r>
      <w:r>
        <w:rPr>
          <w:color w:val="231F20"/>
        </w:rPr>
        <w:t>ADNEX</w:t>
      </w:r>
      <w:r>
        <w:rPr>
          <w:color w:val="231F20"/>
          <w:spacing w:val="-15"/>
        </w:rPr>
        <w:t xml:space="preserve"> </w:t>
      </w:r>
      <w:r>
        <w:rPr>
          <w:color w:val="231F20"/>
        </w:rPr>
        <w:t>model</w:t>
      </w:r>
      <w:r>
        <w:rPr>
          <w:color w:val="231F20"/>
          <w:spacing w:val="-16"/>
        </w:rPr>
        <w:t xml:space="preserve"> </w:t>
      </w:r>
      <w:r>
        <w:rPr>
          <w:color w:val="231F20"/>
        </w:rPr>
        <w:t>points to</w:t>
      </w:r>
      <w:r>
        <w:rPr>
          <w:color w:val="231F20"/>
          <w:spacing w:val="-20"/>
        </w:rPr>
        <w:t xml:space="preserve"> </w:t>
      </w:r>
      <w:r>
        <w:rPr>
          <w:color w:val="231F20"/>
        </w:rPr>
        <w:t>an</w:t>
      </w:r>
      <w:r>
        <w:rPr>
          <w:color w:val="231F20"/>
          <w:spacing w:val="-19"/>
        </w:rPr>
        <w:t xml:space="preserve"> </w:t>
      </w:r>
      <w:r>
        <w:rPr>
          <w:color w:val="231F20"/>
        </w:rPr>
        <w:t>increased</w:t>
      </w:r>
      <w:r>
        <w:rPr>
          <w:color w:val="231F20"/>
          <w:spacing w:val="-19"/>
        </w:rPr>
        <w:t xml:space="preserve"> </w:t>
      </w:r>
      <w:r>
        <w:rPr>
          <w:color w:val="231F20"/>
        </w:rPr>
        <w:t>risk</w:t>
      </w:r>
      <w:r>
        <w:rPr>
          <w:color w:val="231F20"/>
          <w:spacing w:val="-19"/>
        </w:rPr>
        <w:t xml:space="preserve"> </w:t>
      </w:r>
      <w:r>
        <w:rPr>
          <w:color w:val="231F20"/>
        </w:rPr>
        <w:t>for</w:t>
      </w:r>
      <w:r>
        <w:rPr>
          <w:color w:val="231F20"/>
          <w:spacing w:val="-19"/>
        </w:rPr>
        <w:t xml:space="preserve"> </w:t>
      </w:r>
      <w:r>
        <w:rPr>
          <w:color w:val="231F20"/>
        </w:rPr>
        <w:t>a</w:t>
      </w:r>
      <w:r>
        <w:rPr>
          <w:color w:val="231F20"/>
          <w:spacing w:val="-19"/>
        </w:rPr>
        <w:t xml:space="preserve"> </w:t>
      </w:r>
      <w:r>
        <w:rPr>
          <w:color w:val="231F20"/>
        </w:rPr>
        <w:t>borderline</w:t>
      </w:r>
      <w:r>
        <w:rPr>
          <w:color w:val="231F20"/>
          <w:spacing w:val="-19"/>
        </w:rPr>
        <w:t xml:space="preserve"> </w:t>
      </w:r>
      <w:r>
        <w:rPr>
          <w:color w:val="231F20"/>
        </w:rPr>
        <w:t>malignancy</w:t>
      </w:r>
      <w:r>
        <w:rPr>
          <w:color w:val="231F20"/>
          <w:spacing w:val="-19"/>
        </w:rPr>
        <w:t xml:space="preserve"> </w:t>
      </w:r>
      <w:r>
        <w:rPr>
          <w:color w:val="231F20"/>
        </w:rPr>
        <w:t>(e.g. a relative risk &gt; 3 or &gt; 4, corresponding PPV 26.0 and 29.7%).</w:t>
      </w:r>
    </w:p>
    <w:p w:rsidR="00966BA7" w:rsidRDefault="00F255A2">
      <w:pPr>
        <w:pStyle w:val="BodyText"/>
        <w:spacing w:line="247" w:lineRule="auto"/>
        <w:ind w:left="170" w:right="38" w:firstLine="226"/>
        <w:jc w:val="both"/>
      </w:pPr>
      <w:r>
        <w:rPr>
          <w:color w:val="231F20"/>
        </w:rPr>
        <w:t>The</w:t>
      </w:r>
      <w:r>
        <w:rPr>
          <w:color w:val="231F20"/>
          <w:spacing w:val="-9"/>
        </w:rPr>
        <w:t xml:space="preserve"> </w:t>
      </w:r>
      <w:r>
        <w:rPr>
          <w:color w:val="231F20"/>
        </w:rPr>
        <w:t>surgical</w:t>
      </w:r>
      <w:r>
        <w:rPr>
          <w:color w:val="231F20"/>
          <w:spacing w:val="-8"/>
        </w:rPr>
        <w:t xml:space="preserve"> </w:t>
      </w:r>
      <w:r>
        <w:rPr>
          <w:color w:val="231F20"/>
        </w:rPr>
        <w:t>treatment</w:t>
      </w:r>
      <w:r>
        <w:rPr>
          <w:color w:val="231F20"/>
          <w:spacing w:val="-8"/>
        </w:rPr>
        <w:t xml:space="preserve"> </w:t>
      </w:r>
      <w:r>
        <w:rPr>
          <w:color w:val="231F20"/>
        </w:rPr>
        <w:t>of</w:t>
      </w:r>
      <w:r>
        <w:rPr>
          <w:color w:val="231F20"/>
          <w:spacing w:val="-8"/>
        </w:rPr>
        <w:t xml:space="preserve"> </w:t>
      </w:r>
      <w:r>
        <w:rPr>
          <w:color w:val="231F20"/>
        </w:rPr>
        <w:t>invasive</w:t>
      </w:r>
      <w:r>
        <w:rPr>
          <w:color w:val="231F20"/>
          <w:spacing w:val="-8"/>
        </w:rPr>
        <w:t xml:space="preserve"> </w:t>
      </w:r>
      <w:r>
        <w:rPr>
          <w:color w:val="231F20"/>
        </w:rPr>
        <w:t>ovarian</w:t>
      </w:r>
      <w:r>
        <w:rPr>
          <w:color w:val="231F20"/>
          <w:spacing w:val="-8"/>
        </w:rPr>
        <w:t xml:space="preserve"> </w:t>
      </w:r>
      <w:r>
        <w:rPr>
          <w:color w:val="231F20"/>
        </w:rPr>
        <w:t xml:space="preserve">cancer </w:t>
      </w:r>
      <w:r>
        <w:rPr>
          <w:color w:val="231F20"/>
          <w:spacing w:val="2"/>
        </w:rPr>
        <w:t xml:space="preserve">stage </w:t>
      </w:r>
      <w:r>
        <w:rPr>
          <w:color w:val="231F20"/>
        </w:rPr>
        <w:t xml:space="preserve">I </w:t>
      </w:r>
      <w:r>
        <w:rPr>
          <w:color w:val="231F20"/>
          <w:spacing w:val="2"/>
        </w:rPr>
        <w:t xml:space="preserve">depends </w:t>
      </w:r>
      <w:r>
        <w:rPr>
          <w:color w:val="231F20"/>
        </w:rPr>
        <w:t xml:space="preserve">on the </w:t>
      </w:r>
      <w:r>
        <w:rPr>
          <w:color w:val="231F20"/>
          <w:spacing w:val="2"/>
        </w:rPr>
        <w:t xml:space="preserve">histology </w:t>
      </w:r>
      <w:r>
        <w:rPr>
          <w:color w:val="231F20"/>
        </w:rPr>
        <w:t xml:space="preserve">and </w:t>
      </w:r>
      <w:r>
        <w:rPr>
          <w:color w:val="231F20"/>
          <w:spacing w:val="2"/>
        </w:rPr>
        <w:t>degr</w:t>
      </w:r>
      <w:r>
        <w:rPr>
          <w:color w:val="231F20"/>
          <w:spacing w:val="2"/>
        </w:rPr>
        <w:t xml:space="preserve">ee </w:t>
      </w:r>
      <w:r>
        <w:rPr>
          <w:color w:val="231F20"/>
          <w:spacing w:val="3"/>
        </w:rPr>
        <w:t xml:space="preserve">of </w:t>
      </w:r>
      <w:r>
        <w:rPr>
          <w:color w:val="231F20"/>
        </w:rPr>
        <w:t xml:space="preserve">differentiation of the tumor (Vergote et al., 2001). Sex </w:t>
      </w:r>
      <w:r>
        <w:rPr>
          <w:color w:val="231F20"/>
          <w:spacing w:val="2"/>
        </w:rPr>
        <w:t xml:space="preserve">cord-stromal tumors </w:t>
      </w:r>
      <w:r>
        <w:rPr>
          <w:color w:val="231F20"/>
        </w:rPr>
        <w:t xml:space="preserve">and </w:t>
      </w:r>
      <w:r>
        <w:rPr>
          <w:color w:val="231F20"/>
          <w:spacing w:val="2"/>
        </w:rPr>
        <w:t xml:space="preserve">germ </w:t>
      </w:r>
      <w:proofErr w:type="gramStart"/>
      <w:r>
        <w:rPr>
          <w:color w:val="231F20"/>
          <w:spacing w:val="2"/>
        </w:rPr>
        <w:t xml:space="preserve">cell  </w:t>
      </w:r>
      <w:r>
        <w:rPr>
          <w:color w:val="231F20"/>
          <w:spacing w:val="3"/>
        </w:rPr>
        <w:t>tumors</w:t>
      </w:r>
      <w:proofErr w:type="gramEnd"/>
      <w:r>
        <w:rPr>
          <w:color w:val="231F20"/>
          <w:spacing w:val="3"/>
        </w:rPr>
        <w:t xml:space="preserve"> </w:t>
      </w:r>
      <w:r>
        <w:rPr>
          <w:color w:val="231F20"/>
        </w:rPr>
        <w:t xml:space="preserve">can </w:t>
      </w:r>
      <w:r>
        <w:rPr>
          <w:color w:val="231F20"/>
          <w:spacing w:val="2"/>
        </w:rPr>
        <w:t xml:space="preserve">mostly </w:t>
      </w:r>
      <w:r>
        <w:rPr>
          <w:color w:val="231F20"/>
        </w:rPr>
        <w:t xml:space="preserve">be </w:t>
      </w:r>
      <w:r>
        <w:rPr>
          <w:color w:val="231F20"/>
          <w:spacing w:val="2"/>
        </w:rPr>
        <w:t xml:space="preserve">operated </w:t>
      </w:r>
      <w:r>
        <w:rPr>
          <w:color w:val="231F20"/>
        </w:rPr>
        <w:t xml:space="preserve">by </w:t>
      </w:r>
      <w:r>
        <w:rPr>
          <w:color w:val="231F20"/>
          <w:spacing w:val="2"/>
        </w:rPr>
        <w:t xml:space="preserve">fertility-sparing pro- </w:t>
      </w:r>
      <w:r>
        <w:rPr>
          <w:color w:val="231F20"/>
        </w:rPr>
        <w:t>cedures.</w:t>
      </w:r>
      <w:r>
        <w:rPr>
          <w:color w:val="231F20"/>
          <w:spacing w:val="-12"/>
        </w:rPr>
        <w:t xml:space="preserve"> </w:t>
      </w:r>
      <w:r>
        <w:rPr>
          <w:color w:val="231F20"/>
        </w:rPr>
        <w:t>In</w:t>
      </w:r>
      <w:r>
        <w:rPr>
          <w:color w:val="231F20"/>
          <w:spacing w:val="-12"/>
        </w:rPr>
        <w:t xml:space="preserve"> </w:t>
      </w:r>
      <w:r>
        <w:rPr>
          <w:color w:val="231F20"/>
        </w:rPr>
        <w:t>the</w:t>
      </w:r>
      <w:r>
        <w:rPr>
          <w:color w:val="231F20"/>
          <w:spacing w:val="-12"/>
        </w:rPr>
        <w:t xml:space="preserve"> </w:t>
      </w:r>
      <w:r>
        <w:rPr>
          <w:color w:val="231F20"/>
        </w:rPr>
        <w:t>case</w:t>
      </w:r>
      <w:r>
        <w:rPr>
          <w:color w:val="231F20"/>
          <w:spacing w:val="-11"/>
        </w:rPr>
        <w:t xml:space="preserve"> </w:t>
      </w:r>
      <w:r>
        <w:rPr>
          <w:color w:val="231F20"/>
        </w:rPr>
        <w:t>of</w:t>
      </w:r>
      <w:r>
        <w:rPr>
          <w:color w:val="231F20"/>
          <w:spacing w:val="-12"/>
        </w:rPr>
        <w:t xml:space="preserve"> </w:t>
      </w:r>
      <w:r>
        <w:rPr>
          <w:color w:val="231F20"/>
        </w:rPr>
        <w:t>epithelial</w:t>
      </w:r>
      <w:r>
        <w:rPr>
          <w:color w:val="231F20"/>
          <w:spacing w:val="-12"/>
        </w:rPr>
        <w:t xml:space="preserve"> </w:t>
      </w:r>
      <w:r>
        <w:rPr>
          <w:color w:val="231F20"/>
        </w:rPr>
        <w:t>ovarian</w:t>
      </w:r>
      <w:r>
        <w:rPr>
          <w:color w:val="231F20"/>
          <w:spacing w:val="-12"/>
        </w:rPr>
        <w:t xml:space="preserve"> </w:t>
      </w:r>
      <w:r>
        <w:rPr>
          <w:color w:val="231F20"/>
        </w:rPr>
        <w:t>cancer,</w:t>
      </w:r>
      <w:r>
        <w:rPr>
          <w:color w:val="231F20"/>
          <w:spacing w:val="-11"/>
        </w:rPr>
        <w:t xml:space="preserve"> </w:t>
      </w:r>
      <w:r>
        <w:rPr>
          <w:color w:val="231F20"/>
        </w:rPr>
        <w:t xml:space="preserve">this </w:t>
      </w:r>
      <w:r>
        <w:rPr>
          <w:color w:val="231F20"/>
          <w:spacing w:val="5"/>
        </w:rPr>
        <w:t xml:space="preserve">depends </w:t>
      </w:r>
      <w:r>
        <w:rPr>
          <w:color w:val="231F20"/>
          <w:spacing w:val="3"/>
        </w:rPr>
        <w:t xml:space="preserve">on </w:t>
      </w:r>
      <w:r>
        <w:rPr>
          <w:color w:val="231F20"/>
          <w:spacing w:val="5"/>
        </w:rPr>
        <w:t xml:space="preserve">degree </w:t>
      </w:r>
      <w:r>
        <w:rPr>
          <w:color w:val="231F20"/>
          <w:spacing w:val="3"/>
        </w:rPr>
        <w:t xml:space="preserve">of </w:t>
      </w:r>
      <w:r>
        <w:rPr>
          <w:color w:val="231F20"/>
          <w:spacing w:val="5"/>
        </w:rPr>
        <w:t xml:space="preserve">differentiation </w:t>
      </w:r>
      <w:r>
        <w:rPr>
          <w:color w:val="231F20"/>
          <w:spacing w:val="3"/>
        </w:rPr>
        <w:t xml:space="preserve">or </w:t>
      </w:r>
      <w:r>
        <w:rPr>
          <w:color w:val="231F20"/>
          <w:spacing w:val="4"/>
        </w:rPr>
        <w:t xml:space="preserve">the </w:t>
      </w:r>
      <w:r>
        <w:rPr>
          <w:color w:val="231F20"/>
        </w:rPr>
        <w:t xml:space="preserve">histological type (e.g. expansile versus infiltrative invasive mucinous carcinoma) and is only possible in stage </w:t>
      </w:r>
      <w:proofErr w:type="gramStart"/>
      <w:r>
        <w:rPr>
          <w:color w:val="231F20"/>
        </w:rPr>
        <w:t>Ia</w:t>
      </w:r>
      <w:proofErr w:type="gramEnd"/>
      <w:r>
        <w:rPr>
          <w:color w:val="231F20"/>
        </w:rPr>
        <w:t xml:space="preserve"> (Muyldermans et al., 2013). In these patients, usually a laparotomy is performed with </w:t>
      </w:r>
      <w:r>
        <w:rPr>
          <w:color w:val="231F20"/>
          <w:spacing w:val="4"/>
        </w:rPr>
        <w:t xml:space="preserve">preoperative histopathological examination </w:t>
      </w:r>
      <w:r>
        <w:rPr>
          <w:color w:val="231F20"/>
          <w:spacing w:val="5"/>
        </w:rPr>
        <w:t xml:space="preserve">on </w:t>
      </w:r>
      <w:r>
        <w:rPr>
          <w:color w:val="231F20"/>
        </w:rPr>
        <w:t>frozen</w:t>
      </w:r>
      <w:r>
        <w:rPr>
          <w:color w:val="231F20"/>
          <w:spacing w:val="-1"/>
        </w:rPr>
        <w:t xml:space="preserve"> </w:t>
      </w:r>
      <w:r>
        <w:rPr>
          <w:color w:val="231F20"/>
        </w:rPr>
        <w:t>s</w:t>
      </w:r>
      <w:r>
        <w:rPr>
          <w:color w:val="231F20"/>
        </w:rPr>
        <w:t>ection.</w:t>
      </w:r>
    </w:p>
    <w:p w:rsidR="00966BA7" w:rsidRDefault="00F255A2">
      <w:pPr>
        <w:pStyle w:val="BodyText"/>
        <w:spacing w:line="247" w:lineRule="auto"/>
        <w:ind w:left="170" w:right="43" w:firstLine="226"/>
        <w:jc w:val="both"/>
      </w:pPr>
      <w:r>
        <w:rPr>
          <w:color w:val="231F20"/>
        </w:rPr>
        <w:t>In the case of suspected advanced stage ovarian cancer, a diagnostic laparoscopy may be performed to assess feasibility of primary surgical debulking. The option of neo-adjuvant chemotherapy followed by debulking surgery might be preferred in certa</w:t>
      </w:r>
      <w:r>
        <w:rPr>
          <w:color w:val="231F20"/>
        </w:rPr>
        <w:t>in circumstances (Vergote et al., 2010).</w:t>
      </w:r>
    </w:p>
    <w:p w:rsidR="00966BA7" w:rsidRDefault="00F255A2">
      <w:pPr>
        <w:pStyle w:val="BodyText"/>
        <w:spacing w:before="42" w:line="247" w:lineRule="auto"/>
        <w:ind w:left="170" w:right="105" w:firstLine="226"/>
        <w:jc w:val="both"/>
      </w:pPr>
      <w:r>
        <w:br w:type="column"/>
      </w:r>
      <w:r>
        <w:rPr>
          <w:color w:val="231F20"/>
        </w:rPr>
        <w:lastRenderedPageBreak/>
        <w:t>The ADNEX model can also help the clinician</w:t>
      </w:r>
      <w:r>
        <w:rPr>
          <w:color w:val="231F20"/>
          <w:spacing w:val="-36"/>
        </w:rPr>
        <w:t xml:space="preserve"> </w:t>
      </w:r>
      <w:r>
        <w:rPr>
          <w:color w:val="231F20"/>
        </w:rPr>
        <w:t xml:space="preserve">to plan the appropriate strategy when invasive ovarian cancer is anticipated, but will probably contribute less here, as other imaging, surgical staging </w:t>
      </w:r>
      <w:r>
        <w:rPr>
          <w:color w:val="231F20"/>
          <w:spacing w:val="2"/>
        </w:rPr>
        <w:t xml:space="preserve">and </w:t>
      </w:r>
      <w:r>
        <w:rPr>
          <w:color w:val="231F20"/>
          <w:spacing w:val="7"/>
        </w:rPr>
        <w:t xml:space="preserve">patients’ characteristics </w:t>
      </w:r>
      <w:r>
        <w:rPr>
          <w:color w:val="231F20"/>
          <w:spacing w:val="6"/>
        </w:rPr>
        <w:t>will</w:t>
      </w:r>
      <w:r>
        <w:rPr>
          <w:color w:val="231F20"/>
          <w:spacing w:val="67"/>
        </w:rPr>
        <w:t xml:space="preserve"> </w:t>
      </w:r>
      <w:r>
        <w:rPr>
          <w:color w:val="231F20"/>
          <w:spacing w:val="6"/>
        </w:rPr>
        <w:t>more</w:t>
      </w:r>
      <w:r>
        <w:rPr>
          <w:color w:val="231F20"/>
          <w:spacing w:val="67"/>
        </w:rPr>
        <w:t xml:space="preserve"> </w:t>
      </w:r>
      <w:r>
        <w:rPr>
          <w:color w:val="231F20"/>
          <w:spacing w:val="8"/>
        </w:rPr>
        <w:t xml:space="preserve">strongly </w:t>
      </w:r>
      <w:r>
        <w:rPr>
          <w:color w:val="231F20"/>
        </w:rPr>
        <w:t>determine the suitable</w:t>
      </w:r>
      <w:r>
        <w:rPr>
          <w:color w:val="231F20"/>
          <w:spacing w:val="-3"/>
        </w:rPr>
        <w:t xml:space="preserve"> </w:t>
      </w:r>
      <w:r>
        <w:rPr>
          <w:color w:val="231F20"/>
        </w:rPr>
        <w:t>strategy.</w:t>
      </w:r>
    </w:p>
    <w:p w:rsidR="00966BA7" w:rsidRDefault="00966BA7">
      <w:pPr>
        <w:pStyle w:val="BodyText"/>
        <w:spacing w:before="4"/>
      </w:pPr>
    </w:p>
    <w:p w:rsidR="00966BA7" w:rsidRDefault="00F255A2">
      <w:pPr>
        <w:ind w:left="170"/>
        <w:rPr>
          <w:i/>
        </w:rPr>
      </w:pPr>
      <w:r>
        <w:rPr>
          <w:i/>
          <w:color w:val="231F20"/>
        </w:rPr>
        <w:t>Use of ADNEX with or without the CA-125 marker</w:t>
      </w:r>
    </w:p>
    <w:p w:rsidR="00966BA7" w:rsidRDefault="00966BA7">
      <w:pPr>
        <w:pStyle w:val="BodyText"/>
        <w:spacing w:before="2"/>
        <w:rPr>
          <w:i/>
          <w:sz w:val="23"/>
        </w:rPr>
      </w:pPr>
    </w:p>
    <w:p w:rsidR="00966BA7" w:rsidRDefault="00F255A2">
      <w:pPr>
        <w:pStyle w:val="BodyText"/>
        <w:spacing w:line="247" w:lineRule="auto"/>
        <w:ind w:left="170" w:right="105"/>
        <w:jc w:val="both"/>
      </w:pPr>
      <w:r>
        <w:rPr>
          <w:color w:val="231F20"/>
        </w:rPr>
        <w:t>Although the ADNEX model includes the serum CA-125 level, the online and mobile applications allow for risk calculations without this information. If doing so, a warning is given “Calculate results without serum CA-125 level? The field is indeed optional b</w:t>
      </w:r>
      <w:r>
        <w:rPr>
          <w:color w:val="231F20"/>
        </w:rPr>
        <w:t xml:space="preserve">ut this will decrease the discrimination between Stage II-IV invasive tumors and the other </w:t>
      </w:r>
      <w:r>
        <w:rPr>
          <w:color w:val="231F20"/>
          <w:spacing w:val="3"/>
        </w:rPr>
        <w:t xml:space="preserve">malignancy subtypes”. </w:t>
      </w:r>
      <w:r>
        <w:rPr>
          <w:color w:val="231F20"/>
        </w:rPr>
        <w:t xml:space="preserve">A </w:t>
      </w:r>
      <w:r>
        <w:rPr>
          <w:color w:val="231F20"/>
          <w:spacing w:val="3"/>
        </w:rPr>
        <w:t xml:space="preserve">possible </w:t>
      </w:r>
      <w:r>
        <w:rPr>
          <w:color w:val="231F20"/>
          <w:spacing w:val="2"/>
        </w:rPr>
        <w:t xml:space="preserve">way </w:t>
      </w:r>
      <w:r>
        <w:rPr>
          <w:color w:val="231F20"/>
        </w:rPr>
        <w:t xml:space="preserve">to </w:t>
      </w:r>
      <w:r>
        <w:rPr>
          <w:color w:val="231F20"/>
          <w:spacing w:val="4"/>
        </w:rPr>
        <w:t xml:space="preserve">use </w:t>
      </w:r>
      <w:r>
        <w:rPr>
          <w:color w:val="231F20"/>
        </w:rPr>
        <w:t xml:space="preserve">ADNEX, especially when CA-125 is not </w:t>
      </w:r>
      <w:r>
        <w:rPr>
          <w:color w:val="231F20"/>
          <w:spacing w:val="2"/>
        </w:rPr>
        <w:t xml:space="preserve">always </w:t>
      </w:r>
      <w:r>
        <w:rPr>
          <w:color w:val="231F20"/>
        </w:rPr>
        <w:t>measured at your hospital, is by first applying the ADNEX model without serum</w:t>
      </w:r>
      <w:r>
        <w:rPr>
          <w:color w:val="231F20"/>
        </w:rPr>
        <w:t xml:space="preserve"> CA-125 level and using these risk predictions to differentiate benign and </w:t>
      </w:r>
      <w:r>
        <w:rPr>
          <w:color w:val="231F20"/>
          <w:spacing w:val="2"/>
        </w:rPr>
        <w:t xml:space="preserve">malignant tumors. Results indicate that </w:t>
      </w:r>
      <w:r>
        <w:rPr>
          <w:color w:val="231F20"/>
          <w:spacing w:val="3"/>
        </w:rPr>
        <w:t xml:space="preserve">the </w:t>
      </w:r>
      <w:r>
        <w:rPr>
          <w:color w:val="231F20"/>
          <w:spacing w:val="5"/>
        </w:rPr>
        <w:t xml:space="preserve">omission </w:t>
      </w:r>
      <w:r>
        <w:rPr>
          <w:color w:val="231F20"/>
          <w:spacing w:val="3"/>
        </w:rPr>
        <w:t xml:space="preserve">of </w:t>
      </w:r>
      <w:r>
        <w:rPr>
          <w:color w:val="231F20"/>
          <w:spacing w:val="5"/>
        </w:rPr>
        <w:t xml:space="preserve">CA-125 </w:t>
      </w:r>
      <w:r>
        <w:rPr>
          <w:color w:val="231F20"/>
          <w:spacing w:val="4"/>
        </w:rPr>
        <w:t xml:space="preserve">has </w:t>
      </w:r>
      <w:r>
        <w:rPr>
          <w:color w:val="231F20"/>
          <w:spacing w:val="5"/>
        </w:rPr>
        <w:t xml:space="preserve">limited impact </w:t>
      </w:r>
      <w:r>
        <w:rPr>
          <w:color w:val="231F20"/>
          <w:spacing w:val="6"/>
        </w:rPr>
        <w:t>on</w:t>
      </w:r>
      <w:r>
        <w:rPr>
          <w:color w:val="231F20"/>
          <w:spacing w:val="67"/>
        </w:rPr>
        <w:t xml:space="preserve"> </w:t>
      </w:r>
      <w:r>
        <w:rPr>
          <w:color w:val="231F20"/>
        </w:rPr>
        <w:t>discrimination between benign and all malignant tumors:</w:t>
      </w:r>
      <w:r>
        <w:rPr>
          <w:color w:val="231F20"/>
          <w:spacing w:val="-14"/>
        </w:rPr>
        <w:t xml:space="preserve"> </w:t>
      </w:r>
      <w:r>
        <w:rPr>
          <w:color w:val="231F20"/>
        </w:rPr>
        <w:t>the</w:t>
      </w:r>
      <w:r>
        <w:rPr>
          <w:color w:val="231F20"/>
          <w:spacing w:val="-13"/>
        </w:rPr>
        <w:t xml:space="preserve"> </w:t>
      </w:r>
      <w:r>
        <w:rPr>
          <w:color w:val="231F20"/>
        </w:rPr>
        <w:t>validation</w:t>
      </w:r>
      <w:r>
        <w:rPr>
          <w:color w:val="231F20"/>
          <w:spacing w:val="-14"/>
        </w:rPr>
        <w:t xml:space="preserve"> </w:t>
      </w:r>
      <w:r>
        <w:rPr>
          <w:color w:val="231F20"/>
        </w:rPr>
        <w:t>AUC</w:t>
      </w:r>
      <w:r>
        <w:rPr>
          <w:color w:val="231F20"/>
          <w:spacing w:val="-13"/>
        </w:rPr>
        <w:t xml:space="preserve"> </w:t>
      </w:r>
      <w:r>
        <w:rPr>
          <w:color w:val="231F20"/>
        </w:rPr>
        <w:t>was</w:t>
      </w:r>
      <w:r>
        <w:rPr>
          <w:color w:val="231F20"/>
          <w:spacing w:val="-13"/>
        </w:rPr>
        <w:t xml:space="preserve"> </w:t>
      </w:r>
      <w:r>
        <w:rPr>
          <w:color w:val="231F20"/>
        </w:rPr>
        <w:t>0.943</w:t>
      </w:r>
      <w:r>
        <w:rPr>
          <w:color w:val="231F20"/>
          <w:spacing w:val="-14"/>
        </w:rPr>
        <w:t xml:space="preserve"> </w:t>
      </w:r>
      <w:r>
        <w:rPr>
          <w:color w:val="231F20"/>
        </w:rPr>
        <w:t>with</w:t>
      </w:r>
      <w:r>
        <w:rPr>
          <w:color w:val="231F20"/>
          <w:spacing w:val="-13"/>
        </w:rPr>
        <w:t xml:space="preserve"> </w:t>
      </w:r>
      <w:r>
        <w:rPr>
          <w:color w:val="231F20"/>
        </w:rPr>
        <w:t>CA-125</w:t>
      </w:r>
      <w:r>
        <w:rPr>
          <w:color w:val="231F20"/>
        </w:rPr>
        <w:t xml:space="preserve"> level included as a </w:t>
      </w:r>
      <w:proofErr w:type="gramStart"/>
      <w:r>
        <w:rPr>
          <w:color w:val="231F20"/>
        </w:rPr>
        <w:t>predictor,</w:t>
      </w:r>
      <w:proofErr w:type="gramEnd"/>
      <w:r>
        <w:rPr>
          <w:color w:val="231F20"/>
        </w:rPr>
        <w:t xml:space="preserve"> and 0.932 without using CA-125 level as a predictor (Van Calster et al., 2014). Second, in case of high (enough) risk of malignancy, the CA-125 level could be included to update risk predictions. This results in a superior d</w:t>
      </w:r>
      <w:r>
        <w:rPr>
          <w:color w:val="231F20"/>
        </w:rPr>
        <w:t xml:space="preserve">ifferentiation between borderline, </w:t>
      </w:r>
      <w:proofErr w:type="gramStart"/>
      <w:r>
        <w:rPr>
          <w:color w:val="231F20"/>
        </w:rPr>
        <w:t>stage</w:t>
      </w:r>
      <w:proofErr w:type="gramEnd"/>
      <w:r>
        <w:rPr>
          <w:color w:val="231F20"/>
        </w:rPr>
        <w:t xml:space="preserve"> I invasive, stage</w:t>
      </w:r>
      <w:r>
        <w:rPr>
          <w:color w:val="231F20"/>
          <w:spacing w:val="-21"/>
        </w:rPr>
        <w:t xml:space="preserve"> </w:t>
      </w:r>
      <w:r>
        <w:rPr>
          <w:color w:val="231F20"/>
        </w:rPr>
        <w:t>II-IV</w:t>
      </w:r>
      <w:r>
        <w:rPr>
          <w:color w:val="231F20"/>
          <w:spacing w:val="-20"/>
        </w:rPr>
        <w:t xml:space="preserve"> </w:t>
      </w:r>
      <w:r>
        <w:rPr>
          <w:color w:val="231F20"/>
        </w:rPr>
        <w:t>invasive</w:t>
      </w:r>
      <w:r>
        <w:rPr>
          <w:color w:val="231F20"/>
          <w:spacing w:val="-21"/>
        </w:rPr>
        <w:t xml:space="preserve"> </w:t>
      </w:r>
      <w:r>
        <w:rPr>
          <w:color w:val="231F20"/>
        </w:rPr>
        <w:t>and</w:t>
      </w:r>
      <w:r>
        <w:rPr>
          <w:color w:val="231F20"/>
          <w:spacing w:val="-20"/>
        </w:rPr>
        <w:t xml:space="preserve"> </w:t>
      </w:r>
      <w:r>
        <w:rPr>
          <w:color w:val="231F20"/>
        </w:rPr>
        <w:t>secondary</w:t>
      </w:r>
      <w:r>
        <w:rPr>
          <w:color w:val="231F20"/>
          <w:spacing w:val="-21"/>
        </w:rPr>
        <w:t xml:space="preserve"> </w:t>
      </w:r>
      <w:r>
        <w:rPr>
          <w:color w:val="231F20"/>
        </w:rPr>
        <w:t>metastatic</w:t>
      </w:r>
      <w:r>
        <w:rPr>
          <w:color w:val="231F20"/>
          <w:spacing w:val="-20"/>
        </w:rPr>
        <w:t xml:space="preserve"> </w:t>
      </w:r>
      <w:r>
        <w:rPr>
          <w:color w:val="231F20"/>
          <w:spacing w:val="-2"/>
        </w:rPr>
        <w:t xml:space="preserve">cancer </w:t>
      </w:r>
      <w:r>
        <w:rPr>
          <w:color w:val="231F20"/>
        </w:rPr>
        <w:t>(Van Calster et al., 2011, 2014). In this way, the measurement of the serum CA-125 level may be restricted</w:t>
      </w:r>
      <w:r>
        <w:rPr>
          <w:color w:val="231F20"/>
          <w:spacing w:val="-16"/>
        </w:rPr>
        <w:t xml:space="preserve"> </w:t>
      </w:r>
      <w:r>
        <w:rPr>
          <w:color w:val="231F20"/>
        </w:rPr>
        <w:t>to</w:t>
      </w:r>
      <w:r>
        <w:rPr>
          <w:color w:val="231F20"/>
          <w:spacing w:val="-16"/>
        </w:rPr>
        <w:t xml:space="preserve"> </w:t>
      </w:r>
      <w:r>
        <w:rPr>
          <w:color w:val="231F20"/>
        </w:rPr>
        <w:t>patients</w:t>
      </w:r>
      <w:r>
        <w:rPr>
          <w:color w:val="231F20"/>
          <w:spacing w:val="-16"/>
        </w:rPr>
        <w:t xml:space="preserve"> </w:t>
      </w:r>
      <w:r>
        <w:rPr>
          <w:color w:val="231F20"/>
        </w:rPr>
        <w:t>with</w:t>
      </w:r>
      <w:r>
        <w:rPr>
          <w:color w:val="231F20"/>
          <w:spacing w:val="-16"/>
        </w:rPr>
        <w:t xml:space="preserve"> </w:t>
      </w:r>
      <w:r>
        <w:rPr>
          <w:color w:val="231F20"/>
        </w:rPr>
        <w:t>an</w:t>
      </w:r>
      <w:r>
        <w:rPr>
          <w:color w:val="231F20"/>
          <w:spacing w:val="-16"/>
        </w:rPr>
        <w:t xml:space="preserve"> </w:t>
      </w:r>
      <w:r>
        <w:rPr>
          <w:color w:val="231F20"/>
        </w:rPr>
        <w:t>increased</w:t>
      </w:r>
      <w:r>
        <w:rPr>
          <w:color w:val="231F20"/>
          <w:spacing w:val="-15"/>
        </w:rPr>
        <w:t xml:space="preserve"> </w:t>
      </w:r>
      <w:r>
        <w:rPr>
          <w:color w:val="231F20"/>
        </w:rPr>
        <w:t>risk</w:t>
      </w:r>
      <w:r>
        <w:rPr>
          <w:color w:val="231F20"/>
          <w:spacing w:val="-16"/>
        </w:rPr>
        <w:t xml:space="preserve"> </w:t>
      </w:r>
      <w:r>
        <w:rPr>
          <w:color w:val="231F20"/>
        </w:rPr>
        <w:t>of</w:t>
      </w:r>
      <w:r>
        <w:rPr>
          <w:color w:val="231F20"/>
          <w:spacing w:val="-16"/>
        </w:rPr>
        <w:t xml:space="preserve"> </w:t>
      </w:r>
      <w:r>
        <w:rPr>
          <w:color w:val="231F20"/>
        </w:rPr>
        <w:t>having ovarian cancer.</w:t>
      </w:r>
    </w:p>
    <w:p w:rsidR="00966BA7" w:rsidRDefault="00966BA7">
      <w:pPr>
        <w:pStyle w:val="BodyText"/>
        <w:spacing w:before="4"/>
        <w:rPr>
          <w:sz w:val="21"/>
        </w:rPr>
      </w:pPr>
    </w:p>
    <w:p w:rsidR="00966BA7" w:rsidRDefault="00F255A2">
      <w:pPr>
        <w:pStyle w:val="Heading1"/>
        <w:spacing w:before="1"/>
      </w:pPr>
      <w:r>
        <w:rPr>
          <w:color w:val="6D6E71"/>
        </w:rPr>
        <w:t>Practical examples</w:t>
      </w:r>
    </w:p>
    <w:p w:rsidR="00966BA7" w:rsidRDefault="00966BA7">
      <w:pPr>
        <w:pStyle w:val="BodyText"/>
        <w:spacing w:before="2"/>
        <w:rPr>
          <w:b/>
          <w:sz w:val="23"/>
        </w:rPr>
      </w:pPr>
    </w:p>
    <w:p w:rsidR="00966BA7" w:rsidRDefault="00F255A2">
      <w:pPr>
        <w:ind w:left="170"/>
        <w:rPr>
          <w:i/>
        </w:rPr>
      </w:pPr>
      <w:r>
        <w:rPr>
          <w:i/>
          <w:color w:val="231F20"/>
        </w:rPr>
        <w:t>Case 1</w:t>
      </w:r>
    </w:p>
    <w:p w:rsidR="00966BA7" w:rsidRDefault="00966BA7">
      <w:pPr>
        <w:pStyle w:val="BodyText"/>
        <w:spacing w:before="3"/>
        <w:rPr>
          <w:i/>
          <w:sz w:val="23"/>
        </w:rPr>
      </w:pPr>
    </w:p>
    <w:p w:rsidR="00966BA7" w:rsidRDefault="00F255A2">
      <w:pPr>
        <w:pStyle w:val="BodyText"/>
        <w:spacing w:line="247" w:lineRule="auto"/>
        <w:ind w:left="170" w:right="106"/>
        <w:jc w:val="both"/>
      </w:pPr>
      <w:r>
        <w:rPr>
          <w:color w:val="231F20"/>
        </w:rPr>
        <w:t>We assess a 59-year-old woman in a gynecological oncology center. The CA125 level is 153 U/ml. On transvaginal ultrasound, we describe a solid</w:t>
      </w:r>
      <w:r>
        <w:rPr>
          <w:color w:val="231F20"/>
          <w:spacing w:val="-35"/>
        </w:rPr>
        <w:t xml:space="preserve"> </w:t>
      </w:r>
      <w:r>
        <w:rPr>
          <w:color w:val="231F20"/>
        </w:rPr>
        <w:t>ovarian mass with a maximal lesion diameter of 59 mm, a maxim</w:t>
      </w:r>
      <w:r>
        <w:rPr>
          <w:color w:val="231F20"/>
        </w:rPr>
        <w:t>al diameter of the largest solid component</w:t>
      </w:r>
      <w:r>
        <w:rPr>
          <w:color w:val="231F20"/>
          <w:spacing w:val="-25"/>
        </w:rPr>
        <w:t xml:space="preserve"> </w:t>
      </w:r>
      <w:r>
        <w:rPr>
          <w:color w:val="231F20"/>
        </w:rPr>
        <w:t xml:space="preserve">of 59 mm as well, and without acoustic shadowing. </w:t>
      </w:r>
      <w:r>
        <w:rPr>
          <w:color w:val="231F20"/>
          <w:spacing w:val="2"/>
        </w:rPr>
        <w:t xml:space="preserve">There </w:t>
      </w:r>
      <w:r>
        <w:rPr>
          <w:color w:val="231F20"/>
        </w:rPr>
        <w:t xml:space="preserve">is </w:t>
      </w:r>
      <w:r>
        <w:rPr>
          <w:color w:val="231F20"/>
          <w:spacing w:val="2"/>
        </w:rPr>
        <w:t xml:space="preserve">presence </w:t>
      </w:r>
      <w:r>
        <w:rPr>
          <w:color w:val="231F20"/>
        </w:rPr>
        <w:t xml:space="preserve">of fluid </w:t>
      </w:r>
      <w:r>
        <w:rPr>
          <w:color w:val="231F20"/>
          <w:spacing w:val="2"/>
        </w:rPr>
        <w:t xml:space="preserve">outside </w:t>
      </w:r>
      <w:r>
        <w:rPr>
          <w:color w:val="231F20"/>
        </w:rPr>
        <w:t xml:space="preserve">the </w:t>
      </w:r>
      <w:r>
        <w:rPr>
          <w:color w:val="231F20"/>
          <w:spacing w:val="2"/>
        </w:rPr>
        <w:t xml:space="preserve">pouch </w:t>
      </w:r>
      <w:r>
        <w:rPr>
          <w:color w:val="231F20"/>
          <w:spacing w:val="3"/>
        </w:rPr>
        <w:t xml:space="preserve">of </w:t>
      </w:r>
      <w:r>
        <w:rPr>
          <w:color w:val="231F20"/>
        </w:rPr>
        <w:t xml:space="preserve">Douglas (ascites). If we introduce these parameters in the ADNEX model (in this case, application for </w:t>
      </w:r>
      <w:r>
        <w:rPr>
          <w:color w:val="231F20"/>
          <w:spacing w:val="2"/>
        </w:rPr>
        <w:t xml:space="preserve">smartphone), </w:t>
      </w:r>
      <w:r>
        <w:rPr>
          <w:color w:val="231F20"/>
        </w:rPr>
        <w:t xml:space="preserve">we </w:t>
      </w:r>
      <w:r>
        <w:rPr>
          <w:color w:val="231F20"/>
          <w:spacing w:val="2"/>
        </w:rPr>
        <w:t xml:space="preserve">obtain </w:t>
      </w:r>
      <w:r>
        <w:rPr>
          <w:color w:val="231F20"/>
        </w:rPr>
        <w:t xml:space="preserve">the </w:t>
      </w:r>
      <w:r>
        <w:rPr>
          <w:color w:val="231F20"/>
          <w:spacing w:val="2"/>
        </w:rPr>
        <w:t xml:space="preserve">results </w:t>
      </w:r>
      <w:r>
        <w:rPr>
          <w:color w:val="231F20"/>
        </w:rPr>
        <w:t xml:space="preserve">and </w:t>
      </w:r>
      <w:r>
        <w:rPr>
          <w:color w:val="231F20"/>
          <w:spacing w:val="3"/>
        </w:rPr>
        <w:t xml:space="preserve">column </w:t>
      </w:r>
      <w:r>
        <w:rPr>
          <w:color w:val="231F20"/>
        </w:rPr>
        <w:t>charts</w:t>
      </w:r>
      <w:r>
        <w:rPr>
          <w:color w:val="231F20"/>
          <w:spacing w:val="-13"/>
        </w:rPr>
        <w:t xml:space="preserve"> </w:t>
      </w:r>
      <w:r>
        <w:rPr>
          <w:color w:val="231F20"/>
        </w:rPr>
        <w:t>as</w:t>
      </w:r>
      <w:r>
        <w:rPr>
          <w:color w:val="231F20"/>
          <w:spacing w:val="-12"/>
        </w:rPr>
        <w:t xml:space="preserve"> </w:t>
      </w:r>
      <w:r>
        <w:rPr>
          <w:color w:val="231F20"/>
        </w:rPr>
        <w:t>illustrated</w:t>
      </w:r>
      <w:r>
        <w:rPr>
          <w:color w:val="231F20"/>
          <w:spacing w:val="-12"/>
        </w:rPr>
        <w:t xml:space="preserve"> </w:t>
      </w:r>
      <w:r>
        <w:rPr>
          <w:color w:val="231F20"/>
        </w:rPr>
        <w:t>in</w:t>
      </w:r>
      <w:r>
        <w:rPr>
          <w:color w:val="231F20"/>
          <w:spacing w:val="-12"/>
        </w:rPr>
        <w:t xml:space="preserve"> </w:t>
      </w:r>
      <w:r>
        <w:rPr>
          <w:color w:val="231F20"/>
        </w:rPr>
        <w:t>Figure</w:t>
      </w:r>
      <w:r>
        <w:rPr>
          <w:color w:val="231F20"/>
          <w:spacing w:val="-12"/>
        </w:rPr>
        <w:t xml:space="preserve"> </w:t>
      </w:r>
      <w:r>
        <w:rPr>
          <w:color w:val="231F20"/>
        </w:rPr>
        <w:t>3.</w:t>
      </w:r>
      <w:r>
        <w:rPr>
          <w:color w:val="231F20"/>
          <w:spacing w:val="-13"/>
        </w:rPr>
        <w:t xml:space="preserve"> </w:t>
      </w:r>
      <w:r>
        <w:rPr>
          <w:color w:val="231F20"/>
        </w:rPr>
        <w:t>First</w:t>
      </w:r>
      <w:r>
        <w:rPr>
          <w:color w:val="231F20"/>
          <w:spacing w:val="-12"/>
        </w:rPr>
        <w:t xml:space="preserve"> </w:t>
      </w:r>
      <w:r>
        <w:rPr>
          <w:color w:val="231F20"/>
        </w:rPr>
        <w:t>we</w:t>
      </w:r>
      <w:r>
        <w:rPr>
          <w:color w:val="231F20"/>
          <w:spacing w:val="-12"/>
        </w:rPr>
        <w:t xml:space="preserve"> </w:t>
      </w:r>
      <w:r>
        <w:rPr>
          <w:color w:val="231F20"/>
        </w:rPr>
        <w:t>add</w:t>
      </w:r>
      <w:r>
        <w:rPr>
          <w:color w:val="231F20"/>
          <w:spacing w:val="-12"/>
        </w:rPr>
        <w:t xml:space="preserve"> </w:t>
      </w:r>
      <w:r>
        <w:rPr>
          <w:color w:val="231F20"/>
        </w:rPr>
        <w:t>the</w:t>
      </w:r>
      <w:r>
        <w:rPr>
          <w:color w:val="231F20"/>
          <w:spacing w:val="-12"/>
        </w:rPr>
        <w:t xml:space="preserve"> </w:t>
      </w:r>
      <w:r>
        <w:rPr>
          <w:color w:val="231F20"/>
        </w:rPr>
        <w:t xml:space="preserve">risk </w:t>
      </w:r>
      <w:r>
        <w:rPr>
          <w:color w:val="231F20"/>
          <w:spacing w:val="2"/>
        </w:rPr>
        <w:t xml:space="preserve">predictions </w:t>
      </w:r>
      <w:r>
        <w:rPr>
          <w:color w:val="231F20"/>
        </w:rPr>
        <w:t xml:space="preserve">for the </w:t>
      </w:r>
      <w:r>
        <w:rPr>
          <w:color w:val="231F20"/>
          <w:spacing w:val="2"/>
        </w:rPr>
        <w:t xml:space="preserve">four malignant subgroups </w:t>
      </w:r>
      <w:r>
        <w:rPr>
          <w:color w:val="231F20"/>
          <w:spacing w:val="3"/>
        </w:rPr>
        <w:t xml:space="preserve">to </w:t>
      </w:r>
      <w:r>
        <w:rPr>
          <w:color w:val="231F20"/>
        </w:rPr>
        <w:t xml:space="preserve">obtain the total risk of malignancy, which is 95.3% for </w:t>
      </w:r>
      <w:r>
        <w:rPr>
          <w:color w:val="231F20"/>
          <w:spacing w:val="2"/>
        </w:rPr>
        <w:t xml:space="preserve">this patient. Thus </w:t>
      </w:r>
      <w:r>
        <w:rPr>
          <w:color w:val="231F20"/>
        </w:rPr>
        <w:t xml:space="preserve">the </w:t>
      </w:r>
      <w:r>
        <w:rPr>
          <w:color w:val="231F20"/>
          <w:spacing w:val="2"/>
        </w:rPr>
        <w:t xml:space="preserve">tumor </w:t>
      </w:r>
      <w:r>
        <w:rPr>
          <w:color w:val="231F20"/>
        </w:rPr>
        <w:t xml:space="preserve">is </w:t>
      </w:r>
      <w:r>
        <w:rPr>
          <w:color w:val="231F20"/>
          <w:spacing w:val="2"/>
        </w:rPr>
        <w:t xml:space="preserve">likely </w:t>
      </w:r>
      <w:r>
        <w:rPr>
          <w:color w:val="231F20"/>
        </w:rPr>
        <w:t xml:space="preserve">to </w:t>
      </w:r>
      <w:r>
        <w:rPr>
          <w:color w:val="231F20"/>
          <w:spacing w:val="3"/>
        </w:rPr>
        <w:t xml:space="preserve">be </w:t>
      </w:r>
      <w:r>
        <w:rPr>
          <w:color w:val="231F20"/>
          <w:spacing w:val="2"/>
        </w:rPr>
        <w:t xml:space="preserve">malignant. Then, </w:t>
      </w:r>
      <w:r>
        <w:rPr>
          <w:color w:val="231F20"/>
        </w:rPr>
        <w:t xml:space="preserve">we </w:t>
      </w:r>
      <w:r>
        <w:rPr>
          <w:color w:val="231F20"/>
          <w:spacing w:val="2"/>
        </w:rPr>
        <w:t xml:space="preserve">look </w:t>
      </w:r>
      <w:r>
        <w:rPr>
          <w:color w:val="231F20"/>
        </w:rPr>
        <w:t>at the</w:t>
      </w:r>
      <w:r>
        <w:rPr>
          <w:color w:val="231F20"/>
          <w:spacing w:val="39"/>
        </w:rPr>
        <w:t xml:space="preserve"> </w:t>
      </w:r>
      <w:r>
        <w:rPr>
          <w:color w:val="231F20"/>
          <w:spacing w:val="3"/>
        </w:rPr>
        <w:t>differentiation</w:t>
      </w:r>
    </w:p>
    <w:p w:rsidR="00966BA7" w:rsidRDefault="00966BA7">
      <w:pPr>
        <w:spacing w:line="247" w:lineRule="auto"/>
        <w:jc w:val="both"/>
        <w:sectPr w:rsidR="00966BA7">
          <w:pgSz w:w="11910" w:h="16840"/>
          <w:pgMar w:top="900" w:right="1020" w:bottom="720" w:left="1020" w:header="0" w:footer="537" w:gutter="0"/>
          <w:cols w:num="2" w:space="720" w:equalWidth="0">
            <w:col w:w="4754" w:space="292"/>
            <w:col w:w="4824"/>
          </w:cols>
        </w:sectPr>
      </w:pPr>
    </w:p>
    <w:p w:rsidR="00966BA7" w:rsidRDefault="00F255A2">
      <w:pPr>
        <w:tabs>
          <w:tab w:val="left" w:pos="5175"/>
        </w:tabs>
        <w:ind w:left="117"/>
        <w:rPr>
          <w:sz w:val="20"/>
        </w:rPr>
      </w:pPr>
      <w:r>
        <w:rPr>
          <w:noProof/>
          <w:sz w:val="20"/>
        </w:rPr>
        <w:lastRenderedPageBreak/>
        <w:drawing>
          <wp:inline distT="0" distB="0" distL="0" distR="0">
            <wp:extent cx="2898603" cy="432054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2898603" cy="4320540"/>
                    </a:xfrm>
                    <a:prstGeom prst="rect">
                      <a:avLst/>
                    </a:prstGeom>
                  </pic:spPr>
                </pic:pic>
              </a:graphicData>
            </a:graphic>
          </wp:inline>
        </w:drawing>
      </w:r>
      <w:r>
        <w:rPr>
          <w:sz w:val="20"/>
        </w:rPr>
        <w:tab/>
      </w:r>
      <w:r>
        <w:rPr>
          <w:noProof/>
          <w:position w:val="5"/>
          <w:sz w:val="20"/>
        </w:rPr>
        <w:drawing>
          <wp:inline distT="0" distB="0" distL="0" distR="0">
            <wp:extent cx="2845642" cy="429920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2845642" cy="4299204"/>
                    </a:xfrm>
                    <a:prstGeom prst="rect">
                      <a:avLst/>
                    </a:prstGeom>
                  </pic:spPr>
                </pic:pic>
              </a:graphicData>
            </a:graphic>
          </wp:inline>
        </w:drawing>
      </w:r>
    </w:p>
    <w:p w:rsidR="00966BA7" w:rsidRDefault="00966BA7">
      <w:pPr>
        <w:pStyle w:val="BodyText"/>
        <w:spacing w:before="3"/>
        <w:rPr>
          <w:sz w:val="8"/>
        </w:rPr>
      </w:pPr>
    </w:p>
    <w:p w:rsidR="00966BA7" w:rsidRDefault="00F255A2">
      <w:pPr>
        <w:tabs>
          <w:tab w:val="left" w:pos="5467"/>
        </w:tabs>
        <w:spacing w:before="67"/>
        <w:ind w:left="421"/>
        <w:rPr>
          <w:sz w:val="18"/>
        </w:rPr>
      </w:pPr>
      <w:proofErr w:type="gramStart"/>
      <w:r>
        <w:rPr>
          <w:b/>
          <w:i/>
          <w:color w:val="231F20"/>
          <w:sz w:val="18"/>
        </w:rPr>
        <w:t>Fig. 3.</w:t>
      </w:r>
      <w:proofErr w:type="gramEnd"/>
      <w:r>
        <w:rPr>
          <w:b/>
          <w:i/>
          <w:color w:val="231F20"/>
          <w:sz w:val="18"/>
        </w:rPr>
        <w:t xml:space="preserve"> </w:t>
      </w:r>
      <w:r>
        <w:rPr>
          <w:color w:val="231F20"/>
          <w:sz w:val="18"/>
        </w:rPr>
        <w:t>— Illustration of the ADNEX model for</w:t>
      </w:r>
      <w:r>
        <w:rPr>
          <w:color w:val="231F20"/>
          <w:spacing w:val="-4"/>
          <w:sz w:val="18"/>
        </w:rPr>
        <w:t xml:space="preserve"> </w:t>
      </w:r>
      <w:r>
        <w:rPr>
          <w:color w:val="231F20"/>
          <w:sz w:val="18"/>
        </w:rPr>
        <w:t>case</w:t>
      </w:r>
      <w:r>
        <w:rPr>
          <w:color w:val="231F20"/>
          <w:spacing w:val="-1"/>
          <w:sz w:val="18"/>
        </w:rPr>
        <w:t xml:space="preserve"> </w:t>
      </w:r>
      <w:r>
        <w:rPr>
          <w:color w:val="231F20"/>
          <w:sz w:val="18"/>
        </w:rPr>
        <w:t>1</w:t>
      </w:r>
      <w:r>
        <w:rPr>
          <w:color w:val="231F20"/>
          <w:sz w:val="18"/>
        </w:rPr>
        <w:tab/>
      </w:r>
      <w:r>
        <w:rPr>
          <w:b/>
          <w:i/>
          <w:color w:val="231F20"/>
          <w:sz w:val="18"/>
        </w:rPr>
        <w:t xml:space="preserve">Fig. 4. </w:t>
      </w:r>
      <w:r>
        <w:rPr>
          <w:color w:val="231F20"/>
          <w:sz w:val="18"/>
        </w:rPr>
        <w:t>— Illustration of the ADNEX model for case</w:t>
      </w:r>
      <w:r>
        <w:rPr>
          <w:color w:val="231F20"/>
          <w:spacing w:val="-3"/>
          <w:sz w:val="18"/>
        </w:rPr>
        <w:t xml:space="preserve"> </w:t>
      </w:r>
      <w:r>
        <w:rPr>
          <w:color w:val="231F20"/>
          <w:sz w:val="18"/>
        </w:rPr>
        <w:t>2</w:t>
      </w:r>
    </w:p>
    <w:p w:rsidR="00966BA7" w:rsidRDefault="00966BA7">
      <w:pPr>
        <w:pStyle w:val="BodyText"/>
        <w:rPr>
          <w:sz w:val="20"/>
        </w:rPr>
      </w:pPr>
    </w:p>
    <w:p w:rsidR="00966BA7" w:rsidRDefault="00966BA7">
      <w:pPr>
        <w:pStyle w:val="BodyText"/>
        <w:rPr>
          <w:sz w:val="20"/>
        </w:rPr>
      </w:pPr>
    </w:p>
    <w:p w:rsidR="00966BA7" w:rsidRDefault="00966BA7">
      <w:pPr>
        <w:pStyle w:val="BodyText"/>
        <w:spacing w:before="8"/>
        <w:rPr>
          <w:sz w:val="26"/>
        </w:rPr>
      </w:pPr>
    </w:p>
    <w:p w:rsidR="00966BA7" w:rsidRDefault="00966BA7">
      <w:pPr>
        <w:rPr>
          <w:sz w:val="26"/>
        </w:rPr>
        <w:sectPr w:rsidR="00966BA7">
          <w:pgSz w:w="11910" w:h="16840"/>
          <w:pgMar w:top="980" w:right="1020" w:bottom="720" w:left="1020" w:header="0" w:footer="537" w:gutter="0"/>
          <w:cols w:space="720"/>
        </w:sectPr>
      </w:pPr>
    </w:p>
    <w:p w:rsidR="00966BA7" w:rsidRDefault="00F255A2">
      <w:pPr>
        <w:pStyle w:val="BodyText"/>
        <w:spacing w:before="59" w:line="247" w:lineRule="auto"/>
        <w:ind w:left="113" w:right="41"/>
        <w:jc w:val="both"/>
      </w:pPr>
      <w:proofErr w:type="gramStart"/>
      <w:r>
        <w:rPr>
          <w:color w:val="231F20"/>
        </w:rPr>
        <w:lastRenderedPageBreak/>
        <w:t>between</w:t>
      </w:r>
      <w:proofErr w:type="gramEnd"/>
      <w:r>
        <w:rPr>
          <w:color w:val="231F20"/>
        </w:rPr>
        <w:t xml:space="preserve"> four malignant subgroups and observe a predicted risk for secondary metastatic cancer of 21.2% (compared to a baseline risk of 4.0%) and a risk for stage II-IV ovarian cancer of 67.9% (compared to a baseline risk of 14.1%). The predicted risks for </w:t>
      </w:r>
      <w:r>
        <w:rPr>
          <w:color w:val="231F20"/>
        </w:rPr>
        <w:t>the other subgroups are lower (4.6% for stage I cancer and 1.6% for borderline) and are also smaller than the baseline risks.</w:t>
      </w:r>
    </w:p>
    <w:p w:rsidR="00966BA7" w:rsidRDefault="00F255A2">
      <w:pPr>
        <w:pStyle w:val="BodyText"/>
        <w:spacing w:line="247" w:lineRule="auto"/>
        <w:ind w:left="113" w:right="41" w:firstLine="226"/>
        <w:jc w:val="both"/>
      </w:pPr>
      <w:r>
        <w:rPr>
          <w:color w:val="231F20"/>
        </w:rPr>
        <w:t xml:space="preserve">The </w:t>
      </w:r>
      <w:r>
        <w:rPr>
          <w:color w:val="231F20"/>
          <w:spacing w:val="2"/>
        </w:rPr>
        <w:t xml:space="preserve">corresponding relative risks (i.e. ratio </w:t>
      </w:r>
      <w:r>
        <w:rPr>
          <w:color w:val="231F20"/>
          <w:spacing w:val="3"/>
        </w:rPr>
        <w:t xml:space="preserve">of </w:t>
      </w:r>
      <w:r>
        <w:rPr>
          <w:color w:val="231F20"/>
          <w:spacing w:val="2"/>
        </w:rPr>
        <w:t xml:space="preserve">predicted risk </w:t>
      </w:r>
      <w:r>
        <w:rPr>
          <w:color w:val="231F20"/>
        </w:rPr>
        <w:t xml:space="preserve">and </w:t>
      </w:r>
      <w:r>
        <w:rPr>
          <w:color w:val="231F20"/>
          <w:spacing w:val="2"/>
        </w:rPr>
        <w:t xml:space="preserve">baseline risk) </w:t>
      </w:r>
      <w:r>
        <w:rPr>
          <w:color w:val="231F20"/>
        </w:rPr>
        <w:t xml:space="preserve">for </w:t>
      </w:r>
      <w:r>
        <w:rPr>
          <w:color w:val="231F20"/>
          <w:spacing w:val="2"/>
        </w:rPr>
        <w:t xml:space="preserve">secondary </w:t>
      </w:r>
      <w:r>
        <w:rPr>
          <w:color w:val="231F20"/>
        </w:rPr>
        <w:t>metastatic</w:t>
      </w:r>
      <w:r>
        <w:rPr>
          <w:color w:val="231F20"/>
          <w:spacing w:val="-7"/>
        </w:rPr>
        <w:t xml:space="preserve"> </w:t>
      </w:r>
      <w:r>
        <w:rPr>
          <w:color w:val="231F20"/>
        </w:rPr>
        <w:t>cancer</w:t>
      </w:r>
      <w:r>
        <w:rPr>
          <w:color w:val="231F20"/>
          <w:spacing w:val="-7"/>
        </w:rPr>
        <w:t xml:space="preserve"> </w:t>
      </w:r>
      <w:r>
        <w:rPr>
          <w:color w:val="231F20"/>
        </w:rPr>
        <w:t>and</w:t>
      </w:r>
      <w:r>
        <w:rPr>
          <w:color w:val="231F20"/>
          <w:spacing w:val="-6"/>
        </w:rPr>
        <w:t xml:space="preserve"> </w:t>
      </w:r>
      <w:r>
        <w:rPr>
          <w:color w:val="231F20"/>
        </w:rPr>
        <w:t>stage</w:t>
      </w:r>
      <w:r>
        <w:rPr>
          <w:color w:val="231F20"/>
          <w:spacing w:val="-7"/>
        </w:rPr>
        <w:t xml:space="preserve"> </w:t>
      </w:r>
      <w:r>
        <w:rPr>
          <w:color w:val="231F20"/>
        </w:rPr>
        <w:t>II-IV</w:t>
      </w:r>
      <w:r>
        <w:rPr>
          <w:color w:val="231F20"/>
          <w:spacing w:val="-6"/>
        </w:rPr>
        <w:t xml:space="preserve"> </w:t>
      </w:r>
      <w:r>
        <w:rPr>
          <w:color w:val="231F20"/>
        </w:rPr>
        <w:t>ovarian</w:t>
      </w:r>
      <w:r>
        <w:rPr>
          <w:color w:val="231F20"/>
          <w:spacing w:val="-7"/>
        </w:rPr>
        <w:t xml:space="preserve"> </w:t>
      </w:r>
      <w:r>
        <w:rPr>
          <w:color w:val="231F20"/>
        </w:rPr>
        <w:t>cancer</w:t>
      </w:r>
      <w:r>
        <w:rPr>
          <w:color w:val="231F20"/>
          <w:spacing w:val="-6"/>
        </w:rPr>
        <w:t xml:space="preserve"> </w:t>
      </w:r>
      <w:r>
        <w:rPr>
          <w:color w:val="231F20"/>
        </w:rPr>
        <w:t>are</w:t>
      </w:r>
    </w:p>
    <w:p w:rsidR="00966BA7" w:rsidRDefault="00F255A2">
      <w:pPr>
        <w:pStyle w:val="BodyText"/>
        <w:spacing w:line="247" w:lineRule="auto"/>
        <w:ind w:left="113" w:right="38"/>
        <w:jc w:val="both"/>
      </w:pPr>
      <w:r>
        <w:rPr>
          <w:color w:val="231F20"/>
        </w:rPr>
        <w:t xml:space="preserve">5.3 </w:t>
      </w:r>
      <w:proofErr w:type="gramStart"/>
      <w:r>
        <w:rPr>
          <w:color w:val="231F20"/>
        </w:rPr>
        <w:t>and</w:t>
      </w:r>
      <w:proofErr w:type="gramEnd"/>
      <w:r>
        <w:rPr>
          <w:color w:val="231F20"/>
        </w:rPr>
        <w:t xml:space="preserve"> </w:t>
      </w:r>
      <w:r>
        <w:rPr>
          <w:color w:val="231F20"/>
          <w:spacing w:val="2"/>
        </w:rPr>
        <w:t xml:space="preserve">4.8, respectively. </w:t>
      </w:r>
      <w:r>
        <w:rPr>
          <w:color w:val="231F20"/>
        </w:rPr>
        <w:t xml:space="preserve">The </w:t>
      </w:r>
      <w:r>
        <w:rPr>
          <w:color w:val="231F20"/>
          <w:spacing w:val="2"/>
        </w:rPr>
        <w:t xml:space="preserve">relative risks </w:t>
      </w:r>
      <w:r>
        <w:rPr>
          <w:color w:val="231F20"/>
          <w:spacing w:val="3"/>
        </w:rPr>
        <w:t xml:space="preserve">for </w:t>
      </w:r>
      <w:r>
        <w:rPr>
          <w:color w:val="231F20"/>
        </w:rPr>
        <w:t xml:space="preserve">borderline or stage I ovarian cancer are below 1. </w:t>
      </w:r>
      <w:r>
        <w:rPr>
          <w:color w:val="231F20"/>
          <w:spacing w:val="3"/>
        </w:rPr>
        <w:t xml:space="preserve">With </w:t>
      </w:r>
      <w:r>
        <w:rPr>
          <w:color w:val="231F20"/>
          <w:spacing w:val="2"/>
        </w:rPr>
        <w:t xml:space="preserve">the </w:t>
      </w:r>
      <w:r>
        <w:rPr>
          <w:color w:val="231F20"/>
          <w:spacing w:val="3"/>
        </w:rPr>
        <w:t xml:space="preserve">knowledge </w:t>
      </w:r>
      <w:r>
        <w:rPr>
          <w:color w:val="231F20"/>
        </w:rPr>
        <w:t xml:space="preserve">of </w:t>
      </w:r>
      <w:r>
        <w:rPr>
          <w:color w:val="231F20"/>
          <w:spacing w:val="2"/>
        </w:rPr>
        <w:t xml:space="preserve">the </w:t>
      </w:r>
      <w:r>
        <w:rPr>
          <w:color w:val="231F20"/>
          <w:spacing w:val="3"/>
        </w:rPr>
        <w:t xml:space="preserve">increased risk </w:t>
      </w:r>
      <w:r>
        <w:rPr>
          <w:color w:val="231F20"/>
          <w:spacing w:val="4"/>
        </w:rPr>
        <w:t xml:space="preserve">for </w:t>
      </w:r>
      <w:r>
        <w:rPr>
          <w:color w:val="231F20"/>
        </w:rPr>
        <w:t>advanced</w:t>
      </w:r>
      <w:r>
        <w:rPr>
          <w:color w:val="231F20"/>
          <w:spacing w:val="-22"/>
        </w:rPr>
        <w:t xml:space="preserve"> </w:t>
      </w:r>
      <w:r>
        <w:rPr>
          <w:color w:val="231F20"/>
        </w:rPr>
        <w:t>stage</w:t>
      </w:r>
      <w:r>
        <w:rPr>
          <w:color w:val="231F20"/>
          <w:spacing w:val="-22"/>
        </w:rPr>
        <w:t xml:space="preserve"> </w:t>
      </w:r>
      <w:r>
        <w:rPr>
          <w:color w:val="231F20"/>
        </w:rPr>
        <w:t>ovarian</w:t>
      </w:r>
      <w:r>
        <w:rPr>
          <w:color w:val="231F20"/>
          <w:spacing w:val="-22"/>
        </w:rPr>
        <w:t xml:space="preserve"> </w:t>
      </w:r>
      <w:r>
        <w:rPr>
          <w:color w:val="231F20"/>
        </w:rPr>
        <w:t>cancer</w:t>
      </w:r>
      <w:r>
        <w:rPr>
          <w:color w:val="231F20"/>
          <w:spacing w:val="-22"/>
        </w:rPr>
        <w:t xml:space="preserve"> </w:t>
      </w:r>
      <w:r>
        <w:rPr>
          <w:color w:val="231F20"/>
        </w:rPr>
        <w:t>and</w:t>
      </w:r>
      <w:r>
        <w:rPr>
          <w:color w:val="231F20"/>
          <w:spacing w:val="-21"/>
        </w:rPr>
        <w:t xml:space="preserve"> </w:t>
      </w:r>
      <w:r>
        <w:rPr>
          <w:color w:val="231F20"/>
        </w:rPr>
        <w:t>more</w:t>
      </w:r>
      <w:r>
        <w:rPr>
          <w:color w:val="231F20"/>
          <w:spacing w:val="-22"/>
        </w:rPr>
        <w:t xml:space="preserve"> </w:t>
      </w:r>
      <w:r>
        <w:rPr>
          <w:color w:val="231F20"/>
        </w:rPr>
        <w:t>importantly secondary metastatic cancer, clinicians m</w:t>
      </w:r>
      <w:r>
        <w:rPr>
          <w:color w:val="231F20"/>
        </w:rPr>
        <w:t xml:space="preserve">ay adjust their preoperative diagnostics by excluding a tumor of </w:t>
      </w:r>
      <w:r>
        <w:rPr>
          <w:color w:val="231F20"/>
          <w:spacing w:val="2"/>
        </w:rPr>
        <w:t xml:space="preserve">other primary origin, </w:t>
      </w:r>
      <w:proofErr w:type="gramStart"/>
      <w:r>
        <w:rPr>
          <w:color w:val="231F20"/>
          <w:spacing w:val="2"/>
        </w:rPr>
        <w:t xml:space="preserve">such  </w:t>
      </w:r>
      <w:r>
        <w:rPr>
          <w:color w:val="231F20"/>
        </w:rPr>
        <w:t>as</w:t>
      </w:r>
      <w:proofErr w:type="gramEnd"/>
      <w:r>
        <w:rPr>
          <w:color w:val="231F20"/>
        </w:rPr>
        <w:t xml:space="preserve">  </w:t>
      </w:r>
      <w:r>
        <w:rPr>
          <w:color w:val="231F20"/>
          <w:spacing w:val="2"/>
        </w:rPr>
        <w:t xml:space="preserve">gastric  </w:t>
      </w:r>
      <w:r>
        <w:rPr>
          <w:color w:val="231F20"/>
          <w:spacing w:val="3"/>
        </w:rPr>
        <w:t xml:space="preserve">cancer or </w:t>
      </w:r>
      <w:r>
        <w:rPr>
          <w:color w:val="231F20"/>
          <w:spacing w:val="5"/>
        </w:rPr>
        <w:t xml:space="preserve">breast cancer. </w:t>
      </w:r>
      <w:r>
        <w:rPr>
          <w:color w:val="231F20"/>
          <w:spacing w:val="3"/>
        </w:rPr>
        <w:t xml:space="preserve">In </w:t>
      </w:r>
      <w:r>
        <w:rPr>
          <w:color w:val="231F20"/>
          <w:spacing w:val="4"/>
        </w:rPr>
        <w:t>case</w:t>
      </w:r>
      <w:r>
        <w:rPr>
          <w:color w:val="231F20"/>
          <w:spacing w:val="63"/>
        </w:rPr>
        <w:t xml:space="preserve"> </w:t>
      </w:r>
      <w:r>
        <w:rPr>
          <w:color w:val="231F20"/>
          <w:spacing w:val="3"/>
        </w:rPr>
        <w:t>of</w:t>
      </w:r>
      <w:r>
        <w:rPr>
          <w:color w:val="231F20"/>
          <w:spacing w:val="61"/>
        </w:rPr>
        <w:t xml:space="preserve"> </w:t>
      </w:r>
      <w:r>
        <w:rPr>
          <w:color w:val="231F20"/>
        </w:rPr>
        <w:t>a</w:t>
      </w:r>
      <w:r>
        <w:rPr>
          <w:color w:val="231F20"/>
          <w:spacing w:val="55"/>
        </w:rPr>
        <w:t xml:space="preserve"> </w:t>
      </w:r>
      <w:r>
        <w:rPr>
          <w:color w:val="231F20"/>
          <w:spacing w:val="4"/>
        </w:rPr>
        <w:t>solid</w:t>
      </w:r>
      <w:r>
        <w:rPr>
          <w:color w:val="231F20"/>
          <w:spacing w:val="63"/>
        </w:rPr>
        <w:t xml:space="preserve"> </w:t>
      </w:r>
      <w:r>
        <w:rPr>
          <w:color w:val="231F20"/>
          <w:spacing w:val="6"/>
        </w:rPr>
        <w:t>tumor</w:t>
      </w:r>
      <w:r>
        <w:rPr>
          <w:color w:val="231F20"/>
          <w:spacing w:val="67"/>
        </w:rPr>
        <w:t xml:space="preserve"> </w:t>
      </w:r>
      <w:r>
        <w:rPr>
          <w:color w:val="231F20"/>
          <w:spacing w:val="2"/>
        </w:rPr>
        <w:t xml:space="preserve">these investigations </w:t>
      </w:r>
      <w:r>
        <w:rPr>
          <w:color w:val="231F20"/>
        </w:rPr>
        <w:t xml:space="preserve">may </w:t>
      </w:r>
      <w:r>
        <w:rPr>
          <w:color w:val="231F20"/>
          <w:spacing w:val="2"/>
        </w:rPr>
        <w:t xml:space="preserve">include PET-CT, </w:t>
      </w:r>
      <w:r>
        <w:rPr>
          <w:color w:val="231F20"/>
          <w:spacing w:val="3"/>
        </w:rPr>
        <w:t xml:space="preserve">MRI </w:t>
      </w:r>
      <w:r>
        <w:rPr>
          <w:color w:val="231F20"/>
        </w:rPr>
        <w:t xml:space="preserve">whole body diffusion, gastroscopy, </w:t>
      </w:r>
      <w:r>
        <w:rPr>
          <w:color w:val="231F20"/>
          <w:spacing w:val="2"/>
        </w:rPr>
        <w:t xml:space="preserve">colonoscopy, </w:t>
      </w:r>
      <w:r>
        <w:rPr>
          <w:color w:val="231F20"/>
        </w:rPr>
        <w:t>or mammography. This is important as appropriate therapy depends on the origin of the primary</w:t>
      </w:r>
      <w:r>
        <w:rPr>
          <w:color w:val="231F20"/>
          <w:spacing w:val="-32"/>
        </w:rPr>
        <w:t xml:space="preserve"> </w:t>
      </w:r>
      <w:r>
        <w:rPr>
          <w:color w:val="231F20"/>
        </w:rPr>
        <w:t xml:space="preserve">tumor. </w:t>
      </w:r>
      <w:r>
        <w:rPr>
          <w:color w:val="231F20"/>
          <w:spacing w:val="5"/>
        </w:rPr>
        <w:t xml:space="preserve">This </w:t>
      </w:r>
      <w:r>
        <w:rPr>
          <w:color w:val="231F20"/>
          <w:spacing w:val="6"/>
        </w:rPr>
        <w:t xml:space="preserve">patient </w:t>
      </w:r>
      <w:r>
        <w:rPr>
          <w:color w:val="231F20"/>
          <w:spacing w:val="4"/>
        </w:rPr>
        <w:t xml:space="preserve">was </w:t>
      </w:r>
      <w:r>
        <w:rPr>
          <w:color w:val="231F20"/>
          <w:spacing w:val="6"/>
        </w:rPr>
        <w:t xml:space="preserve">eventually diagnosed </w:t>
      </w:r>
      <w:r>
        <w:rPr>
          <w:color w:val="231F20"/>
          <w:spacing w:val="3"/>
        </w:rPr>
        <w:t xml:space="preserve">with </w:t>
      </w:r>
      <w:r>
        <w:rPr>
          <w:color w:val="231F20"/>
        </w:rPr>
        <w:t>metastatic gastric cancer (Krukenberg tumor).</w:t>
      </w:r>
    </w:p>
    <w:p w:rsidR="00966BA7" w:rsidRDefault="00F255A2">
      <w:pPr>
        <w:spacing w:before="59"/>
        <w:ind w:left="113"/>
        <w:jc w:val="both"/>
        <w:rPr>
          <w:i/>
        </w:rPr>
      </w:pPr>
      <w:r>
        <w:br w:type="column"/>
      </w:r>
      <w:r>
        <w:rPr>
          <w:i/>
          <w:color w:val="231F20"/>
        </w:rPr>
        <w:lastRenderedPageBreak/>
        <w:t>Case 2</w:t>
      </w:r>
    </w:p>
    <w:p w:rsidR="00966BA7" w:rsidRDefault="00966BA7">
      <w:pPr>
        <w:pStyle w:val="BodyText"/>
        <w:spacing w:before="3"/>
        <w:rPr>
          <w:i/>
          <w:sz w:val="23"/>
        </w:rPr>
      </w:pPr>
    </w:p>
    <w:p w:rsidR="00966BA7" w:rsidRDefault="00F255A2">
      <w:pPr>
        <w:pStyle w:val="BodyText"/>
        <w:spacing w:line="247" w:lineRule="auto"/>
        <w:ind w:left="113" w:right="162"/>
        <w:jc w:val="both"/>
      </w:pPr>
      <w:r>
        <w:rPr>
          <w:color w:val="231F20"/>
        </w:rPr>
        <w:t>We evaluate a 48-year-old woman in a gyneco- logical onco</w:t>
      </w:r>
      <w:r>
        <w:rPr>
          <w:color w:val="231F20"/>
        </w:rPr>
        <w:t xml:space="preserve">logy center. She is diagnosed with a </w:t>
      </w:r>
      <w:r>
        <w:rPr>
          <w:color w:val="231F20"/>
          <w:spacing w:val="3"/>
        </w:rPr>
        <w:t xml:space="preserve">unilocular-solid adnexal mass with </w:t>
      </w:r>
      <w:r>
        <w:rPr>
          <w:color w:val="231F20"/>
        </w:rPr>
        <w:t xml:space="preserve">a </w:t>
      </w:r>
      <w:r>
        <w:rPr>
          <w:color w:val="231F20"/>
          <w:spacing w:val="4"/>
        </w:rPr>
        <w:t xml:space="preserve">maximal </w:t>
      </w:r>
      <w:r>
        <w:rPr>
          <w:color w:val="231F20"/>
        </w:rPr>
        <w:t>diameter of 66 mm. The maximal diameter of the largest solid component is 27 mm (one papillary projection), and there is no acoustic shadowing or ascites. CA125 is 22 U/ml. I</w:t>
      </w:r>
      <w:r>
        <w:rPr>
          <w:color w:val="231F20"/>
        </w:rPr>
        <w:t xml:space="preserve">f we introduce these </w:t>
      </w:r>
      <w:r>
        <w:rPr>
          <w:color w:val="231F20"/>
          <w:spacing w:val="5"/>
        </w:rPr>
        <w:t xml:space="preserve">parameters </w:t>
      </w:r>
      <w:r>
        <w:rPr>
          <w:color w:val="231F20"/>
          <w:spacing w:val="3"/>
        </w:rPr>
        <w:t xml:space="preserve">in </w:t>
      </w:r>
      <w:r>
        <w:rPr>
          <w:color w:val="231F20"/>
          <w:spacing w:val="4"/>
        </w:rPr>
        <w:t xml:space="preserve">the ADNEX model using the </w:t>
      </w:r>
      <w:r>
        <w:rPr>
          <w:color w:val="231F20"/>
        </w:rPr>
        <w:t>smartphone application, we obtain the results and column charts as illustrated in Figure 4. The total risk of malignancy is 40.9%. The predicted risk for stage I ovarian cancer is 13.3% (compared</w:t>
      </w:r>
      <w:r>
        <w:rPr>
          <w:color w:val="231F20"/>
        </w:rPr>
        <w:t xml:space="preserve"> to a </w:t>
      </w:r>
      <w:r>
        <w:rPr>
          <w:color w:val="231F20"/>
          <w:spacing w:val="2"/>
        </w:rPr>
        <w:t xml:space="preserve">baseline risk </w:t>
      </w:r>
      <w:r>
        <w:rPr>
          <w:color w:val="231F20"/>
        </w:rPr>
        <w:t xml:space="preserve">of </w:t>
      </w:r>
      <w:r>
        <w:rPr>
          <w:color w:val="231F20"/>
          <w:spacing w:val="2"/>
        </w:rPr>
        <w:t xml:space="preserve">7.4%), </w:t>
      </w:r>
      <w:r>
        <w:rPr>
          <w:color w:val="231F20"/>
        </w:rPr>
        <w:t xml:space="preserve">the </w:t>
      </w:r>
      <w:r>
        <w:rPr>
          <w:color w:val="231F20"/>
          <w:spacing w:val="2"/>
        </w:rPr>
        <w:t xml:space="preserve">predicted risk </w:t>
      </w:r>
      <w:r>
        <w:rPr>
          <w:color w:val="231F20"/>
        </w:rPr>
        <w:t xml:space="preserve">for a borderline tumor is 18.7% (compared to a baseline risk of </w:t>
      </w:r>
      <w:r>
        <w:rPr>
          <w:color w:val="231F20"/>
          <w:spacing w:val="2"/>
        </w:rPr>
        <w:t xml:space="preserve">6.3%). </w:t>
      </w:r>
      <w:r>
        <w:rPr>
          <w:color w:val="231F20"/>
        </w:rPr>
        <w:t xml:space="preserve">The </w:t>
      </w:r>
      <w:r>
        <w:rPr>
          <w:color w:val="231F20"/>
          <w:spacing w:val="2"/>
        </w:rPr>
        <w:t xml:space="preserve">predicted risks </w:t>
      </w:r>
      <w:r>
        <w:rPr>
          <w:color w:val="231F20"/>
        </w:rPr>
        <w:t>for the other subgroups are lower (5.9% for stage II-IV cancer and 3.0% for secondary metastatic cancer) and are als</w:t>
      </w:r>
      <w:r>
        <w:rPr>
          <w:color w:val="231F20"/>
        </w:rPr>
        <w:t>o</w:t>
      </w:r>
      <w:r>
        <w:rPr>
          <w:color w:val="231F20"/>
          <w:spacing w:val="-14"/>
        </w:rPr>
        <w:t xml:space="preserve"> </w:t>
      </w:r>
      <w:r>
        <w:rPr>
          <w:color w:val="231F20"/>
        </w:rPr>
        <w:t>smaller</w:t>
      </w:r>
      <w:r>
        <w:rPr>
          <w:color w:val="231F20"/>
          <w:spacing w:val="-13"/>
        </w:rPr>
        <w:t xml:space="preserve"> </w:t>
      </w:r>
      <w:r>
        <w:rPr>
          <w:color w:val="231F20"/>
        </w:rPr>
        <w:t>than</w:t>
      </w:r>
      <w:r>
        <w:rPr>
          <w:color w:val="231F20"/>
          <w:spacing w:val="-13"/>
        </w:rPr>
        <w:t xml:space="preserve"> </w:t>
      </w:r>
      <w:r>
        <w:rPr>
          <w:color w:val="231F20"/>
        </w:rPr>
        <w:t>the</w:t>
      </w:r>
      <w:r>
        <w:rPr>
          <w:color w:val="231F20"/>
          <w:spacing w:val="-14"/>
        </w:rPr>
        <w:t xml:space="preserve"> </w:t>
      </w:r>
      <w:r>
        <w:rPr>
          <w:color w:val="231F20"/>
        </w:rPr>
        <w:t>baseline</w:t>
      </w:r>
      <w:r>
        <w:rPr>
          <w:color w:val="231F20"/>
          <w:spacing w:val="-13"/>
        </w:rPr>
        <w:t xml:space="preserve"> </w:t>
      </w:r>
      <w:r>
        <w:rPr>
          <w:color w:val="231F20"/>
        </w:rPr>
        <w:t>risks.</w:t>
      </w:r>
      <w:r>
        <w:rPr>
          <w:color w:val="231F20"/>
          <w:spacing w:val="-13"/>
        </w:rPr>
        <w:t xml:space="preserve"> </w:t>
      </w:r>
      <w:r>
        <w:rPr>
          <w:color w:val="231F20"/>
        </w:rPr>
        <w:t>The</w:t>
      </w:r>
      <w:r>
        <w:rPr>
          <w:color w:val="231F20"/>
          <w:spacing w:val="-14"/>
        </w:rPr>
        <w:t xml:space="preserve"> </w:t>
      </w:r>
      <w:r>
        <w:rPr>
          <w:color w:val="231F20"/>
        </w:rPr>
        <w:t>relative</w:t>
      </w:r>
      <w:r>
        <w:rPr>
          <w:color w:val="231F20"/>
          <w:spacing w:val="-13"/>
        </w:rPr>
        <w:t xml:space="preserve"> </w:t>
      </w:r>
      <w:r>
        <w:rPr>
          <w:color w:val="231F20"/>
        </w:rPr>
        <w:t>risk for</w:t>
      </w:r>
      <w:r>
        <w:rPr>
          <w:color w:val="231F20"/>
          <w:spacing w:val="-10"/>
        </w:rPr>
        <w:t xml:space="preserve"> </w:t>
      </w:r>
      <w:r>
        <w:rPr>
          <w:color w:val="231F20"/>
        </w:rPr>
        <w:t>stage</w:t>
      </w:r>
      <w:r>
        <w:rPr>
          <w:color w:val="231F20"/>
          <w:spacing w:val="-9"/>
        </w:rPr>
        <w:t xml:space="preserve"> </w:t>
      </w:r>
      <w:r>
        <w:rPr>
          <w:color w:val="231F20"/>
        </w:rPr>
        <w:t>I</w:t>
      </w:r>
      <w:r>
        <w:rPr>
          <w:color w:val="231F20"/>
          <w:spacing w:val="-10"/>
        </w:rPr>
        <w:t xml:space="preserve"> </w:t>
      </w:r>
      <w:r>
        <w:rPr>
          <w:color w:val="231F20"/>
        </w:rPr>
        <w:t>ovarian</w:t>
      </w:r>
      <w:r>
        <w:rPr>
          <w:color w:val="231F20"/>
          <w:spacing w:val="-9"/>
        </w:rPr>
        <w:t xml:space="preserve"> </w:t>
      </w:r>
      <w:r>
        <w:rPr>
          <w:color w:val="231F20"/>
        </w:rPr>
        <w:t>cancer</w:t>
      </w:r>
      <w:r>
        <w:rPr>
          <w:color w:val="231F20"/>
          <w:spacing w:val="-10"/>
        </w:rPr>
        <w:t xml:space="preserve"> </w:t>
      </w:r>
      <w:r>
        <w:rPr>
          <w:color w:val="231F20"/>
        </w:rPr>
        <w:t>and</w:t>
      </w:r>
      <w:r>
        <w:rPr>
          <w:color w:val="231F20"/>
          <w:spacing w:val="-9"/>
        </w:rPr>
        <w:t xml:space="preserve"> </w:t>
      </w:r>
      <w:r>
        <w:rPr>
          <w:color w:val="231F20"/>
        </w:rPr>
        <w:t>for</w:t>
      </w:r>
      <w:r>
        <w:rPr>
          <w:color w:val="231F20"/>
          <w:spacing w:val="-9"/>
        </w:rPr>
        <w:t xml:space="preserve"> </w:t>
      </w:r>
      <w:r>
        <w:rPr>
          <w:color w:val="231F20"/>
        </w:rPr>
        <w:t>a</w:t>
      </w:r>
      <w:r>
        <w:rPr>
          <w:color w:val="231F20"/>
          <w:spacing w:val="-10"/>
        </w:rPr>
        <w:t xml:space="preserve"> </w:t>
      </w:r>
      <w:r>
        <w:rPr>
          <w:color w:val="231F20"/>
        </w:rPr>
        <w:t>borderline</w:t>
      </w:r>
      <w:r>
        <w:rPr>
          <w:color w:val="231F20"/>
          <w:spacing w:val="-9"/>
        </w:rPr>
        <w:t xml:space="preserve"> </w:t>
      </w:r>
      <w:r>
        <w:rPr>
          <w:color w:val="231F20"/>
        </w:rPr>
        <w:t xml:space="preserve">tumor is 1.8 and 3, respectively. The relative risks </w:t>
      </w:r>
      <w:r>
        <w:rPr>
          <w:color w:val="231F20"/>
          <w:spacing w:val="2"/>
        </w:rPr>
        <w:t>for</w:t>
      </w:r>
      <w:r>
        <w:rPr>
          <w:color w:val="231F20"/>
          <w:spacing w:val="59"/>
        </w:rPr>
        <w:t xml:space="preserve"> </w:t>
      </w:r>
      <w:r>
        <w:rPr>
          <w:color w:val="231F20"/>
          <w:spacing w:val="4"/>
        </w:rPr>
        <w:t xml:space="preserve">advanced </w:t>
      </w:r>
      <w:r>
        <w:rPr>
          <w:color w:val="231F20"/>
          <w:spacing w:val="3"/>
        </w:rPr>
        <w:t xml:space="preserve">stage </w:t>
      </w:r>
      <w:r>
        <w:rPr>
          <w:color w:val="231F20"/>
          <w:spacing w:val="4"/>
        </w:rPr>
        <w:t xml:space="preserve">ovarian cancer </w:t>
      </w:r>
      <w:r>
        <w:rPr>
          <w:color w:val="231F20"/>
          <w:spacing w:val="3"/>
        </w:rPr>
        <w:t xml:space="preserve">and </w:t>
      </w:r>
      <w:r>
        <w:rPr>
          <w:color w:val="231F20"/>
          <w:spacing w:val="5"/>
        </w:rPr>
        <w:t xml:space="preserve">secondary </w:t>
      </w:r>
      <w:r>
        <w:rPr>
          <w:color w:val="231F20"/>
        </w:rPr>
        <w:t>metastatic</w:t>
      </w:r>
      <w:r>
        <w:rPr>
          <w:color w:val="231F20"/>
          <w:spacing w:val="-23"/>
        </w:rPr>
        <w:t xml:space="preserve"> </w:t>
      </w:r>
      <w:r>
        <w:rPr>
          <w:color w:val="231F20"/>
        </w:rPr>
        <w:t>cancer</w:t>
      </w:r>
      <w:r>
        <w:rPr>
          <w:color w:val="231F20"/>
          <w:spacing w:val="-23"/>
        </w:rPr>
        <w:t xml:space="preserve"> </w:t>
      </w:r>
      <w:r>
        <w:rPr>
          <w:color w:val="231F20"/>
        </w:rPr>
        <w:t>are</w:t>
      </w:r>
      <w:r>
        <w:rPr>
          <w:color w:val="231F20"/>
          <w:spacing w:val="-22"/>
        </w:rPr>
        <w:t xml:space="preserve"> </w:t>
      </w:r>
      <w:r>
        <w:rPr>
          <w:color w:val="231F20"/>
        </w:rPr>
        <w:t>below</w:t>
      </w:r>
      <w:r>
        <w:rPr>
          <w:color w:val="231F20"/>
          <w:spacing w:val="-23"/>
        </w:rPr>
        <w:t xml:space="preserve"> </w:t>
      </w:r>
      <w:r>
        <w:rPr>
          <w:color w:val="231F20"/>
        </w:rPr>
        <w:t>1.</w:t>
      </w:r>
      <w:r>
        <w:rPr>
          <w:color w:val="231F20"/>
          <w:spacing w:val="-22"/>
        </w:rPr>
        <w:t xml:space="preserve"> </w:t>
      </w:r>
      <w:r>
        <w:rPr>
          <w:color w:val="231F20"/>
        </w:rPr>
        <w:t>This</w:t>
      </w:r>
      <w:r>
        <w:rPr>
          <w:color w:val="231F20"/>
          <w:spacing w:val="-23"/>
        </w:rPr>
        <w:t xml:space="preserve"> </w:t>
      </w:r>
      <w:r>
        <w:rPr>
          <w:color w:val="231F20"/>
        </w:rPr>
        <w:t>patient</w:t>
      </w:r>
      <w:r>
        <w:rPr>
          <w:color w:val="231F20"/>
          <w:spacing w:val="-22"/>
        </w:rPr>
        <w:t xml:space="preserve"> </w:t>
      </w:r>
      <w:r>
        <w:rPr>
          <w:color w:val="231F20"/>
        </w:rPr>
        <w:t>was</w:t>
      </w:r>
      <w:r>
        <w:rPr>
          <w:color w:val="231F20"/>
          <w:spacing w:val="-23"/>
        </w:rPr>
        <w:t xml:space="preserve"> </w:t>
      </w:r>
      <w:r>
        <w:rPr>
          <w:color w:val="231F20"/>
        </w:rPr>
        <w:t>even- tually diagnosed with a borderline ovarian</w:t>
      </w:r>
      <w:r>
        <w:rPr>
          <w:color w:val="231F20"/>
          <w:spacing w:val="-3"/>
        </w:rPr>
        <w:t xml:space="preserve"> </w:t>
      </w:r>
      <w:r>
        <w:rPr>
          <w:color w:val="231F20"/>
        </w:rPr>
        <w:t>tumor.</w:t>
      </w:r>
    </w:p>
    <w:p w:rsidR="00966BA7" w:rsidRDefault="00966BA7">
      <w:pPr>
        <w:spacing w:line="247" w:lineRule="auto"/>
        <w:jc w:val="both"/>
        <w:sectPr w:rsidR="00966BA7">
          <w:type w:val="continuous"/>
          <w:pgSz w:w="11910" w:h="16840"/>
          <w:pgMar w:top="880" w:right="1020" w:bottom="720" w:left="1020" w:header="720" w:footer="720" w:gutter="0"/>
          <w:cols w:num="2" w:space="720" w:equalWidth="0">
            <w:col w:w="4697" w:space="348"/>
            <w:col w:w="4825"/>
          </w:cols>
        </w:sectPr>
      </w:pPr>
    </w:p>
    <w:p w:rsidR="00966BA7" w:rsidRDefault="00F255A2">
      <w:pPr>
        <w:pStyle w:val="BodyText"/>
        <w:ind w:left="952"/>
        <w:rPr>
          <w:sz w:val="20"/>
        </w:rPr>
      </w:pPr>
      <w:r>
        <w:rPr>
          <w:noProof/>
          <w:sz w:val="20"/>
        </w:rPr>
        <w:lastRenderedPageBreak/>
        <w:drawing>
          <wp:inline distT="0" distB="0" distL="0" distR="0">
            <wp:extent cx="5149796" cy="541401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149796" cy="5414010"/>
                    </a:xfrm>
                    <a:prstGeom prst="rect">
                      <a:avLst/>
                    </a:prstGeom>
                  </pic:spPr>
                </pic:pic>
              </a:graphicData>
            </a:graphic>
          </wp:inline>
        </w:drawing>
      </w:r>
    </w:p>
    <w:p w:rsidR="00966BA7" w:rsidRDefault="00F255A2">
      <w:pPr>
        <w:spacing w:before="97"/>
        <w:ind w:left="1547" w:right="1489"/>
        <w:jc w:val="center"/>
        <w:rPr>
          <w:sz w:val="18"/>
        </w:rPr>
      </w:pPr>
      <w:proofErr w:type="gramStart"/>
      <w:r>
        <w:rPr>
          <w:b/>
          <w:i/>
          <w:color w:val="231F20"/>
          <w:sz w:val="18"/>
        </w:rPr>
        <w:t>Fig. 5.</w:t>
      </w:r>
      <w:proofErr w:type="gramEnd"/>
      <w:r>
        <w:rPr>
          <w:b/>
          <w:i/>
          <w:color w:val="231F20"/>
          <w:sz w:val="18"/>
        </w:rPr>
        <w:t xml:space="preserve"> </w:t>
      </w:r>
      <w:r>
        <w:rPr>
          <w:color w:val="231F20"/>
          <w:sz w:val="18"/>
        </w:rPr>
        <w:t>— Example of a two-step approach towards the clinical use of ADNEX predicted risks</w:t>
      </w:r>
    </w:p>
    <w:p w:rsidR="00966BA7" w:rsidRDefault="00966BA7">
      <w:pPr>
        <w:pStyle w:val="BodyText"/>
        <w:rPr>
          <w:sz w:val="20"/>
        </w:rPr>
      </w:pPr>
    </w:p>
    <w:p w:rsidR="00966BA7" w:rsidRDefault="00966BA7">
      <w:pPr>
        <w:pStyle w:val="BodyText"/>
      </w:pPr>
    </w:p>
    <w:p w:rsidR="00966BA7" w:rsidRDefault="00966BA7">
      <w:pPr>
        <w:sectPr w:rsidR="00966BA7">
          <w:pgSz w:w="11910" w:h="16840"/>
          <w:pgMar w:top="980" w:right="1020" w:bottom="720" w:left="1020" w:header="0" w:footer="537" w:gutter="0"/>
          <w:cols w:space="720"/>
        </w:sectPr>
      </w:pPr>
    </w:p>
    <w:p w:rsidR="00966BA7" w:rsidRDefault="00F255A2">
      <w:pPr>
        <w:pStyle w:val="Heading1"/>
        <w:spacing w:before="60"/>
      </w:pPr>
      <w:r>
        <w:rPr>
          <w:color w:val="6D6E71"/>
        </w:rPr>
        <w:lastRenderedPageBreak/>
        <w:t>Discussion</w:t>
      </w:r>
    </w:p>
    <w:p w:rsidR="00966BA7" w:rsidRDefault="00966BA7">
      <w:pPr>
        <w:pStyle w:val="BodyText"/>
        <w:spacing w:before="3"/>
        <w:rPr>
          <w:b/>
          <w:sz w:val="23"/>
        </w:rPr>
      </w:pPr>
    </w:p>
    <w:p w:rsidR="00966BA7" w:rsidRDefault="00F255A2">
      <w:pPr>
        <w:pStyle w:val="BodyText"/>
        <w:spacing w:line="247" w:lineRule="auto"/>
        <w:ind w:left="170" w:right="38"/>
        <w:jc w:val="both"/>
      </w:pPr>
      <w:r>
        <w:rPr>
          <w:color w:val="231F20"/>
        </w:rPr>
        <w:t xml:space="preserve">The </w:t>
      </w:r>
      <w:r>
        <w:rPr>
          <w:color w:val="231F20"/>
          <w:spacing w:val="2"/>
        </w:rPr>
        <w:t xml:space="preserve">ADNEX model </w:t>
      </w:r>
      <w:r>
        <w:rPr>
          <w:color w:val="231F20"/>
        </w:rPr>
        <w:t xml:space="preserve">is the first </w:t>
      </w:r>
      <w:r>
        <w:rPr>
          <w:color w:val="231F20"/>
          <w:spacing w:val="2"/>
        </w:rPr>
        <w:t xml:space="preserve">risk model </w:t>
      </w:r>
      <w:r>
        <w:rPr>
          <w:color w:val="231F20"/>
          <w:spacing w:val="3"/>
        </w:rPr>
        <w:t xml:space="preserve">that </w:t>
      </w:r>
      <w:r>
        <w:rPr>
          <w:color w:val="231F20"/>
        </w:rPr>
        <w:t>differentiates</w:t>
      </w:r>
      <w:r>
        <w:rPr>
          <w:color w:val="231F20"/>
          <w:spacing w:val="-15"/>
        </w:rPr>
        <w:t xml:space="preserve"> </w:t>
      </w:r>
      <w:r>
        <w:rPr>
          <w:color w:val="231F20"/>
        </w:rPr>
        <w:t>between</w:t>
      </w:r>
      <w:r>
        <w:rPr>
          <w:color w:val="231F20"/>
          <w:spacing w:val="-15"/>
        </w:rPr>
        <w:t xml:space="preserve"> </w:t>
      </w:r>
      <w:r>
        <w:rPr>
          <w:color w:val="231F20"/>
        </w:rPr>
        <w:t>benign</w:t>
      </w:r>
      <w:r>
        <w:rPr>
          <w:color w:val="231F20"/>
          <w:spacing w:val="-14"/>
        </w:rPr>
        <w:t xml:space="preserve"> </w:t>
      </w:r>
      <w:r>
        <w:rPr>
          <w:color w:val="231F20"/>
        </w:rPr>
        <w:t>and</w:t>
      </w:r>
      <w:r>
        <w:rPr>
          <w:color w:val="231F20"/>
          <w:spacing w:val="-15"/>
        </w:rPr>
        <w:t xml:space="preserve"> </w:t>
      </w:r>
      <w:r>
        <w:rPr>
          <w:color w:val="231F20"/>
        </w:rPr>
        <w:t>four</w:t>
      </w:r>
      <w:r>
        <w:rPr>
          <w:color w:val="231F20"/>
          <w:spacing w:val="-14"/>
        </w:rPr>
        <w:t xml:space="preserve"> </w:t>
      </w:r>
      <w:r>
        <w:rPr>
          <w:color w:val="231F20"/>
        </w:rPr>
        <w:t>subgroups</w:t>
      </w:r>
      <w:r>
        <w:rPr>
          <w:color w:val="231F20"/>
          <w:spacing w:val="-15"/>
        </w:rPr>
        <w:t xml:space="preserve"> </w:t>
      </w:r>
      <w:r>
        <w:rPr>
          <w:color w:val="231F20"/>
        </w:rPr>
        <w:t xml:space="preserve">of malignant adnexal tumors. The model consists of </w:t>
      </w:r>
      <w:r>
        <w:rPr>
          <w:color w:val="231F20"/>
          <w:spacing w:val="5"/>
        </w:rPr>
        <w:t xml:space="preserve">three </w:t>
      </w:r>
      <w:r>
        <w:rPr>
          <w:color w:val="231F20"/>
          <w:spacing w:val="6"/>
        </w:rPr>
        <w:t xml:space="preserve">clinical predictors </w:t>
      </w:r>
      <w:r>
        <w:rPr>
          <w:color w:val="231F20"/>
          <w:spacing w:val="4"/>
        </w:rPr>
        <w:t xml:space="preserve">and six </w:t>
      </w:r>
      <w:r>
        <w:rPr>
          <w:color w:val="231F20"/>
          <w:spacing w:val="7"/>
        </w:rPr>
        <w:t xml:space="preserve">ultrasound </w:t>
      </w:r>
      <w:r>
        <w:rPr>
          <w:color w:val="231F20"/>
        </w:rPr>
        <w:t xml:space="preserve">predictors, which can be evaluated by examiners </w:t>
      </w:r>
      <w:r>
        <w:rPr>
          <w:color w:val="231F20"/>
          <w:spacing w:val="3"/>
        </w:rPr>
        <w:t xml:space="preserve">familiar with </w:t>
      </w:r>
      <w:r>
        <w:rPr>
          <w:color w:val="231F20"/>
          <w:spacing w:val="2"/>
        </w:rPr>
        <w:t xml:space="preserve">the </w:t>
      </w:r>
      <w:r>
        <w:rPr>
          <w:color w:val="231F20"/>
          <w:spacing w:val="3"/>
        </w:rPr>
        <w:t xml:space="preserve">IOTA terms </w:t>
      </w:r>
      <w:r>
        <w:rPr>
          <w:color w:val="231F20"/>
          <w:spacing w:val="2"/>
        </w:rPr>
        <w:t xml:space="preserve">and </w:t>
      </w:r>
      <w:r>
        <w:rPr>
          <w:color w:val="231F20"/>
          <w:spacing w:val="4"/>
        </w:rPr>
        <w:t xml:space="preserve">definitions. </w:t>
      </w:r>
      <w:r>
        <w:rPr>
          <w:color w:val="231F20"/>
        </w:rPr>
        <w:t>Although the ADNE</w:t>
      </w:r>
      <w:r>
        <w:rPr>
          <w:color w:val="231F20"/>
        </w:rPr>
        <w:t>X model includes the serum CA-125 level, the online and mobile application allow</w:t>
      </w:r>
      <w:r>
        <w:rPr>
          <w:color w:val="231F20"/>
          <w:spacing w:val="-26"/>
        </w:rPr>
        <w:t xml:space="preserve"> </w:t>
      </w:r>
      <w:r>
        <w:rPr>
          <w:color w:val="231F20"/>
        </w:rPr>
        <w:t>for</w:t>
      </w:r>
      <w:r>
        <w:rPr>
          <w:color w:val="231F20"/>
          <w:spacing w:val="-26"/>
        </w:rPr>
        <w:t xml:space="preserve"> </w:t>
      </w:r>
      <w:r>
        <w:rPr>
          <w:color w:val="231F20"/>
        </w:rPr>
        <w:t>risk</w:t>
      </w:r>
      <w:r>
        <w:rPr>
          <w:color w:val="231F20"/>
          <w:spacing w:val="-25"/>
        </w:rPr>
        <w:t xml:space="preserve"> </w:t>
      </w:r>
      <w:r>
        <w:rPr>
          <w:color w:val="231F20"/>
        </w:rPr>
        <w:t>calculations</w:t>
      </w:r>
      <w:r>
        <w:rPr>
          <w:color w:val="231F20"/>
          <w:spacing w:val="-26"/>
        </w:rPr>
        <w:t xml:space="preserve"> </w:t>
      </w:r>
      <w:r>
        <w:rPr>
          <w:color w:val="231F20"/>
        </w:rPr>
        <w:t>without</w:t>
      </w:r>
      <w:r>
        <w:rPr>
          <w:color w:val="231F20"/>
          <w:spacing w:val="-25"/>
        </w:rPr>
        <w:t xml:space="preserve"> </w:t>
      </w:r>
      <w:r>
        <w:rPr>
          <w:color w:val="231F20"/>
        </w:rPr>
        <w:t>this</w:t>
      </w:r>
      <w:r>
        <w:rPr>
          <w:color w:val="231F20"/>
          <w:spacing w:val="-26"/>
        </w:rPr>
        <w:t xml:space="preserve"> </w:t>
      </w:r>
      <w:r>
        <w:rPr>
          <w:color w:val="231F20"/>
        </w:rPr>
        <w:t>measurement. A two-step approach could be adopted to make clinical</w:t>
      </w:r>
      <w:r>
        <w:rPr>
          <w:color w:val="231F20"/>
          <w:spacing w:val="-13"/>
        </w:rPr>
        <w:t xml:space="preserve"> </w:t>
      </w:r>
      <w:r>
        <w:rPr>
          <w:color w:val="231F20"/>
        </w:rPr>
        <w:t>use</w:t>
      </w:r>
      <w:r>
        <w:rPr>
          <w:color w:val="231F20"/>
          <w:spacing w:val="-13"/>
        </w:rPr>
        <w:t xml:space="preserve"> </w:t>
      </w:r>
      <w:r>
        <w:rPr>
          <w:color w:val="231F20"/>
        </w:rPr>
        <w:t>of</w:t>
      </w:r>
      <w:r>
        <w:rPr>
          <w:color w:val="231F20"/>
          <w:spacing w:val="-14"/>
        </w:rPr>
        <w:t xml:space="preserve"> </w:t>
      </w:r>
      <w:r>
        <w:rPr>
          <w:color w:val="231F20"/>
        </w:rPr>
        <w:t>the</w:t>
      </w:r>
      <w:r>
        <w:rPr>
          <w:color w:val="231F20"/>
          <w:spacing w:val="-13"/>
        </w:rPr>
        <w:t xml:space="preserve"> </w:t>
      </w:r>
      <w:r>
        <w:rPr>
          <w:color w:val="231F20"/>
        </w:rPr>
        <w:t>predicted</w:t>
      </w:r>
      <w:r>
        <w:rPr>
          <w:color w:val="231F20"/>
          <w:spacing w:val="-14"/>
        </w:rPr>
        <w:t xml:space="preserve"> </w:t>
      </w:r>
      <w:r>
        <w:rPr>
          <w:color w:val="231F20"/>
        </w:rPr>
        <w:t>risks</w:t>
      </w:r>
      <w:r>
        <w:rPr>
          <w:color w:val="231F20"/>
          <w:spacing w:val="-13"/>
        </w:rPr>
        <w:t xml:space="preserve"> </w:t>
      </w:r>
      <w:r>
        <w:rPr>
          <w:color w:val="231F20"/>
        </w:rPr>
        <w:t>from</w:t>
      </w:r>
      <w:r>
        <w:rPr>
          <w:color w:val="231F20"/>
          <w:spacing w:val="-14"/>
        </w:rPr>
        <w:t xml:space="preserve"> </w:t>
      </w:r>
      <w:r>
        <w:rPr>
          <w:color w:val="231F20"/>
        </w:rPr>
        <w:t>ADNEX</w:t>
      </w:r>
      <w:r>
        <w:rPr>
          <w:color w:val="231F20"/>
          <w:spacing w:val="-13"/>
        </w:rPr>
        <w:t xml:space="preserve"> </w:t>
      </w:r>
      <w:r>
        <w:rPr>
          <w:color w:val="231F20"/>
        </w:rPr>
        <w:t>(see Figure 5 for an example). Firs</w:t>
      </w:r>
      <w:r>
        <w:rPr>
          <w:color w:val="231F20"/>
        </w:rPr>
        <w:t xml:space="preserve">t the risk calculation can be used to discriminate between benign </w:t>
      </w:r>
      <w:r>
        <w:rPr>
          <w:color w:val="231F20"/>
          <w:spacing w:val="2"/>
        </w:rPr>
        <w:t xml:space="preserve">and </w:t>
      </w:r>
      <w:r>
        <w:rPr>
          <w:color w:val="231F20"/>
        </w:rPr>
        <w:t xml:space="preserve">malignant masses based on the specific risk cut-off </w:t>
      </w:r>
      <w:r>
        <w:rPr>
          <w:color w:val="231F20"/>
          <w:spacing w:val="5"/>
        </w:rPr>
        <w:t xml:space="preserve">value used </w:t>
      </w:r>
      <w:r>
        <w:rPr>
          <w:color w:val="231F20"/>
          <w:spacing w:val="3"/>
        </w:rPr>
        <w:t xml:space="preserve">by </w:t>
      </w:r>
      <w:r>
        <w:rPr>
          <w:color w:val="231F20"/>
          <w:spacing w:val="6"/>
        </w:rPr>
        <w:t xml:space="preserve">individual centers </w:t>
      </w:r>
      <w:r>
        <w:rPr>
          <w:color w:val="231F20"/>
          <w:spacing w:val="3"/>
        </w:rPr>
        <w:t xml:space="preserve">to </w:t>
      </w:r>
      <w:r>
        <w:rPr>
          <w:color w:val="231F20"/>
          <w:spacing w:val="7"/>
        </w:rPr>
        <w:t xml:space="preserve">define </w:t>
      </w:r>
      <w:r>
        <w:rPr>
          <w:color w:val="231F20"/>
        </w:rPr>
        <w:t>malignancy, where the adopted cut-off may depend on the local healthcare policy. The discri</w:t>
      </w:r>
      <w:r>
        <w:rPr>
          <w:color w:val="231F20"/>
        </w:rPr>
        <w:t>mination between benign and malignant masses can be</w:t>
      </w:r>
      <w:r>
        <w:rPr>
          <w:color w:val="231F20"/>
          <w:spacing w:val="1"/>
        </w:rPr>
        <w:t xml:space="preserve"> </w:t>
      </w:r>
      <w:r>
        <w:rPr>
          <w:color w:val="231F20"/>
        </w:rPr>
        <w:t>done</w:t>
      </w:r>
    </w:p>
    <w:p w:rsidR="00966BA7" w:rsidRDefault="00F255A2">
      <w:pPr>
        <w:pStyle w:val="BodyText"/>
        <w:spacing w:before="60" w:line="249" w:lineRule="auto"/>
        <w:ind w:left="170" w:right="109"/>
        <w:jc w:val="both"/>
      </w:pPr>
      <w:r>
        <w:br w:type="column"/>
      </w:r>
      <w:proofErr w:type="gramStart"/>
      <w:r>
        <w:rPr>
          <w:color w:val="231F20"/>
        </w:rPr>
        <w:lastRenderedPageBreak/>
        <w:t>without</w:t>
      </w:r>
      <w:proofErr w:type="gramEnd"/>
      <w:r>
        <w:rPr>
          <w:color w:val="231F20"/>
        </w:rPr>
        <w:t xml:space="preserve"> CA-125 should this be desired, because results indicate no loss of performance in terms of AUC.</w:t>
      </w:r>
      <w:r>
        <w:rPr>
          <w:color w:val="231F20"/>
          <w:spacing w:val="-15"/>
        </w:rPr>
        <w:t xml:space="preserve"> </w:t>
      </w:r>
      <w:r>
        <w:rPr>
          <w:color w:val="231F20"/>
        </w:rPr>
        <w:t>Second,</w:t>
      </w:r>
      <w:r>
        <w:rPr>
          <w:color w:val="231F20"/>
          <w:spacing w:val="-15"/>
        </w:rPr>
        <w:t xml:space="preserve"> </w:t>
      </w:r>
      <w:r>
        <w:rPr>
          <w:color w:val="231F20"/>
        </w:rPr>
        <w:t>we</w:t>
      </w:r>
      <w:r>
        <w:rPr>
          <w:color w:val="231F20"/>
          <w:spacing w:val="-14"/>
        </w:rPr>
        <w:t xml:space="preserve"> </w:t>
      </w:r>
      <w:r>
        <w:rPr>
          <w:color w:val="231F20"/>
        </w:rPr>
        <w:t>can</w:t>
      </w:r>
      <w:r>
        <w:rPr>
          <w:color w:val="231F20"/>
          <w:spacing w:val="-14"/>
        </w:rPr>
        <w:t xml:space="preserve"> </w:t>
      </w:r>
      <w:r>
        <w:rPr>
          <w:color w:val="231F20"/>
        </w:rPr>
        <w:t>differentiate</w:t>
      </w:r>
      <w:r>
        <w:rPr>
          <w:color w:val="231F20"/>
          <w:spacing w:val="-14"/>
        </w:rPr>
        <w:t xml:space="preserve"> </w:t>
      </w:r>
      <w:r>
        <w:rPr>
          <w:color w:val="231F20"/>
        </w:rPr>
        <w:t>between</w:t>
      </w:r>
      <w:r>
        <w:rPr>
          <w:color w:val="231F20"/>
          <w:spacing w:val="-15"/>
        </w:rPr>
        <w:t xml:space="preserve"> </w:t>
      </w:r>
      <w:r>
        <w:rPr>
          <w:color w:val="231F20"/>
        </w:rPr>
        <w:t>the</w:t>
      </w:r>
      <w:r>
        <w:rPr>
          <w:color w:val="231F20"/>
          <w:spacing w:val="-15"/>
        </w:rPr>
        <w:t xml:space="preserve"> </w:t>
      </w:r>
      <w:r>
        <w:rPr>
          <w:color w:val="231F20"/>
        </w:rPr>
        <w:t xml:space="preserve">four subgroups of malignant tumors using the predicted </w:t>
      </w:r>
      <w:r>
        <w:rPr>
          <w:color w:val="231F20"/>
          <w:spacing w:val="2"/>
        </w:rPr>
        <w:t xml:space="preserve">risks </w:t>
      </w:r>
      <w:r>
        <w:rPr>
          <w:color w:val="231F20"/>
        </w:rPr>
        <w:t xml:space="preserve">for </w:t>
      </w:r>
      <w:r>
        <w:rPr>
          <w:color w:val="231F20"/>
          <w:spacing w:val="2"/>
        </w:rPr>
        <w:t xml:space="preserve">these subgroups. </w:t>
      </w:r>
      <w:r>
        <w:rPr>
          <w:color w:val="231F20"/>
        </w:rPr>
        <w:t xml:space="preserve">In </w:t>
      </w:r>
      <w:r>
        <w:rPr>
          <w:color w:val="231F20"/>
          <w:spacing w:val="2"/>
        </w:rPr>
        <w:t xml:space="preserve">this step, </w:t>
      </w:r>
      <w:r>
        <w:rPr>
          <w:color w:val="231F20"/>
        </w:rPr>
        <w:t>absolute predicted</w:t>
      </w:r>
      <w:r>
        <w:rPr>
          <w:color w:val="231F20"/>
          <w:spacing w:val="-15"/>
        </w:rPr>
        <w:t xml:space="preserve"> </w:t>
      </w:r>
      <w:r>
        <w:rPr>
          <w:color w:val="231F20"/>
        </w:rPr>
        <w:t>risks</w:t>
      </w:r>
      <w:r>
        <w:rPr>
          <w:color w:val="231F20"/>
          <w:spacing w:val="-16"/>
        </w:rPr>
        <w:t xml:space="preserve"> </w:t>
      </w:r>
      <w:r>
        <w:rPr>
          <w:color w:val="231F20"/>
        </w:rPr>
        <w:t>as</w:t>
      </w:r>
      <w:r>
        <w:rPr>
          <w:color w:val="231F20"/>
          <w:spacing w:val="-15"/>
        </w:rPr>
        <w:t xml:space="preserve"> </w:t>
      </w:r>
      <w:r>
        <w:rPr>
          <w:color w:val="231F20"/>
        </w:rPr>
        <w:t>well</w:t>
      </w:r>
      <w:r>
        <w:rPr>
          <w:color w:val="231F20"/>
          <w:spacing w:val="-15"/>
        </w:rPr>
        <w:t xml:space="preserve"> </w:t>
      </w:r>
      <w:r>
        <w:rPr>
          <w:color w:val="231F20"/>
        </w:rPr>
        <w:t>as</w:t>
      </w:r>
      <w:r>
        <w:rPr>
          <w:color w:val="231F20"/>
          <w:spacing w:val="-15"/>
        </w:rPr>
        <w:t xml:space="preserve"> </w:t>
      </w:r>
      <w:r>
        <w:rPr>
          <w:color w:val="231F20"/>
        </w:rPr>
        <w:t>the</w:t>
      </w:r>
      <w:r>
        <w:rPr>
          <w:color w:val="231F20"/>
          <w:spacing w:val="-15"/>
        </w:rPr>
        <w:t xml:space="preserve"> </w:t>
      </w:r>
      <w:r>
        <w:rPr>
          <w:color w:val="231F20"/>
        </w:rPr>
        <w:t>relative</w:t>
      </w:r>
      <w:r>
        <w:rPr>
          <w:color w:val="231F20"/>
          <w:spacing w:val="-15"/>
        </w:rPr>
        <w:t xml:space="preserve"> </w:t>
      </w:r>
      <w:r>
        <w:rPr>
          <w:color w:val="231F20"/>
        </w:rPr>
        <w:t>change</w:t>
      </w:r>
      <w:r>
        <w:rPr>
          <w:color w:val="231F20"/>
          <w:spacing w:val="-15"/>
        </w:rPr>
        <w:t xml:space="preserve"> </w:t>
      </w:r>
      <w:r>
        <w:rPr>
          <w:color w:val="231F20"/>
        </w:rPr>
        <w:t>of</w:t>
      </w:r>
      <w:r>
        <w:rPr>
          <w:color w:val="231F20"/>
          <w:spacing w:val="-15"/>
        </w:rPr>
        <w:t xml:space="preserve"> </w:t>
      </w:r>
      <w:r>
        <w:rPr>
          <w:color w:val="231F20"/>
        </w:rPr>
        <w:t xml:space="preserve">these risks versus the baseline risks provide clinically useful information to select an appropriate </w:t>
      </w:r>
      <w:r>
        <w:rPr>
          <w:color w:val="231F20"/>
        </w:rPr>
        <w:t>patient- specific</w:t>
      </w:r>
      <w:r>
        <w:rPr>
          <w:color w:val="231F20"/>
          <w:spacing w:val="-10"/>
        </w:rPr>
        <w:t xml:space="preserve"> </w:t>
      </w:r>
      <w:r>
        <w:rPr>
          <w:color w:val="231F20"/>
        </w:rPr>
        <w:t>management</w:t>
      </w:r>
      <w:r>
        <w:rPr>
          <w:color w:val="231F20"/>
          <w:spacing w:val="-9"/>
        </w:rPr>
        <w:t xml:space="preserve"> </w:t>
      </w:r>
      <w:r>
        <w:rPr>
          <w:color w:val="231F20"/>
        </w:rPr>
        <w:t>strategy.</w:t>
      </w:r>
      <w:r>
        <w:rPr>
          <w:color w:val="231F20"/>
          <w:spacing w:val="-9"/>
        </w:rPr>
        <w:t xml:space="preserve"> </w:t>
      </w:r>
      <w:r>
        <w:rPr>
          <w:color w:val="231F20"/>
        </w:rPr>
        <w:t>We</w:t>
      </w:r>
      <w:r>
        <w:rPr>
          <w:color w:val="231F20"/>
          <w:spacing w:val="-9"/>
        </w:rPr>
        <w:t xml:space="preserve"> </w:t>
      </w:r>
      <w:r>
        <w:rPr>
          <w:color w:val="231F20"/>
        </w:rPr>
        <w:t>cannot</w:t>
      </w:r>
      <w:r>
        <w:rPr>
          <w:color w:val="231F20"/>
          <w:spacing w:val="-9"/>
        </w:rPr>
        <w:t xml:space="preserve"> </w:t>
      </w:r>
      <w:r>
        <w:rPr>
          <w:color w:val="231F20"/>
        </w:rPr>
        <w:t>propose</w:t>
      </w:r>
      <w:r>
        <w:rPr>
          <w:color w:val="231F20"/>
          <w:spacing w:val="-9"/>
        </w:rPr>
        <w:t xml:space="preserve"> </w:t>
      </w:r>
      <w:r>
        <w:rPr>
          <w:color w:val="231F20"/>
        </w:rPr>
        <w:t>a generally applicable algorithm with fixed cut-offs, because this depends on the specific clinical setting where the model will be used. Nevertheless, this paper provides guidance on how the ADNEX r</w:t>
      </w:r>
      <w:r>
        <w:rPr>
          <w:color w:val="231F20"/>
        </w:rPr>
        <w:t>isk model may be adopted into clinical practice.</w:t>
      </w:r>
    </w:p>
    <w:p w:rsidR="00966BA7" w:rsidRDefault="00966BA7">
      <w:pPr>
        <w:pStyle w:val="BodyText"/>
        <w:spacing w:before="9"/>
        <w:rPr>
          <w:sz w:val="27"/>
        </w:rPr>
      </w:pPr>
    </w:p>
    <w:p w:rsidR="00966BA7" w:rsidRDefault="00F255A2">
      <w:pPr>
        <w:ind w:left="170"/>
        <w:rPr>
          <w:b/>
          <w:sz w:val="20"/>
        </w:rPr>
      </w:pPr>
      <w:r>
        <w:rPr>
          <w:b/>
          <w:color w:val="6D6E71"/>
          <w:sz w:val="20"/>
        </w:rPr>
        <w:t>Acknowledgments</w:t>
      </w:r>
    </w:p>
    <w:p w:rsidR="00966BA7" w:rsidRDefault="00966BA7">
      <w:pPr>
        <w:pStyle w:val="BodyText"/>
        <w:rPr>
          <w:b/>
        </w:rPr>
      </w:pPr>
    </w:p>
    <w:p w:rsidR="00966BA7" w:rsidRDefault="00F255A2">
      <w:pPr>
        <w:spacing w:before="1" w:line="254" w:lineRule="auto"/>
        <w:ind w:left="170" w:right="103"/>
        <w:jc w:val="both"/>
        <w:rPr>
          <w:sz w:val="20"/>
        </w:rPr>
      </w:pPr>
      <w:r>
        <w:rPr>
          <w:color w:val="231F20"/>
          <w:sz w:val="20"/>
        </w:rPr>
        <w:t>This study is supported by the Flemish Government: FWO project G049312N, Flanders’ Agency for Innovation by Science and Technology (IWT) project</w:t>
      </w:r>
    </w:p>
    <w:p w:rsidR="00966BA7" w:rsidRDefault="00966BA7">
      <w:pPr>
        <w:spacing w:line="254" w:lineRule="auto"/>
        <w:jc w:val="both"/>
        <w:rPr>
          <w:sz w:val="20"/>
        </w:rPr>
        <w:sectPr w:rsidR="00966BA7">
          <w:type w:val="continuous"/>
          <w:pgSz w:w="11910" w:h="16840"/>
          <w:pgMar w:top="880" w:right="1020" w:bottom="720" w:left="1020" w:header="720" w:footer="720" w:gutter="0"/>
          <w:cols w:num="2" w:space="720" w:equalWidth="0">
            <w:col w:w="4755" w:space="291"/>
            <w:col w:w="4824"/>
          </w:cols>
        </w:sectPr>
      </w:pPr>
    </w:p>
    <w:p w:rsidR="00966BA7" w:rsidRDefault="00F255A2">
      <w:pPr>
        <w:spacing w:before="46" w:line="249" w:lineRule="auto"/>
        <w:ind w:left="113" w:right="41"/>
        <w:jc w:val="both"/>
        <w:rPr>
          <w:sz w:val="20"/>
        </w:rPr>
      </w:pPr>
      <w:r>
        <w:rPr>
          <w:color w:val="231F20"/>
          <w:sz w:val="20"/>
        </w:rPr>
        <w:lastRenderedPageBreak/>
        <w:t xml:space="preserve">IWT-TBM </w:t>
      </w:r>
      <w:proofErr w:type="gramStart"/>
      <w:r>
        <w:rPr>
          <w:color w:val="231F20"/>
          <w:sz w:val="20"/>
        </w:rPr>
        <w:t>070706-IO</w:t>
      </w:r>
      <w:r>
        <w:rPr>
          <w:color w:val="231F20"/>
          <w:sz w:val="20"/>
        </w:rPr>
        <w:t>TA3,</w:t>
      </w:r>
      <w:proofErr w:type="gramEnd"/>
      <w:r>
        <w:rPr>
          <w:color w:val="231F20"/>
          <w:sz w:val="20"/>
        </w:rPr>
        <w:t xml:space="preserve"> and iMinds 2013. Kirsten Van Hoorde and Laure Wynants are doctoral fellows   of the Institute of Science and Technology (IWT). Dirk </w:t>
      </w:r>
      <w:r>
        <w:rPr>
          <w:color w:val="231F20"/>
          <w:spacing w:val="3"/>
          <w:sz w:val="20"/>
        </w:rPr>
        <w:t xml:space="preserve">Timmerman </w:t>
      </w:r>
      <w:r>
        <w:rPr>
          <w:color w:val="231F20"/>
          <w:sz w:val="20"/>
        </w:rPr>
        <w:t xml:space="preserve">is </w:t>
      </w:r>
      <w:r>
        <w:rPr>
          <w:color w:val="231F20"/>
          <w:spacing w:val="3"/>
          <w:sz w:val="20"/>
        </w:rPr>
        <w:t xml:space="preserve">Senior Clinical Investigator </w:t>
      </w:r>
      <w:r>
        <w:rPr>
          <w:color w:val="231F20"/>
          <w:sz w:val="20"/>
        </w:rPr>
        <w:t xml:space="preserve">of </w:t>
      </w:r>
      <w:r>
        <w:rPr>
          <w:color w:val="231F20"/>
          <w:spacing w:val="4"/>
          <w:sz w:val="20"/>
        </w:rPr>
        <w:t xml:space="preserve">the </w:t>
      </w:r>
      <w:r>
        <w:rPr>
          <w:color w:val="231F20"/>
          <w:sz w:val="20"/>
        </w:rPr>
        <w:t>Research Foundation - Flanders (Belgium) (FWO). Tom Bourne is supported by the National Institute for Health Research (NIHR) Biomedical Research Centre based at Imperial College Healthcare NHS Trust and Imperial College London. The views expressed are thos</w:t>
      </w:r>
      <w:r>
        <w:rPr>
          <w:color w:val="231F20"/>
          <w:sz w:val="20"/>
        </w:rPr>
        <w:t>e of the author(s)</w:t>
      </w:r>
      <w:r>
        <w:rPr>
          <w:color w:val="231F20"/>
          <w:spacing w:val="-13"/>
          <w:sz w:val="20"/>
        </w:rPr>
        <w:t xml:space="preserve"> </w:t>
      </w:r>
      <w:r>
        <w:rPr>
          <w:color w:val="231F20"/>
          <w:sz w:val="20"/>
        </w:rPr>
        <w:t>and</w:t>
      </w:r>
      <w:r>
        <w:rPr>
          <w:color w:val="231F20"/>
          <w:spacing w:val="-13"/>
          <w:sz w:val="20"/>
        </w:rPr>
        <w:t xml:space="preserve"> </w:t>
      </w:r>
      <w:r>
        <w:rPr>
          <w:color w:val="231F20"/>
          <w:sz w:val="20"/>
        </w:rPr>
        <w:t>not</w:t>
      </w:r>
      <w:r>
        <w:rPr>
          <w:color w:val="231F20"/>
          <w:spacing w:val="-13"/>
          <w:sz w:val="20"/>
        </w:rPr>
        <w:t xml:space="preserve"> </w:t>
      </w:r>
      <w:r>
        <w:rPr>
          <w:color w:val="231F20"/>
          <w:sz w:val="20"/>
        </w:rPr>
        <w:t>necessarily</w:t>
      </w:r>
      <w:r>
        <w:rPr>
          <w:color w:val="231F20"/>
          <w:spacing w:val="-12"/>
          <w:sz w:val="20"/>
        </w:rPr>
        <w:t xml:space="preserve"> </w:t>
      </w:r>
      <w:r>
        <w:rPr>
          <w:color w:val="231F20"/>
          <w:sz w:val="20"/>
        </w:rPr>
        <w:t>those</w:t>
      </w:r>
      <w:r>
        <w:rPr>
          <w:color w:val="231F20"/>
          <w:spacing w:val="-13"/>
          <w:sz w:val="20"/>
        </w:rPr>
        <w:t xml:space="preserve"> </w:t>
      </w:r>
      <w:r>
        <w:rPr>
          <w:color w:val="231F20"/>
          <w:sz w:val="20"/>
        </w:rPr>
        <w:t>of</w:t>
      </w:r>
      <w:r>
        <w:rPr>
          <w:color w:val="231F20"/>
          <w:spacing w:val="-13"/>
          <w:sz w:val="20"/>
        </w:rPr>
        <w:t xml:space="preserve"> </w:t>
      </w:r>
      <w:r>
        <w:rPr>
          <w:color w:val="231F20"/>
          <w:sz w:val="20"/>
        </w:rPr>
        <w:t>the</w:t>
      </w:r>
      <w:r>
        <w:rPr>
          <w:color w:val="231F20"/>
          <w:spacing w:val="-13"/>
          <w:sz w:val="20"/>
        </w:rPr>
        <w:t xml:space="preserve"> </w:t>
      </w:r>
      <w:r>
        <w:rPr>
          <w:color w:val="231F20"/>
          <w:sz w:val="20"/>
        </w:rPr>
        <w:t>NHS,</w:t>
      </w:r>
      <w:r>
        <w:rPr>
          <w:color w:val="231F20"/>
          <w:spacing w:val="-12"/>
          <w:sz w:val="20"/>
        </w:rPr>
        <w:t xml:space="preserve"> </w:t>
      </w:r>
      <w:r>
        <w:rPr>
          <w:color w:val="231F20"/>
          <w:sz w:val="20"/>
        </w:rPr>
        <w:t>the</w:t>
      </w:r>
      <w:r>
        <w:rPr>
          <w:color w:val="231F20"/>
          <w:spacing w:val="-13"/>
          <w:sz w:val="20"/>
        </w:rPr>
        <w:t xml:space="preserve"> </w:t>
      </w:r>
      <w:r>
        <w:rPr>
          <w:color w:val="231F20"/>
          <w:sz w:val="20"/>
        </w:rPr>
        <w:t>NIHR or the Department of</w:t>
      </w:r>
      <w:r>
        <w:rPr>
          <w:color w:val="231F20"/>
          <w:spacing w:val="-3"/>
          <w:sz w:val="20"/>
        </w:rPr>
        <w:t xml:space="preserve"> </w:t>
      </w:r>
      <w:r>
        <w:rPr>
          <w:color w:val="231F20"/>
          <w:sz w:val="20"/>
        </w:rPr>
        <w:t>Health.</w:t>
      </w:r>
    </w:p>
    <w:p w:rsidR="00966BA7" w:rsidRDefault="00966BA7">
      <w:pPr>
        <w:pStyle w:val="BodyText"/>
        <w:spacing w:before="8"/>
        <w:rPr>
          <w:sz w:val="28"/>
        </w:rPr>
      </w:pPr>
    </w:p>
    <w:p w:rsidR="00966BA7" w:rsidRDefault="00F255A2">
      <w:pPr>
        <w:pStyle w:val="Heading1"/>
        <w:ind w:left="113"/>
      </w:pPr>
      <w:r>
        <w:rPr>
          <w:color w:val="6D6E71"/>
        </w:rPr>
        <w:t>References</w:t>
      </w:r>
    </w:p>
    <w:p w:rsidR="00966BA7" w:rsidRDefault="00966BA7">
      <w:pPr>
        <w:pStyle w:val="BodyText"/>
        <w:spacing w:before="8"/>
        <w:rPr>
          <w:b/>
          <w:sz w:val="21"/>
        </w:rPr>
      </w:pPr>
    </w:p>
    <w:p w:rsidR="00966BA7" w:rsidRDefault="00F255A2">
      <w:pPr>
        <w:spacing w:line="232" w:lineRule="auto"/>
        <w:ind w:left="340" w:right="42" w:hanging="227"/>
        <w:jc w:val="both"/>
        <w:rPr>
          <w:sz w:val="18"/>
        </w:rPr>
      </w:pPr>
      <w:r>
        <w:rPr>
          <w:color w:val="231F20"/>
          <w:sz w:val="18"/>
        </w:rPr>
        <w:t>Alcázar JL, Pascual MA, Olartecoechea B et al. IOTA simple rules for discriminating between benign and malignant adnexal masses: prospective externa</w:t>
      </w:r>
      <w:r>
        <w:rPr>
          <w:color w:val="231F20"/>
          <w:sz w:val="18"/>
        </w:rPr>
        <w:t>l validation.</w:t>
      </w:r>
      <w:r>
        <w:rPr>
          <w:color w:val="231F20"/>
          <w:spacing w:val="-24"/>
          <w:sz w:val="18"/>
        </w:rPr>
        <w:t xml:space="preserve"> </w:t>
      </w:r>
      <w:r>
        <w:rPr>
          <w:color w:val="231F20"/>
          <w:sz w:val="18"/>
        </w:rPr>
        <w:t>Ultrasound Obstet Gynecol.</w:t>
      </w:r>
      <w:r>
        <w:rPr>
          <w:color w:val="231F20"/>
          <w:spacing w:val="-3"/>
          <w:sz w:val="18"/>
        </w:rPr>
        <w:t xml:space="preserve"> </w:t>
      </w:r>
      <w:r>
        <w:rPr>
          <w:color w:val="231F20"/>
          <w:sz w:val="18"/>
        </w:rPr>
        <w:t>2013</w:t>
      </w:r>
      <w:proofErr w:type="gramStart"/>
      <w:r>
        <w:rPr>
          <w:color w:val="231F20"/>
          <w:sz w:val="18"/>
        </w:rPr>
        <w:t>;42:467</w:t>
      </w:r>
      <w:proofErr w:type="gramEnd"/>
      <w:r>
        <w:rPr>
          <w:color w:val="231F20"/>
          <w:sz w:val="18"/>
        </w:rPr>
        <w:t>-71.</w:t>
      </w:r>
    </w:p>
    <w:p w:rsidR="00966BA7" w:rsidRDefault="00F255A2">
      <w:pPr>
        <w:spacing w:line="232" w:lineRule="auto"/>
        <w:ind w:left="340" w:right="43" w:hanging="227"/>
        <w:jc w:val="both"/>
        <w:rPr>
          <w:sz w:val="18"/>
        </w:rPr>
      </w:pPr>
      <w:r>
        <w:rPr>
          <w:color w:val="231F20"/>
          <w:sz w:val="18"/>
        </w:rPr>
        <w:t xml:space="preserve">Bristow RE, Chang J, Ziogas </w:t>
      </w:r>
      <w:proofErr w:type="gramStart"/>
      <w:r>
        <w:rPr>
          <w:color w:val="231F20"/>
          <w:sz w:val="18"/>
        </w:rPr>
        <w:t>A</w:t>
      </w:r>
      <w:proofErr w:type="gramEnd"/>
      <w:r>
        <w:rPr>
          <w:color w:val="231F20"/>
          <w:sz w:val="18"/>
        </w:rPr>
        <w:t xml:space="preserve"> et al. Adherence to treatment guidelines for ovarian cancer as a measure of quality care. Obstet Gynecol. 2013</w:t>
      </w:r>
      <w:proofErr w:type="gramStart"/>
      <w:r>
        <w:rPr>
          <w:color w:val="231F20"/>
          <w:sz w:val="18"/>
        </w:rPr>
        <w:t>;121:1226</w:t>
      </w:r>
      <w:proofErr w:type="gramEnd"/>
      <w:r>
        <w:rPr>
          <w:color w:val="231F20"/>
          <w:sz w:val="18"/>
        </w:rPr>
        <w:t>-34.</w:t>
      </w:r>
    </w:p>
    <w:p w:rsidR="00966BA7" w:rsidRDefault="00F255A2">
      <w:pPr>
        <w:spacing w:line="232" w:lineRule="auto"/>
        <w:ind w:left="340" w:right="40" w:hanging="227"/>
        <w:jc w:val="both"/>
        <w:rPr>
          <w:sz w:val="18"/>
        </w:rPr>
      </w:pPr>
      <w:proofErr w:type="gramStart"/>
      <w:r>
        <w:rPr>
          <w:color w:val="231F20"/>
          <w:sz w:val="18"/>
        </w:rPr>
        <w:t>Cadron I, Leunen K, Van Gorp T et al. Management of borderline ovarian neoplasms.</w:t>
      </w:r>
      <w:proofErr w:type="gramEnd"/>
      <w:r>
        <w:rPr>
          <w:color w:val="231F20"/>
          <w:sz w:val="18"/>
        </w:rPr>
        <w:t xml:space="preserve"> </w:t>
      </w:r>
      <w:proofErr w:type="gramStart"/>
      <w:r>
        <w:rPr>
          <w:color w:val="231F20"/>
          <w:sz w:val="18"/>
        </w:rPr>
        <w:t>J Clin Oncol.</w:t>
      </w:r>
      <w:proofErr w:type="gramEnd"/>
      <w:r>
        <w:rPr>
          <w:color w:val="231F20"/>
          <w:sz w:val="18"/>
        </w:rPr>
        <w:t xml:space="preserve"> 2007</w:t>
      </w:r>
      <w:proofErr w:type="gramStart"/>
      <w:r>
        <w:rPr>
          <w:color w:val="231F20"/>
          <w:sz w:val="18"/>
        </w:rPr>
        <w:t>;25:2928</w:t>
      </w:r>
      <w:proofErr w:type="gramEnd"/>
      <w:r>
        <w:rPr>
          <w:color w:val="231F20"/>
          <w:sz w:val="18"/>
        </w:rPr>
        <w:t>- 37.</w:t>
      </w:r>
    </w:p>
    <w:p w:rsidR="00966BA7" w:rsidRDefault="00F255A2">
      <w:pPr>
        <w:spacing w:line="232" w:lineRule="auto"/>
        <w:ind w:left="340" w:right="44" w:hanging="227"/>
        <w:jc w:val="both"/>
        <w:rPr>
          <w:sz w:val="18"/>
        </w:rPr>
      </w:pPr>
      <w:r>
        <w:rPr>
          <w:color w:val="231F20"/>
          <w:sz w:val="18"/>
        </w:rPr>
        <w:t xml:space="preserve">Candido-dos-Reis FJ. Ovarian cancer risk model needs a more meaningful clinical parameter. </w:t>
      </w:r>
      <w:proofErr w:type="gramStart"/>
      <w:r>
        <w:rPr>
          <w:color w:val="231F20"/>
          <w:sz w:val="18"/>
        </w:rPr>
        <w:t>BMJ.</w:t>
      </w:r>
      <w:proofErr w:type="gramEnd"/>
      <w:r>
        <w:rPr>
          <w:color w:val="231F20"/>
          <w:sz w:val="18"/>
        </w:rPr>
        <w:t xml:space="preserve"> 2014</w:t>
      </w:r>
      <w:proofErr w:type="gramStart"/>
      <w:r>
        <w:rPr>
          <w:color w:val="231F20"/>
          <w:sz w:val="18"/>
        </w:rPr>
        <w:t>;349:g6689</w:t>
      </w:r>
      <w:proofErr w:type="gramEnd"/>
      <w:r>
        <w:rPr>
          <w:color w:val="231F20"/>
          <w:sz w:val="18"/>
        </w:rPr>
        <w:t>.</w:t>
      </w:r>
    </w:p>
    <w:p w:rsidR="00966BA7" w:rsidRDefault="00F255A2">
      <w:pPr>
        <w:spacing w:line="232" w:lineRule="auto"/>
        <w:ind w:left="340" w:right="42" w:hanging="227"/>
        <w:jc w:val="both"/>
        <w:rPr>
          <w:sz w:val="18"/>
        </w:rPr>
      </w:pPr>
      <w:proofErr w:type="gramStart"/>
      <w:r>
        <w:rPr>
          <w:color w:val="231F20"/>
          <w:sz w:val="18"/>
        </w:rPr>
        <w:t>Carley ME, Klingele CJ, Gebhar</w:t>
      </w:r>
      <w:r>
        <w:rPr>
          <w:color w:val="231F20"/>
          <w:sz w:val="18"/>
        </w:rPr>
        <w:t>t JB et al. Laparoscopy versus laparotomy in the management of benign unilateral adnexal masses.</w:t>
      </w:r>
      <w:proofErr w:type="gramEnd"/>
      <w:r>
        <w:rPr>
          <w:color w:val="231F20"/>
          <w:sz w:val="18"/>
        </w:rPr>
        <w:t xml:space="preserve"> J Am Assoc Gynecol Laparosc. 2002</w:t>
      </w:r>
      <w:proofErr w:type="gramStart"/>
      <w:r>
        <w:rPr>
          <w:color w:val="231F20"/>
          <w:sz w:val="18"/>
        </w:rPr>
        <w:t>;9:321</w:t>
      </w:r>
      <w:proofErr w:type="gramEnd"/>
      <w:r>
        <w:rPr>
          <w:color w:val="231F20"/>
          <w:sz w:val="18"/>
        </w:rPr>
        <w:t>-26.</w:t>
      </w:r>
    </w:p>
    <w:p w:rsidR="00966BA7" w:rsidRDefault="00F255A2">
      <w:pPr>
        <w:spacing w:line="232" w:lineRule="auto"/>
        <w:ind w:left="340" w:right="41" w:hanging="227"/>
        <w:jc w:val="both"/>
        <w:rPr>
          <w:sz w:val="18"/>
        </w:rPr>
      </w:pPr>
      <w:r>
        <w:rPr>
          <w:color w:val="231F20"/>
          <w:sz w:val="18"/>
        </w:rPr>
        <w:t>Daraï</w:t>
      </w:r>
      <w:r>
        <w:rPr>
          <w:color w:val="231F20"/>
          <w:spacing w:val="-12"/>
          <w:sz w:val="18"/>
        </w:rPr>
        <w:t xml:space="preserve"> </w:t>
      </w:r>
      <w:r>
        <w:rPr>
          <w:color w:val="231F20"/>
          <w:sz w:val="18"/>
        </w:rPr>
        <w:t>E,</w:t>
      </w:r>
      <w:r>
        <w:rPr>
          <w:color w:val="231F20"/>
          <w:spacing w:val="-12"/>
          <w:sz w:val="18"/>
        </w:rPr>
        <w:t xml:space="preserve"> </w:t>
      </w:r>
      <w:r>
        <w:rPr>
          <w:color w:val="231F20"/>
          <w:sz w:val="18"/>
        </w:rPr>
        <w:t>Fauvet</w:t>
      </w:r>
      <w:r>
        <w:rPr>
          <w:color w:val="231F20"/>
          <w:spacing w:val="-11"/>
          <w:sz w:val="18"/>
        </w:rPr>
        <w:t xml:space="preserve"> </w:t>
      </w:r>
      <w:r>
        <w:rPr>
          <w:color w:val="231F20"/>
          <w:sz w:val="18"/>
        </w:rPr>
        <w:t>R,</w:t>
      </w:r>
      <w:r>
        <w:rPr>
          <w:color w:val="231F20"/>
          <w:spacing w:val="-12"/>
          <w:sz w:val="18"/>
        </w:rPr>
        <w:t xml:space="preserve"> </w:t>
      </w:r>
      <w:r>
        <w:rPr>
          <w:color w:val="231F20"/>
          <w:sz w:val="18"/>
        </w:rPr>
        <w:t>Uzan</w:t>
      </w:r>
      <w:r>
        <w:rPr>
          <w:color w:val="231F20"/>
          <w:spacing w:val="-11"/>
          <w:sz w:val="18"/>
        </w:rPr>
        <w:t xml:space="preserve"> </w:t>
      </w:r>
      <w:r>
        <w:rPr>
          <w:color w:val="231F20"/>
          <w:sz w:val="18"/>
        </w:rPr>
        <w:t>C</w:t>
      </w:r>
      <w:r>
        <w:rPr>
          <w:color w:val="231F20"/>
          <w:spacing w:val="-12"/>
          <w:sz w:val="18"/>
        </w:rPr>
        <w:t xml:space="preserve"> </w:t>
      </w:r>
      <w:r>
        <w:rPr>
          <w:color w:val="231F20"/>
          <w:sz w:val="18"/>
        </w:rPr>
        <w:t>et</w:t>
      </w:r>
      <w:r>
        <w:rPr>
          <w:color w:val="231F20"/>
          <w:spacing w:val="-11"/>
          <w:sz w:val="18"/>
        </w:rPr>
        <w:t xml:space="preserve"> </w:t>
      </w:r>
      <w:r>
        <w:rPr>
          <w:color w:val="231F20"/>
          <w:sz w:val="18"/>
        </w:rPr>
        <w:t>al.</w:t>
      </w:r>
      <w:r>
        <w:rPr>
          <w:color w:val="231F20"/>
          <w:spacing w:val="-12"/>
          <w:sz w:val="18"/>
        </w:rPr>
        <w:t xml:space="preserve"> </w:t>
      </w:r>
      <w:r>
        <w:rPr>
          <w:color w:val="231F20"/>
          <w:sz w:val="18"/>
        </w:rPr>
        <w:t>Fertility</w:t>
      </w:r>
      <w:r>
        <w:rPr>
          <w:color w:val="231F20"/>
          <w:spacing w:val="-11"/>
          <w:sz w:val="18"/>
        </w:rPr>
        <w:t xml:space="preserve"> </w:t>
      </w:r>
      <w:r>
        <w:rPr>
          <w:color w:val="231F20"/>
          <w:sz w:val="18"/>
        </w:rPr>
        <w:t>and</w:t>
      </w:r>
      <w:r>
        <w:rPr>
          <w:color w:val="231F20"/>
          <w:spacing w:val="-12"/>
          <w:sz w:val="18"/>
        </w:rPr>
        <w:t xml:space="preserve"> </w:t>
      </w:r>
      <w:r>
        <w:rPr>
          <w:color w:val="231F20"/>
          <w:sz w:val="18"/>
        </w:rPr>
        <w:t>borderline</w:t>
      </w:r>
      <w:r>
        <w:rPr>
          <w:color w:val="231F20"/>
          <w:spacing w:val="-11"/>
          <w:sz w:val="18"/>
        </w:rPr>
        <w:t xml:space="preserve"> </w:t>
      </w:r>
      <w:r>
        <w:rPr>
          <w:color w:val="231F20"/>
          <w:sz w:val="18"/>
        </w:rPr>
        <w:t xml:space="preserve">ovarian tumor: a systematic review of conservative management, risk of recurrence and alternative options. Hum </w:t>
      </w:r>
      <w:r>
        <w:rPr>
          <w:color w:val="231F20"/>
          <w:spacing w:val="2"/>
          <w:sz w:val="18"/>
        </w:rPr>
        <w:t xml:space="preserve">Reprod </w:t>
      </w:r>
      <w:r>
        <w:rPr>
          <w:color w:val="231F20"/>
          <w:sz w:val="18"/>
        </w:rPr>
        <w:t>Update.</w:t>
      </w:r>
      <w:r>
        <w:rPr>
          <w:color w:val="231F20"/>
          <w:spacing w:val="-2"/>
          <w:sz w:val="18"/>
        </w:rPr>
        <w:t xml:space="preserve"> </w:t>
      </w:r>
      <w:r>
        <w:rPr>
          <w:color w:val="231F20"/>
          <w:sz w:val="18"/>
        </w:rPr>
        <w:t>2013</w:t>
      </w:r>
      <w:proofErr w:type="gramStart"/>
      <w:r>
        <w:rPr>
          <w:color w:val="231F20"/>
          <w:sz w:val="18"/>
        </w:rPr>
        <w:t>;19:151</w:t>
      </w:r>
      <w:proofErr w:type="gramEnd"/>
      <w:r>
        <w:rPr>
          <w:color w:val="231F20"/>
          <w:sz w:val="18"/>
        </w:rPr>
        <w:t>-66.</w:t>
      </w:r>
    </w:p>
    <w:p w:rsidR="00966BA7" w:rsidRDefault="00F255A2">
      <w:pPr>
        <w:spacing w:line="232" w:lineRule="auto"/>
        <w:ind w:left="340" w:right="43" w:hanging="227"/>
        <w:jc w:val="both"/>
        <w:rPr>
          <w:sz w:val="18"/>
        </w:rPr>
      </w:pPr>
      <w:r>
        <w:rPr>
          <w:color w:val="231F20"/>
          <w:sz w:val="18"/>
        </w:rPr>
        <w:t>Earle CC, Schrag D, Neville BA et al. Effect of surgeon specialty on processes of care and outcomes for ovarian ca</w:t>
      </w:r>
      <w:r>
        <w:rPr>
          <w:color w:val="231F20"/>
          <w:sz w:val="18"/>
        </w:rPr>
        <w:t>ncer patients. J Natl Cancer Inst. 2006</w:t>
      </w:r>
      <w:proofErr w:type="gramStart"/>
      <w:r>
        <w:rPr>
          <w:color w:val="231F20"/>
          <w:sz w:val="18"/>
        </w:rPr>
        <w:t>;98:172</w:t>
      </w:r>
      <w:proofErr w:type="gramEnd"/>
      <w:r>
        <w:rPr>
          <w:color w:val="231F20"/>
          <w:sz w:val="18"/>
        </w:rPr>
        <w:t>-80.</w:t>
      </w:r>
    </w:p>
    <w:p w:rsidR="00966BA7" w:rsidRDefault="00F255A2">
      <w:pPr>
        <w:spacing w:line="232" w:lineRule="auto"/>
        <w:ind w:left="61" w:right="40"/>
        <w:jc w:val="right"/>
        <w:rPr>
          <w:sz w:val="18"/>
        </w:rPr>
      </w:pPr>
      <w:r>
        <w:rPr>
          <w:color w:val="231F20"/>
          <w:sz w:val="18"/>
        </w:rPr>
        <w:t xml:space="preserve">Engelen MJA, Kos HE, Willemse PHB et al. Surgery by consultant gynecologic oncologists improves survival in patients with ovarian carcinoma. </w:t>
      </w:r>
      <w:proofErr w:type="gramStart"/>
      <w:r>
        <w:rPr>
          <w:color w:val="231F20"/>
          <w:sz w:val="18"/>
        </w:rPr>
        <w:t>Cancer.</w:t>
      </w:r>
      <w:proofErr w:type="gramEnd"/>
      <w:r>
        <w:rPr>
          <w:color w:val="231F20"/>
          <w:sz w:val="18"/>
        </w:rPr>
        <w:t xml:space="preserve"> 2006</w:t>
      </w:r>
      <w:proofErr w:type="gramStart"/>
      <w:r>
        <w:rPr>
          <w:color w:val="231F20"/>
          <w:sz w:val="18"/>
        </w:rPr>
        <w:t>;106:589</w:t>
      </w:r>
      <w:proofErr w:type="gramEnd"/>
      <w:r>
        <w:rPr>
          <w:color w:val="231F20"/>
          <w:sz w:val="18"/>
        </w:rPr>
        <w:t>-98.</w:t>
      </w:r>
    </w:p>
    <w:p w:rsidR="00966BA7" w:rsidRDefault="00F255A2">
      <w:pPr>
        <w:spacing w:line="232" w:lineRule="auto"/>
        <w:ind w:left="340" w:right="42" w:hanging="227"/>
        <w:jc w:val="both"/>
        <w:rPr>
          <w:sz w:val="18"/>
        </w:rPr>
      </w:pPr>
      <w:r>
        <w:rPr>
          <w:color w:val="231F20"/>
          <w:sz w:val="18"/>
        </w:rPr>
        <w:t>Greenhalgh T, Howick J, Maskrey N et al</w:t>
      </w:r>
      <w:r>
        <w:rPr>
          <w:color w:val="231F20"/>
          <w:sz w:val="18"/>
        </w:rPr>
        <w:t xml:space="preserve">. Evidence based medicine: a movement in crisis? </w:t>
      </w:r>
      <w:proofErr w:type="gramStart"/>
      <w:r>
        <w:rPr>
          <w:color w:val="231F20"/>
          <w:sz w:val="18"/>
        </w:rPr>
        <w:t>BMJ.</w:t>
      </w:r>
      <w:proofErr w:type="gramEnd"/>
      <w:r>
        <w:rPr>
          <w:color w:val="231F20"/>
          <w:sz w:val="18"/>
        </w:rPr>
        <w:t xml:space="preserve"> 2014</w:t>
      </w:r>
      <w:proofErr w:type="gramStart"/>
      <w:r>
        <w:rPr>
          <w:color w:val="231F20"/>
          <w:sz w:val="18"/>
        </w:rPr>
        <w:t>;348:g3725</w:t>
      </w:r>
      <w:proofErr w:type="gramEnd"/>
      <w:r>
        <w:rPr>
          <w:color w:val="231F20"/>
          <w:sz w:val="18"/>
        </w:rPr>
        <w:t>.</w:t>
      </w:r>
    </w:p>
    <w:p w:rsidR="00966BA7" w:rsidRDefault="00F255A2">
      <w:pPr>
        <w:spacing w:line="232" w:lineRule="auto"/>
        <w:ind w:left="340" w:right="43" w:hanging="227"/>
        <w:jc w:val="both"/>
        <w:rPr>
          <w:sz w:val="18"/>
        </w:rPr>
      </w:pPr>
      <w:r>
        <w:rPr>
          <w:color w:val="231F20"/>
          <w:sz w:val="18"/>
        </w:rPr>
        <w:t>Irving JA, Vasques DR, McGuinness TB et al. Krukenberg tumor of renal pelvic origin: report of a case with selected comments on ovarian tumors metastatic from the urinary tract. Int J Gy</w:t>
      </w:r>
      <w:r>
        <w:rPr>
          <w:color w:val="231F20"/>
          <w:sz w:val="18"/>
        </w:rPr>
        <w:t>necol Pathol. 2006</w:t>
      </w:r>
      <w:proofErr w:type="gramStart"/>
      <w:r>
        <w:rPr>
          <w:color w:val="231F20"/>
          <w:sz w:val="18"/>
        </w:rPr>
        <w:t>;25:147</w:t>
      </w:r>
      <w:proofErr w:type="gramEnd"/>
      <w:r>
        <w:rPr>
          <w:color w:val="231F20"/>
          <w:sz w:val="18"/>
        </w:rPr>
        <w:t>–50.</w:t>
      </w:r>
    </w:p>
    <w:p w:rsidR="00966BA7" w:rsidRDefault="00F255A2">
      <w:pPr>
        <w:spacing w:line="232" w:lineRule="auto"/>
        <w:ind w:left="340" w:right="39" w:hanging="227"/>
        <w:jc w:val="both"/>
        <w:rPr>
          <w:sz w:val="18"/>
        </w:rPr>
      </w:pPr>
      <w:r>
        <w:rPr>
          <w:color w:val="231F20"/>
          <w:spacing w:val="2"/>
          <w:sz w:val="18"/>
        </w:rPr>
        <w:t xml:space="preserve">Kaijser </w:t>
      </w:r>
      <w:r>
        <w:rPr>
          <w:color w:val="231F20"/>
          <w:sz w:val="18"/>
        </w:rPr>
        <w:t xml:space="preserve">J, </w:t>
      </w:r>
      <w:r>
        <w:rPr>
          <w:color w:val="231F20"/>
          <w:spacing w:val="2"/>
          <w:sz w:val="18"/>
        </w:rPr>
        <w:t xml:space="preserve">Sayasneh </w:t>
      </w:r>
      <w:r>
        <w:rPr>
          <w:color w:val="231F20"/>
          <w:sz w:val="18"/>
        </w:rPr>
        <w:t xml:space="preserve">A, Van </w:t>
      </w:r>
      <w:r>
        <w:rPr>
          <w:color w:val="231F20"/>
          <w:spacing w:val="2"/>
          <w:sz w:val="18"/>
        </w:rPr>
        <w:t xml:space="preserve">Hoorde </w:t>
      </w:r>
      <w:r>
        <w:rPr>
          <w:color w:val="231F20"/>
          <w:sz w:val="18"/>
        </w:rPr>
        <w:t xml:space="preserve">K et al. </w:t>
      </w:r>
      <w:r>
        <w:rPr>
          <w:color w:val="231F20"/>
          <w:spacing w:val="2"/>
          <w:sz w:val="18"/>
        </w:rPr>
        <w:t xml:space="preserve">Presurgical </w:t>
      </w:r>
      <w:r>
        <w:rPr>
          <w:color w:val="231F20"/>
          <w:sz w:val="18"/>
        </w:rPr>
        <w:t>diagnosis of adnexal tumours using mathematical models and</w:t>
      </w:r>
      <w:r>
        <w:rPr>
          <w:color w:val="231F20"/>
          <w:spacing w:val="-9"/>
          <w:sz w:val="18"/>
        </w:rPr>
        <w:t xml:space="preserve"> </w:t>
      </w:r>
      <w:r>
        <w:rPr>
          <w:color w:val="231F20"/>
          <w:sz w:val="18"/>
        </w:rPr>
        <w:t>scoring</w:t>
      </w:r>
      <w:r>
        <w:rPr>
          <w:color w:val="231F20"/>
          <w:spacing w:val="-9"/>
          <w:sz w:val="18"/>
        </w:rPr>
        <w:t xml:space="preserve"> </w:t>
      </w:r>
      <w:r>
        <w:rPr>
          <w:color w:val="231F20"/>
          <w:sz w:val="18"/>
        </w:rPr>
        <w:t>systems:</w:t>
      </w:r>
      <w:r>
        <w:rPr>
          <w:color w:val="231F20"/>
          <w:spacing w:val="-9"/>
          <w:sz w:val="18"/>
        </w:rPr>
        <w:t xml:space="preserve"> </w:t>
      </w:r>
      <w:r>
        <w:rPr>
          <w:color w:val="231F20"/>
          <w:sz w:val="18"/>
        </w:rPr>
        <w:t>a</w:t>
      </w:r>
      <w:r>
        <w:rPr>
          <w:color w:val="231F20"/>
          <w:spacing w:val="-9"/>
          <w:sz w:val="18"/>
        </w:rPr>
        <w:t xml:space="preserve"> </w:t>
      </w:r>
      <w:r>
        <w:rPr>
          <w:color w:val="231F20"/>
          <w:sz w:val="18"/>
        </w:rPr>
        <w:t>systematic</w:t>
      </w:r>
      <w:r>
        <w:rPr>
          <w:color w:val="231F20"/>
          <w:spacing w:val="-9"/>
          <w:sz w:val="18"/>
        </w:rPr>
        <w:t xml:space="preserve"> </w:t>
      </w:r>
      <w:r>
        <w:rPr>
          <w:color w:val="231F20"/>
          <w:sz w:val="18"/>
        </w:rPr>
        <w:t>review</w:t>
      </w:r>
      <w:r>
        <w:rPr>
          <w:color w:val="231F20"/>
          <w:spacing w:val="-8"/>
          <w:sz w:val="18"/>
        </w:rPr>
        <w:t xml:space="preserve"> </w:t>
      </w:r>
      <w:r>
        <w:rPr>
          <w:color w:val="231F20"/>
          <w:sz w:val="18"/>
        </w:rPr>
        <w:t>and</w:t>
      </w:r>
      <w:r>
        <w:rPr>
          <w:color w:val="231F20"/>
          <w:spacing w:val="-9"/>
          <w:sz w:val="18"/>
        </w:rPr>
        <w:t xml:space="preserve"> </w:t>
      </w:r>
      <w:r>
        <w:rPr>
          <w:color w:val="231F20"/>
          <w:sz w:val="18"/>
        </w:rPr>
        <w:t>meta-analysis. Hum Reprod Update.</w:t>
      </w:r>
      <w:r>
        <w:rPr>
          <w:color w:val="231F20"/>
          <w:spacing w:val="-3"/>
          <w:sz w:val="18"/>
        </w:rPr>
        <w:t xml:space="preserve"> </w:t>
      </w:r>
      <w:r>
        <w:rPr>
          <w:color w:val="231F20"/>
          <w:sz w:val="18"/>
        </w:rPr>
        <w:t>2014</w:t>
      </w:r>
      <w:proofErr w:type="gramStart"/>
      <w:r>
        <w:rPr>
          <w:color w:val="231F20"/>
          <w:sz w:val="18"/>
        </w:rPr>
        <w:t>;20:449</w:t>
      </w:r>
      <w:proofErr w:type="gramEnd"/>
      <w:r>
        <w:rPr>
          <w:color w:val="231F20"/>
          <w:sz w:val="18"/>
        </w:rPr>
        <w:t>-62.</w:t>
      </w:r>
    </w:p>
    <w:p w:rsidR="00966BA7" w:rsidRDefault="00F255A2">
      <w:pPr>
        <w:spacing w:line="232" w:lineRule="auto"/>
        <w:ind w:left="340" w:right="38" w:hanging="227"/>
        <w:jc w:val="both"/>
        <w:rPr>
          <w:sz w:val="18"/>
        </w:rPr>
      </w:pPr>
      <w:r>
        <w:rPr>
          <w:color w:val="231F20"/>
          <w:sz w:val="18"/>
        </w:rPr>
        <w:t>Muyldermans K, Moerma</w:t>
      </w:r>
      <w:r>
        <w:rPr>
          <w:color w:val="231F20"/>
          <w:sz w:val="18"/>
        </w:rPr>
        <w:t xml:space="preserve">n P, Amant F et al. Primary invasive </w:t>
      </w:r>
      <w:r>
        <w:rPr>
          <w:color w:val="231F20"/>
          <w:spacing w:val="4"/>
          <w:sz w:val="18"/>
        </w:rPr>
        <w:t xml:space="preserve">mucinous ovarian carcinoma </w:t>
      </w:r>
      <w:r>
        <w:rPr>
          <w:color w:val="231F20"/>
          <w:spacing w:val="2"/>
          <w:sz w:val="18"/>
        </w:rPr>
        <w:t xml:space="preserve">of </w:t>
      </w:r>
      <w:r>
        <w:rPr>
          <w:color w:val="231F20"/>
          <w:spacing w:val="3"/>
          <w:sz w:val="18"/>
        </w:rPr>
        <w:t xml:space="preserve">the </w:t>
      </w:r>
      <w:r>
        <w:rPr>
          <w:color w:val="231F20"/>
          <w:spacing w:val="4"/>
          <w:sz w:val="18"/>
        </w:rPr>
        <w:t xml:space="preserve">intestinal type: </w:t>
      </w:r>
      <w:r>
        <w:rPr>
          <w:color w:val="231F20"/>
          <w:sz w:val="18"/>
        </w:rPr>
        <w:t>importance of the expansile vs infiltrative type in</w:t>
      </w:r>
      <w:r>
        <w:rPr>
          <w:color w:val="231F20"/>
          <w:spacing w:val="-15"/>
          <w:sz w:val="18"/>
        </w:rPr>
        <w:t xml:space="preserve"> </w:t>
      </w:r>
      <w:r>
        <w:rPr>
          <w:color w:val="231F20"/>
          <w:sz w:val="18"/>
        </w:rPr>
        <w:t xml:space="preserve">predicting </w:t>
      </w:r>
      <w:r>
        <w:rPr>
          <w:color w:val="231F20"/>
          <w:spacing w:val="2"/>
          <w:sz w:val="18"/>
        </w:rPr>
        <w:t xml:space="preserve">recurrence </w:t>
      </w:r>
      <w:r>
        <w:rPr>
          <w:color w:val="231F20"/>
          <w:sz w:val="18"/>
        </w:rPr>
        <w:t xml:space="preserve">and </w:t>
      </w:r>
      <w:r>
        <w:rPr>
          <w:color w:val="231F20"/>
          <w:spacing w:val="2"/>
          <w:sz w:val="18"/>
        </w:rPr>
        <w:t xml:space="preserve">lymph node metastases. </w:t>
      </w:r>
      <w:r>
        <w:rPr>
          <w:color w:val="231F20"/>
          <w:sz w:val="18"/>
        </w:rPr>
        <w:t xml:space="preserve">Eur J </w:t>
      </w:r>
      <w:r>
        <w:rPr>
          <w:color w:val="231F20"/>
          <w:spacing w:val="3"/>
          <w:sz w:val="18"/>
        </w:rPr>
        <w:t xml:space="preserve">Cancer. </w:t>
      </w:r>
      <w:r>
        <w:rPr>
          <w:color w:val="231F20"/>
          <w:sz w:val="18"/>
        </w:rPr>
        <w:t>2013</w:t>
      </w:r>
      <w:proofErr w:type="gramStart"/>
      <w:r>
        <w:rPr>
          <w:color w:val="231F20"/>
          <w:sz w:val="18"/>
        </w:rPr>
        <w:t>;49:1600</w:t>
      </w:r>
      <w:proofErr w:type="gramEnd"/>
      <w:r>
        <w:rPr>
          <w:color w:val="231F20"/>
          <w:sz w:val="18"/>
        </w:rPr>
        <w:t>-8.</w:t>
      </w:r>
    </w:p>
    <w:p w:rsidR="00966BA7" w:rsidRDefault="00F255A2">
      <w:pPr>
        <w:spacing w:line="232" w:lineRule="auto"/>
        <w:ind w:left="340" w:right="40" w:hanging="227"/>
        <w:jc w:val="both"/>
        <w:rPr>
          <w:sz w:val="18"/>
        </w:rPr>
      </w:pPr>
      <w:r>
        <w:rPr>
          <w:color w:val="231F20"/>
          <w:sz w:val="18"/>
        </w:rPr>
        <w:t xml:space="preserve">Nunes N, Yazbek J, Ambler G et al. </w:t>
      </w:r>
      <w:proofErr w:type="gramStart"/>
      <w:r>
        <w:rPr>
          <w:color w:val="231F20"/>
          <w:sz w:val="18"/>
        </w:rPr>
        <w:t xml:space="preserve">A prospective evaluation of the IOTA Logistic Regression Model (LR2) for </w:t>
      </w:r>
      <w:r>
        <w:rPr>
          <w:color w:val="231F20"/>
          <w:spacing w:val="2"/>
          <w:sz w:val="18"/>
        </w:rPr>
        <w:t xml:space="preserve">the </w:t>
      </w:r>
      <w:r>
        <w:rPr>
          <w:color w:val="231F20"/>
          <w:sz w:val="18"/>
        </w:rPr>
        <w:t>diagnosis of ovarian cancer.</w:t>
      </w:r>
      <w:proofErr w:type="gramEnd"/>
      <w:r>
        <w:rPr>
          <w:color w:val="231F20"/>
          <w:sz w:val="18"/>
        </w:rPr>
        <w:t xml:space="preserve"> Ultrasound Obstet Gynecol. 2012</w:t>
      </w:r>
      <w:proofErr w:type="gramStart"/>
      <w:r>
        <w:rPr>
          <w:color w:val="231F20"/>
          <w:sz w:val="18"/>
        </w:rPr>
        <w:t>;40:355</w:t>
      </w:r>
      <w:proofErr w:type="gramEnd"/>
      <w:r>
        <w:rPr>
          <w:color w:val="231F20"/>
          <w:sz w:val="18"/>
        </w:rPr>
        <w:t>-59.</w:t>
      </w:r>
    </w:p>
    <w:p w:rsidR="00966BA7" w:rsidRDefault="00F255A2">
      <w:pPr>
        <w:spacing w:line="232" w:lineRule="auto"/>
        <w:ind w:left="340" w:right="44" w:hanging="227"/>
        <w:jc w:val="both"/>
        <w:rPr>
          <w:sz w:val="18"/>
        </w:rPr>
      </w:pPr>
      <w:proofErr w:type="gramStart"/>
      <w:r>
        <w:rPr>
          <w:color w:val="231F20"/>
          <w:sz w:val="18"/>
        </w:rPr>
        <w:t>Prat J. Staging classification for cancer of the ovary, fal- lopian tube</w:t>
      </w:r>
      <w:r>
        <w:rPr>
          <w:color w:val="231F20"/>
          <w:sz w:val="18"/>
        </w:rPr>
        <w:t>, and peritoneum.</w:t>
      </w:r>
      <w:proofErr w:type="gramEnd"/>
      <w:r>
        <w:rPr>
          <w:color w:val="231F20"/>
          <w:sz w:val="18"/>
        </w:rPr>
        <w:t xml:space="preserve"> </w:t>
      </w:r>
      <w:proofErr w:type="gramStart"/>
      <w:r>
        <w:rPr>
          <w:color w:val="231F20"/>
          <w:sz w:val="18"/>
        </w:rPr>
        <w:t>Int J Gynaecol Obstet. 2014; 124:1-5.</w:t>
      </w:r>
      <w:proofErr w:type="gramEnd"/>
    </w:p>
    <w:p w:rsidR="00966BA7" w:rsidRDefault="00F255A2">
      <w:pPr>
        <w:spacing w:line="232" w:lineRule="auto"/>
        <w:ind w:left="340" w:right="42" w:hanging="227"/>
        <w:jc w:val="both"/>
        <w:rPr>
          <w:sz w:val="18"/>
        </w:rPr>
      </w:pPr>
      <w:r>
        <w:rPr>
          <w:color w:val="231F20"/>
          <w:sz w:val="18"/>
        </w:rPr>
        <w:t>Sayasneh</w:t>
      </w:r>
      <w:r>
        <w:rPr>
          <w:color w:val="231F20"/>
          <w:spacing w:val="-13"/>
          <w:sz w:val="18"/>
        </w:rPr>
        <w:t xml:space="preserve"> </w:t>
      </w:r>
      <w:r>
        <w:rPr>
          <w:color w:val="231F20"/>
          <w:sz w:val="18"/>
        </w:rPr>
        <w:t>A,</w:t>
      </w:r>
      <w:r>
        <w:rPr>
          <w:color w:val="231F20"/>
          <w:spacing w:val="-12"/>
          <w:sz w:val="18"/>
        </w:rPr>
        <w:t xml:space="preserve"> </w:t>
      </w:r>
      <w:r>
        <w:rPr>
          <w:color w:val="231F20"/>
          <w:sz w:val="18"/>
        </w:rPr>
        <w:t>Kaijser</w:t>
      </w:r>
      <w:r>
        <w:rPr>
          <w:color w:val="231F20"/>
          <w:spacing w:val="-13"/>
          <w:sz w:val="18"/>
        </w:rPr>
        <w:t xml:space="preserve"> </w:t>
      </w:r>
      <w:r>
        <w:rPr>
          <w:color w:val="231F20"/>
          <w:sz w:val="18"/>
        </w:rPr>
        <w:t>J,</w:t>
      </w:r>
      <w:r>
        <w:rPr>
          <w:color w:val="231F20"/>
          <w:spacing w:val="-13"/>
          <w:sz w:val="18"/>
        </w:rPr>
        <w:t xml:space="preserve"> </w:t>
      </w:r>
      <w:r>
        <w:rPr>
          <w:color w:val="231F20"/>
          <w:sz w:val="18"/>
        </w:rPr>
        <w:t>Preisler</w:t>
      </w:r>
      <w:r>
        <w:rPr>
          <w:color w:val="231F20"/>
          <w:spacing w:val="-13"/>
          <w:sz w:val="18"/>
        </w:rPr>
        <w:t xml:space="preserve"> </w:t>
      </w:r>
      <w:r>
        <w:rPr>
          <w:color w:val="231F20"/>
          <w:sz w:val="18"/>
        </w:rPr>
        <w:t>J</w:t>
      </w:r>
      <w:r>
        <w:rPr>
          <w:color w:val="231F20"/>
          <w:spacing w:val="-13"/>
          <w:sz w:val="18"/>
        </w:rPr>
        <w:t xml:space="preserve"> </w:t>
      </w:r>
      <w:r>
        <w:rPr>
          <w:color w:val="231F20"/>
          <w:sz w:val="18"/>
        </w:rPr>
        <w:t>et</w:t>
      </w:r>
      <w:r>
        <w:rPr>
          <w:color w:val="231F20"/>
          <w:spacing w:val="-12"/>
          <w:sz w:val="18"/>
        </w:rPr>
        <w:t xml:space="preserve"> </w:t>
      </w:r>
      <w:r>
        <w:rPr>
          <w:color w:val="231F20"/>
          <w:sz w:val="18"/>
        </w:rPr>
        <w:t>al.</w:t>
      </w:r>
      <w:r>
        <w:rPr>
          <w:color w:val="231F20"/>
          <w:spacing w:val="-12"/>
          <w:sz w:val="18"/>
        </w:rPr>
        <w:t xml:space="preserve"> </w:t>
      </w:r>
      <w:proofErr w:type="gramStart"/>
      <w:r>
        <w:rPr>
          <w:color w:val="231F20"/>
          <w:sz w:val="18"/>
        </w:rPr>
        <w:t>A</w:t>
      </w:r>
      <w:r>
        <w:rPr>
          <w:color w:val="231F20"/>
          <w:spacing w:val="-12"/>
          <w:sz w:val="18"/>
        </w:rPr>
        <w:t xml:space="preserve"> </w:t>
      </w:r>
      <w:r>
        <w:rPr>
          <w:color w:val="231F20"/>
          <w:sz w:val="18"/>
        </w:rPr>
        <w:t>multicenter</w:t>
      </w:r>
      <w:r>
        <w:rPr>
          <w:color w:val="231F20"/>
          <w:spacing w:val="-13"/>
          <w:sz w:val="18"/>
        </w:rPr>
        <w:t xml:space="preserve"> </w:t>
      </w:r>
      <w:r>
        <w:rPr>
          <w:color w:val="231F20"/>
          <w:sz w:val="18"/>
        </w:rPr>
        <w:t>prospective external validation of the diagnostic performance of IOTA simple descriptors and rules to characterize ovarian masses.</w:t>
      </w:r>
      <w:proofErr w:type="gramEnd"/>
      <w:r>
        <w:rPr>
          <w:color w:val="231F20"/>
          <w:sz w:val="18"/>
        </w:rPr>
        <w:t xml:space="preserve"> Gynecol</w:t>
      </w:r>
      <w:r>
        <w:rPr>
          <w:color w:val="231F20"/>
          <w:spacing w:val="-2"/>
          <w:sz w:val="18"/>
        </w:rPr>
        <w:t xml:space="preserve"> </w:t>
      </w:r>
      <w:r>
        <w:rPr>
          <w:color w:val="231F20"/>
          <w:sz w:val="18"/>
        </w:rPr>
        <w:t>Oncol.</w:t>
      </w:r>
      <w:r>
        <w:rPr>
          <w:color w:val="231F20"/>
          <w:sz w:val="18"/>
        </w:rPr>
        <w:t>2013a</w:t>
      </w:r>
      <w:proofErr w:type="gramStart"/>
      <w:r>
        <w:rPr>
          <w:color w:val="231F20"/>
          <w:sz w:val="18"/>
        </w:rPr>
        <w:t>;130:140</w:t>
      </w:r>
      <w:proofErr w:type="gramEnd"/>
      <w:r>
        <w:rPr>
          <w:color w:val="231F20"/>
          <w:sz w:val="18"/>
        </w:rPr>
        <w:t>-46.</w:t>
      </w:r>
    </w:p>
    <w:p w:rsidR="00966BA7" w:rsidRDefault="00F255A2">
      <w:pPr>
        <w:spacing w:before="54" w:line="232" w:lineRule="auto"/>
        <w:ind w:left="340" w:right="167" w:hanging="227"/>
        <w:jc w:val="both"/>
        <w:rPr>
          <w:sz w:val="18"/>
        </w:rPr>
      </w:pPr>
      <w:r>
        <w:br w:type="column"/>
      </w:r>
      <w:r>
        <w:rPr>
          <w:color w:val="231F20"/>
          <w:sz w:val="18"/>
        </w:rPr>
        <w:lastRenderedPageBreak/>
        <w:t>Sayasneh A</w:t>
      </w:r>
      <w:proofErr w:type="gramStart"/>
      <w:r>
        <w:rPr>
          <w:color w:val="231F20"/>
          <w:sz w:val="18"/>
        </w:rPr>
        <w:t>,Wynants</w:t>
      </w:r>
      <w:proofErr w:type="gramEnd"/>
      <w:r>
        <w:rPr>
          <w:color w:val="231F20"/>
          <w:sz w:val="18"/>
        </w:rPr>
        <w:t xml:space="preserve"> L,Preisler J et al. Multicenter external validation</w:t>
      </w:r>
      <w:r>
        <w:rPr>
          <w:color w:val="231F20"/>
          <w:spacing w:val="-9"/>
          <w:sz w:val="18"/>
        </w:rPr>
        <w:t xml:space="preserve"> </w:t>
      </w:r>
      <w:r>
        <w:rPr>
          <w:color w:val="231F20"/>
          <w:sz w:val="18"/>
        </w:rPr>
        <w:t>of</w:t>
      </w:r>
      <w:r>
        <w:rPr>
          <w:color w:val="231F20"/>
          <w:spacing w:val="-8"/>
          <w:sz w:val="18"/>
        </w:rPr>
        <w:t xml:space="preserve"> </w:t>
      </w:r>
      <w:r>
        <w:rPr>
          <w:color w:val="231F20"/>
          <w:sz w:val="18"/>
        </w:rPr>
        <w:t>IOTA</w:t>
      </w:r>
      <w:r>
        <w:rPr>
          <w:color w:val="231F20"/>
          <w:spacing w:val="-8"/>
          <w:sz w:val="18"/>
        </w:rPr>
        <w:t xml:space="preserve"> </w:t>
      </w:r>
      <w:r>
        <w:rPr>
          <w:color w:val="231F20"/>
          <w:sz w:val="18"/>
        </w:rPr>
        <w:t>prediction</w:t>
      </w:r>
      <w:r>
        <w:rPr>
          <w:color w:val="231F20"/>
          <w:spacing w:val="-8"/>
          <w:sz w:val="18"/>
        </w:rPr>
        <w:t xml:space="preserve"> </w:t>
      </w:r>
      <w:r>
        <w:rPr>
          <w:color w:val="231F20"/>
          <w:sz w:val="18"/>
        </w:rPr>
        <w:t>models</w:t>
      </w:r>
      <w:r>
        <w:rPr>
          <w:color w:val="231F20"/>
          <w:spacing w:val="-8"/>
          <w:sz w:val="18"/>
        </w:rPr>
        <w:t xml:space="preserve"> </w:t>
      </w:r>
      <w:r>
        <w:rPr>
          <w:color w:val="231F20"/>
          <w:sz w:val="18"/>
        </w:rPr>
        <w:t>and</w:t>
      </w:r>
      <w:r>
        <w:rPr>
          <w:color w:val="231F20"/>
          <w:spacing w:val="-9"/>
          <w:sz w:val="18"/>
        </w:rPr>
        <w:t xml:space="preserve"> </w:t>
      </w:r>
      <w:r>
        <w:rPr>
          <w:color w:val="231F20"/>
          <w:sz w:val="18"/>
        </w:rPr>
        <w:t>RMI</w:t>
      </w:r>
      <w:r>
        <w:rPr>
          <w:color w:val="231F20"/>
          <w:spacing w:val="-8"/>
          <w:sz w:val="18"/>
        </w:rPr>
        <w:t xml:space="preserve"> </w:t>
      </w:r>
      <w:r>
        <w:rPr>
          <w:color w:val="231F20"/>
          <w:sz w:val="18"/>
        </w:rPr>
        <w:t>by</w:t>
      </w:r>
      <w:r>
        <w:rPr>
          <w:color w:val="231F20"/>
          <w:spacing w:val="-8"/>
          <w:sz w:val="18"/>
        </w:rPr>
        <w:t xml:space="preserve"> </w:t>
      </w:r>
      <w:r>
        <w:rPr>
          <w:color w:val="231F20"/>
          <w:sz w:val="18"/>
        </w:rPr>
        <w:t xml:space="preserve">operators with varied training. </w:t>
      </w:r>
      <w:proofErr w:type="gramStart"/>
      <w:r>
        <w:rPr>
          <w:color w:val="231F20"/>
          <w:sz w:val="18"/>
        </w:rPr>
        <w:t>Br J Cancer.</w:t>
      </w:r>
      <w:proofErr w:type="gramEnd"/>
      <w:r>
        <w:rPr>
          <w:color w:val="231F20"/>
          <w:spacing w:val="-4"/>
          <w:sz w:val="18"/>
        </w:rPr>
        <w:t xml:space="preserve"> </w:t>
      </w:r>
      <w:r>
        <w:rPr>
          <w:color w:val="231F20"/>
          <w:sz w:val="18"/>
        </w:rPr>
        <w:t>2013b</w:t>
      </w:r>
      <w:proofErr w:type="gramStart"/>
      <w:r>
        <w:rPr>
          <w:color w:val="231F20"/>
          <w:sz w:val="18"/>
        </w:rPr>
        <w:t>;108:2448</w:t>
      </w:r>
      <w:proofErr w:type="gramEnd"/>
      <w:r>
        <w:rPr>
          <w:color w:val="231F20"/>
          <w:sz w:val="18"/>
        </w:rPr>
        <w:t>-54.</w:t>
      </w:r>
    </w:p>
    <w:p w:rsidR="00966BA7" w:rsidRDefault="00F255A2">
      <w:pPr>
        <w:spacing w:line="232" w:lineRule="auto"/>
        <w:ind w:left="340" w:right="166" w:hanging="227"/>
        <w:jc w:val="both"/>
        <w:rPr>
          <w:sz w:val="18"/>
        </w:rPr>
      </w:pPr>
      <w:r>
        <w:rPr>
          <w:color w:val="231F20"/>
          <w:sz w:val="18"/>
        </w:rPr>
        <w:t>Steyerberg</w:t>
      </w:r>
      <w:r>
        <w:rPr>
          <w:color w:val="231F20"/>
          <w:spacing w:val="-17"/>
          <w:sz w:val="18"/>
        </w:rPr>
        <w:t xml:space="preserve"> </w:t>
      </w:r>
      <w:r>
        <w:rPr>
          <w:color w:val="231F20"/>
          <w:sz w:val="18"/>
        </w:rPr>
        <w:t>EW.</w:t>
      </w:r>
      <w:r>
        <w:rPr>
          <w:color w:val="231F20"/>
          <w:spacing w:val="-17"/>
          <w:sz w:val="18"/>
        </w:rPr>
        <w:t xml:space="preserve"> </w:t>
      </w:r>
      <w:r>
        <w:rPr>
          <w:color w:val="231F20"/>
          <w:sz w:val="18"/>
        </w:rPr>
        <w:t>Clinical</w:t>
      </w:r>
      <w:r>
        <w:rPr>
          <w:color w:val="231F20"/>
          <w:spacing w:val="-18"/>
          <w:sz w:val="18"/>
        </w:rPr>
        <w:t xml:space="preserve"> </w:t>
      </w:r>
      <w:r>
        <w:rPr>
          <w:color w:val="231F20"/>
          <w:sz w:val="18"/>
        </w:rPr>
        <w:t>prediction</w:t>
      </w:r>
      <w:r>
        <w:rPr>
          <w:color w:val="231F20"/>
          <w:spacing w:val="-17"/>
          <w:sz w:val="18"/>
        </w:rPr>
        <w:t xml:space="preserve"> </w:t>
      </w:r>
      <w:r>
        <w:rPr>
          <w:color w:val="231F20"/>
          <w:sz w:val="18"/>
        </w:rPr>
        <w:t>models:</w:t>
      </w:r>
      <w:r>
        <w:rPr>
          <w:color w:val="231F20"/>
          <w:spacing w:val="-17"/>
          <w:sz w:val="18"/>
        </w:rPr>
        <w:t xml:space="preserve"> </w:t>
      </w:r>
      <w:r>
        <w:rPr>
          <w:color w:val="231F20"/>
          <w:sz w:val="18"/>
        </w:rPr>
        <w:t>a</w:t>
      </w:r>
      <w:r>
        <w:rPr>
          <w:color w:val="231F20"/>
          <w:spacing w:val="-17"/>
          <w:sz w:val="18"/>
        </w:rPr>
        <w:t xml:space="preserve"> </w:t>
      </w:r>
      <w:r>
        <w:rPr>
          <w:color w:val="231F20"/>
          <w:sz w:val="18"/>
        </w:rPr>
        <w:t>practical</w:t>
      </w:r>
      <w:r>
        <w:rPr>
          <w:color w:val="231F20"/>
          <w:spacing w:val="-17"/>
          <w:sz w:val="18"/>
        </w:rPr>
        <w:t xml:space="preserve"> </w:t>
      </w:r>
      <w:r>
        <w:rPr>
          <w:color w:val="231F20"/>
          <w:sz w:val="18"/>
        </w:rPr>
        <w:t>approach to development, validation</w:t>
      </w:r>
      <w:proofErr w:type="gramStart"/>
      <w:r>
        <w:rPr>
          <w:color w:val="231F20"/>
          <w:sz w:val="18"/>
        </w:rPr>
        <w:t>,and</w:t>
      </w:r>
      <w:proofErr w:type="gramEnd"/>
      <w:r>
        <w:rPr>
          <w:color w:val="231F20"/>
          <w:sz w:val="18"/>
        </w:rPr>
        <w:t xml:space="preserve"> updating. </w:t>
      </w:r>
      <w:proofErr w:type="gramStart"/>
      <w:r>
        <w:rPr>
          <w:color w:val="231F20"/>
          <w:sz w:val="18"/>
        </w:rPr>
        <w:t>Springer, New York,</w:t>
      </w:r>
      <w:r>
        <w:rPr>
          <w:color w:val="231F20"/>
          <w:spacing w:val="-2"/>
          <w:sz w:val="18"/>
        </w:rPr>
        <w:t xml:space="preserve"> </w:t>
      </w:r>
      <w:r>
        <w:rPr>
          <w:color w:val="231F20"/>
          <w:sz w:val="18"/>
        </w:rPr>
        <w:t>2009.</w:t>
      </w:r>
      <w:proofErr w:type="gramEnd"/>
    </w:p>
    <w:p w:rsidR="00966BA7" w:rsidRDefault="00F255A2">
      <w:pPr>
        <w:spacing w:line="232" w:lineRule="auto"/>
        <w:ind w:left="340" w:right="165" w:hanging="227"/>
        <w:jc w:val="both"/>
        <w:rPr>
          <w:sz w:val="18"/>
        </w:rPr>
      </w:pPr>
      <w:r>
        <w:rPr>
          <w:color w:val="231F20"/>
          <w:sz w:val="18"/>
        </w:rPr>
        <w:t xml:space="preserve">Testa A, Kaijser J, Wynants L et al. Strategies to diagnose ovarian cancer: new evidence from phase 3 of the multi- center international IOTA study. </w:t>
      </w:r>
      <w:proofErr w:type="gramStart"/>
      <w:r>
        <w:rPr>
          <w:color w:val="231F20"/>
          <w:sz w:val="18"/>
        </w:rPr>
        <w:t>Br J Cancer.</w:t>
      </w:r>
      <w:proofErr w:type="gramEnd"/>
      <w:r>
        <w:rPr>
          <w:color w:val="231F20"/>
          <w:sz w:val="18"/>
        </w:rPr>
        <w:t xml:space="preserve"> 2014</w:t>
      </w:r>
      <w:proofErr w:type="gramStart"/>
      <w:r>
        <w:rPr>
          <w:color w:val="231F20"/>
          <w:sz w:val="18"/>
        </w:rPr>
        <w:t>;111</w:t>
      </w:r>
      <w:proofErr w:type="gramEnd"/>
      <w:r>
        <w:rPr>
          <w:color w:val="231F20"/>
          <w:sz w:val="18"/>
        </w:rPr>
        <w:t>: 680-8.</w:t>
      </w:r>
    </w:p>
    <w:p w:rsidR="00966BA7" w:rsidRDefault="00F255A2">
      <w:pPr>
        <w:spacing w:line="232" w:lineRule="auto"/>
        <w:ind w:left="340" w:right="167" w:hanging="227"/>
        <w:jc w:val="both"/>
        <w:rPr>
          <w:sz w:val="18"/>
        </w:rPr>
      </w:pPr>
      <w:r>
        <w:rPr>
          <w:color w:val="231F20"/>
          <w:sz w:val="18"/>
        </w:rPr>
        <w:t>T</w:t>
      </w:r>
      <w:r>
        <w:rPr>
          <w:color w:val="231F20"/>
          <w:sz w:val="18"/>
        </w:rPr>
        <w:t>immerman</w:t>
      </w:r>
      <w:r>
        <w:rPr>
          <w:color w:val="231F20"/>
          <w:spacing w:val="-14"/>
          <w:sz w:val="18"/>
        </w:rPr>
        <w:t xml:space="preserve"> </w:t>
      </w:r>
      <w:r>
        <w:rPr>
          <w:color w:val="231F20"/>
          <w:sz w:val="18"/>
        </w:rPr>
        <w:t>D,</w:t>
      </w:r>
      <w:r>
        <w:rPr>
          <w:color w:val="231F20"/>
          <w:spacing w:val="-13"/>
          <w:sz w:val="18"/>
        </w:rPr>
        <w:t xml:space="preserve"> </w:t>
      </w:r>
      <w:r>
        <w:rPr>
          <w:color w:val="231F20"/>
          <w:sz w:val="18"/>
        </w:rPr>
        <w:t>Ameye</w:t>
      </w:r>
      <w:r>
        <w:rPr>
          <w:color w:val="231F20"/>
          <w:spacing w:val="-13"/>
          <w:sz w:val="18"/>
        </w:rPr>
        <w:t xml:space="preserve"> </w:t>
      </w:r>
      <w:r>
        <w:rPr>
          <w:color w:val="231F20"/>
          <w:sz w:val="18"/>
        </w:rPr>
        <w:t>L,</w:t>
      </w:r>
      <w:r>
        <w:rPr>
          <w:color w:val="231F20"/>
          <w:spacing w:val="-13"/>
          <w:sz w:val="18"/>
        </w:rPr>
        <w:t xml:space="preserve"> </w:t>
      </w:r>
      <w:r>
        <w:rPr>
          <w:color w:val="231F20"/>
          <w:sz w:val="18"/>
        </w:rPr>
        <w:t>Fischerova</w:t>
      </w:r>
      <w:r>
        <w:rPr>
          <w:color w:val="231F20"/>
          <w:spacing w:val="-14"/>
          <w:sz w:val="18"/>
        </w:rPr>
        <w:t xml:space="preserve"> </w:t>
      </w:r>
      <w:r>
        <w:rPr>
          <w:color w:val="231F20"/>
          <w:sz w:val="18"/>
        </w:rPr>
        <w:t>D</w:t>
      </w:r>
      <w:r>
        <w:rPr>
          <w:color w:val="231F20"/>
          <w:spacing w:val="-13"/>
          <w:sz w:val="18"/>
        </w:rPr>
        <w:t xml:space="preserve"> </w:t>
      </w:r>
      <w:r>
        <w:rPr>
          <w:color w:val="231F20"/>
          <w:sz w:val="18"/>
        </w:rPr>
        <w:t>et</w:t>
      </w:r>
      <w:r>
        <w:rPr>
          <w:color w:val="231F20"/>
          <w:spacing w:val="-13"/>
          <w:sz w:val="18"/>
        </w:rPr>
        <w:t xml:space="preserve"> </w:t>
      </w:r>
      <w:r>
        <w:rPr>
          <w:color w:val="231F20"/>
          <w:sz w:val="18"/>
        </w:rPr>
        <w:t>al.</w:t>
      </w:r>
      <w:r>
        <w:rPr>
          <w:color w:val="231F20"/>
          <w:spacing w:val="-13"/>
          <w:sz w:val="18"/>
        </w:rPr>
        <w:t xml:space="preserve"> </w:t>
      </w:r>
      <w:r>
        <w:rPr>
          <w:color w:val="231F20"/>
          <w:sz w:val="18"/>
        </w:rPr>
        <w:t>Simple</w:t>
      </w:r>
      <w:r>
        <w:rPr>
          <w:color w:val="231F20"/>
          <w:spacing w:val="-13"/>
          <w:sz w:val="18"/>
        </w:rPr>
        <w:t xml:space="preserve"> </w:t>
      </w:r>
      <w:r>
        <w:rPr>
          <w:color w:val="231F20"/>
          <w:sz w:val="18"/>
        </w:rPr>
        <w:t xml:space="preserve">ultrasound rules to distinguish between benign and malignant adnexal masses before surgery: prospective validation by the IOTA group. </w:t>
      </w:r>
      <w:proofErr w:type="gramStart"/>
      <w:r>
        <w:rPr>
          <w:color w:val="231F20"/>
          <w:sz w:val="18"/>
        </w:rPr>
        <w:t>BMJ.</w:t>
      </w:r>
      <w:proofErr w:type="gramEnd"/>
      <w:r>
        <w:rPr>
          <w:color w:val="231F20"/>
          <w:sz w:val="18"/>
        </w:rPr>
        <w:t xml:space="preserve"> 2010</w:t>
      </w:r>
      <w:proofErr w:type="gramStart"/>
      <w:r>
        <w:rPr>
          <w:color w:val="231F20"/>
          <w:sz w:val="18"/>
        </w:rPr>
        <w:t>;341:c6839</w:t>
      </w:r>
      <w:proofErr w:type="gramEnd"/>
      <w:r>
        <w:rPr>
          <w:color w:val="231F20"/>
          <w:sz w:val="18"/>
        </w:rPr>
        <w:t>.</w:t>
      </w:r>
    </w:p>
    <w:p w:rsidR="00966BA7" w:rsidRDefault="00F255A2">
      <w:pPr>
        <w:spacing w:line="232" w:lineRule="auto"/>
        <w:ind w:left="340" w:right="165" w:hanging="227"/>
        <w:jc w:val="both"/>
        <w:rPr>
          <w:sz w:val="18"/>
        </w:rPr>
      </w:pPr>
      <w:r>
        <w:rPr>
          <w:color w:val="231F20"/>
          <w:sz w:val="18"/>
        </w:rPr>
        <w:t>Timmerman D, Testa AC, Bourne T et al. Logistic regre</w:t>
      </w:r>
      <w:r>
        <w:rPr>
          <w:color w:val="231F20"/>
          <w:sz w:val="18"/>
        </w:rPr>
        <w:t xml:space="preserve">ssion model to distinguish between the benign and malignant adnexal mass before surgery: a multicenter study by the International Ovarian Tumor Analysis group. </w:t>
      </w:r>
      <w:proofErr w:type="gramStart"/>
      <w:r>
        <w:rPr>
          <w:color w:val="231F20"/>
          <w:sz w:val="18"/>
        </w:rPr>
        <w:t>J Clin Oncol.</w:t>
      </w:r>
      <w:proofErr w:type="gramEnd"/>
      <w:r>
        <w:rPr>
          <w:color w:val="231F20"/>
          <w:sz w:val="18"/>
        </w:rPr>
        <w:t xml:space="preserve"> 2005</w:t>
      </w:r>
      <w:proofErr w:type="gramStart"/>
      <w:r>
        <w:rPr>
          <w:color w:val="231F20"/>
          <w:sz w:val="18"/>
        </w:rPr>
        <w:t>;23:8794</w:t>
      </w:r>
      <w:proofErr w:type="gramEnd"/>
      <w:r>
        <w:rPr>
          <w:color w:val="231F20"/>
          <w:sz w:val="18"/>
        </w:rPr>
        <w:t>-801.</w:t>
      </w:r>
    </w:p>
    <w:p w:rsidR="00966BA7" w:rsidRDefault="00F255A2">
      <w:pPr>
        <w:spacing w:line="232" w:lineRule="auto"/>
        <w:ind w:left="340" w:right="168" w:hanging="227"/>
        <w:jc w:val="both"/>
        <w:rPr>
          <w:sz w:val="18"/>
        </w:rPr>
      </w:pPr>
      <w:proofErr w:type="gramStart"/>
      <w:r>
        <w:rPr>
          <w:color w:val="231F20"/>
          <w:sz w:val="18"/>
        </w:rPr>
        <w:t xml:space="preserve">Timmerman D, Testa AC, Bourne T et al. Simple ultrasound- based </w:t>
      </w:r>
      <w:r>
        <w:rPr>
          <w:color w:val="231F20"/>
          <w:sz w:val="18"/>
        </w:rPr>
        <w:t>rules for the diagnosis of ovarian cancer.</w:t>
      </w:r>
      <w:proofErr w:type="gramEnd"/>
      <w:r>
        <w:rPr>
          <w:color w:val="231F20"/>
          <w:sz w:val="18"/>
        </w:rPr>
        <w:t xml:space="preserve"> Ultrasound Obstet Gynecol. 2008</w:t>
      </w:r>
      <w:proofErr w:type="gramStart"/>
      <w:r>
        <w:rPr>
          <w:color w:val="231F20"/>
          <w:sz w:val="18"/>
        </w:rPr>
        <w:t>;31:681</w:t>
      </w:r>
      <w:proofErr w:type="gramEnd"/>
      <w:r>
        <w:rPr>
          <w:color w:val="231F20"/>
          <w:sz w:val="18"/>
        </w:rPr>
        <w:t>-90.</w:t>
      </w:r>
    </w:p>
    <w:p w:rsidR="00966BA7" w:rsidRDefault="00F255A2">
      <w:pPr>
        <w:spacing w:line="232" w:lineRule="auto"/>
        <w:ind w:left="340" w:right="166" w:hanging="227"/>
        <w:jc w:val="both"/>
        <w:rPr>
          <w:sz w:val="18"/>
        </w:rPr>
      </w:pPr>
      <w:r>
        <w:rPr>
          <w:color w:val="231F20"/>
          <w:sz w:val="18"/>
        </w:rPr>
        <w:t>Timmerman</w:t>
      </w:r>
      <w:r>
        <w:rPr>
          <w:color w:val="231F20"/>
          <w:spacing w:val="-8"/>
          <w:sz w:val="18"/>
        </w:rPr>
        <w:t xml:space="preserve"> </w:t>
      </w:r>
      <w:r>
        <w:rPr>
          <w:color w:val="231F20"/>
          <w:sz w:val="18"/>
        </w:rPr>
        <w:t>D,</w:t>
      </w:r>
      <w:r>
        <w:rPr>
          <w:color w:val="231F20"/>
          <w:spacing w:val="-8"/>
          <w:sz w:val="18"/>
        </w:rPr>
        <w:t xml:space="preserve"> </w:t>
      </w:r>
      <w:r>
        <w:rPr>
          <w:color w:val="231F20"/>
          <w:sz w:val="18"/>
        </w:rPr>
        <w:t>Valentin</w:t>
      </w:r>
      <w:r>
        <w:rPr>
          <w:color w:val="231F20"/>
          <w:spacing w:val="-8"/>
          <w:sz w:val="18"/>
        </w:rPr>
        <w:t xml:space="preserve"> </w:t>
      </w:r>
      <w:r>
        <w:rPr>
          <w:color w:val="231F20"/>
          <w:sz w:val="18"/>
        </w:rPr>
        <w:t>L,</w:t>
      </w:r>
      <w:r>
        <w:rPr>
          <w:color w:val="231F20"/>
          <w:spacing w:val="-8"/>
          <w:sz w:val="18"/>
        </w:rPr>
        <w:t xml:space="preserve"> </w:t>
      </w:r>
      <w:r>
        <w:rPr>
          <w:color w:val="231F20"/>
          <w:sz w:val="18"/>
        </w:rPr>
        <w:t>Bourne</w:t>
      </w:r>
      <w:r>
        <w:rPr>
          <w:color w:val="231F20"/>
          <w:spacing w:val="-8"/>
          <w:sz w:val="18"/>
        </w:rPr>
        <w:t xml:space="preserve"> </w:t>
      </w:r>
      <w:r>
        <w:rPr>
          <w:color w:val="231F20"/>
          <w:sz w:val="18"/>
        </w:rPr>
        <w:t>TH</w:t>
      </w:r>
      <w:r>
        <w:rPr>
          <w:color w:val="231F20"/>
          <w:spacing w:val="-8"/>
          <w:sz w:val="18"/>
        </w:rPr>
        <w:t xml:space="preserve"> </w:t>
      </w:r>
      <w:r>
        <w:rPr>
          <w:color w:val="231F20"/>
          <w:sz w:val="18"/>
        </w:rPr>
        <w:t>et</w:t>
      </w:r>
      <w:r>
        <w:rPr>
          <w:color w:val="231F20"/>
          <w:spacing w:val="-8"/>
          <w:sz w:val="18"/>
        </w:rPr>
        <w:t xml:space="preserve"> </w:t>
      </w:r>
      <w:r>
        <w:rPr>
          <w:color w:val="231F20"/>
          <w:sz w:val="18"/>
        </w:rPr>
        <w:t>al.</w:t>
      </w:r>
      <w:r>
        <w:rPr>
          <w:color w:val="231F20"/>
          <w:spacing w:val="-7"/>
          <w:sz w:val="18"/>
        </w:rPr>
        <w:t xml:space="preserve"> </w:t>
      </w:r>
      <w:r>
        <w:rPr>
          <w:color w:val="231F20"/>
          <w:sz w:val="18"/>
        </w:rPr>
        <w:t>Terms,</w:t>
      </w:r>
      <w:r>
        <w:rPr>
          <w:color w:val="231F20"/>
          <w:spacing w:val="-8"/>
          <w:sz w:val="18"/>
        </w:rPr>
        <w:t xml:space="preserve"> </w:t>
      </w:r>
      <w:r>
        <w:rPr>
          <w:color w:val="231F20"/>
          <w:sz w:val="18"/>
        </w:rPr>
        <w:t>definitions and measurements to describe the sonographic features of adnexal tumors: a consensus opinion from the Interna</w:t>
      </w:r>
      <w:r>
        <w:rPr>
          <w:color w:val="231F20"/>
          <w:sz w:val="18"/>
        </w:rPr>
        <w:t>tional Ovarian Tumor Analysis (IOTA) group. Ultrasound Obstet Gynecol.</w:t>
      </w:r>
      <w:r>
        <w:rPr>
          <w:color w:val="231F20"/>
          <w:spacing w:val="-2"/>
          <w:sz w:val="18"/>
        </w:rPr>
        <w:t xml:space="preserve"> </w:t>
      </w:r>
      <w:r>
        <w:rPr>
          <w:color w:val="231F20"/>
          <w:sz w:val="18"/>
        </w:rPr>
        <w:t>2000</w:t>
      </w:r>
      <w:proofErr w:type="gramStart"/>
      <w:r>
        <w:rPr>
          <w:color w:val="231F20"/>
          <w:sz w:val="18"/>
        </w:rPr>
        <w:t>;16:500</w:t>
      </w:r>
      <w:proofErr w:type="gramEnd"/>
      <w:r>
        <w:rPr>
          <w:color w:val="231F20"/>
          <w:sz w:val="18"/>
        </w:rPr>
        <w:t>-5.</w:t>
      </w:r>
    </w:p>
    <w:p w:rsidR="00966BA7" w:rsidRDefault="00F255A2">
      <w:pPr>
        <w:spacing w:line="232" w:lineRule="auto"/>
        <w:ind w:left="340" w:right="168" w:hanging="227"/>
        <w:jc w:val="both"/>
        <w:rPr>
          <w:sz w:val="18"/>
        </w:rPr>
      </w:pPr>
      <w:r>
        <w:rPr>
          <w:color w:val="231F20"/>
          <w:sz w:val="18"/>
        </w:rPr>
        <w:t xml:space="preserve">Tinelli R, Tinelli A, Tinelli FG et al. Conservative surgery for borderline ovarian tumors: a review. Gynecol Oncol. </w:t>
      </w:r>
      <w:proofErr w:type="gramStart"/>
      <w:r>
        <w:rPr>
          <w:color w:val="231F20"/>
          <w:sz w:val="18"/>
        </w:rPr>
        <w:t>2006; 100:185-91.</w:t>
      </w:r>
      <w:proofErr w:type="gramEnd"/>
    </w:p>
    <w:p w:rsidR="00966BA7" w:rsidRDefault="00F255A2">
      <w:pPr>
        <w:spacing w:line="232" w:lineRule="auto"/>
        <w:ind w:left="340" w:right="162" w:hanging="227"/>
        <w:jc w:val="both"/>
        <w:rPr>
          <w:sz w:val="18"/>
        </w:rPr>
      </w:pPr>
      <w:r>
        <w:rPr>
          <w:color w:val="231F20"/>
          <w:sz w:val="18"/>
        </w:rPr>
        <w:t>Trimbos JB, Vergote I, Bolis G et al. Impact of adjuvant chemotherapy and surgical staging in early-stage ovarian carcinoma: European Organisation for Research and Treatment of Cancer-Adjuvant ChemoTherapy in Ovarian Neoplasm trial. J Natl Cancer Inst. 200</w:t>
      </w:r>
      <w:r>
        <w:rPr>
          <w:color w:val="231F20"/>
          <w:sz w:val="18"/>
        </w:rPr>
        <w:t>3</w:t>
      </w:r>
      <w:proofErr w:type="gramStart"/>
      <w:r>
        <w:rPr>
          <w:color w:val="231F20"/>
          <w:sz w:val="18"/>
        </w:rPr>
        <w:t>;95:113</w:t>
      </w:r>
      <w:proofErr w:type="gramEnd"/>
      <w:r>
        <w:rPr>
          <w:color w:val="231F20"/>
          <w:sz w:val="18"/>
        </w:rPr>
        <w:t>-25.</w:t>
      </w:r>
    </w:p>
    <w:p w:rsidR="00966BA7" w:rsidRDefault="00F255A2">
      <w:pPr>
        <w:spacing w:line="232" w:lineRule="auto"/>
        <w:ind w:left="340" w:right="167" w:hanging="227"/>
        <w:jc w:val="both"/>
        <w:rPr>
          <w:sz w:val="18"/>
        </w:rPr>
      </w:pPr>
      <w:r>
        <w:rPr>
          <w:color w:val="231F20"/>
          <w:sz w:val="18"/>
        </w:rPr>
        <w:t xml:space="preserve">Van Calster B, Valentin L, Van Holsbeke C et al. A novel approach to predict the likelihood of specific ovarian tumor pathology based on serum CA-125: a multicenter obser- vational study. </w:t>
      </w:r>
      <w:proofErr w:type="gramStart"/>
      <w:r>
        <w:rPr>
          <w:color w:val="231F20"/>
          <w:sz w:val="18"/>
        </w:rPr>
        <w:t>Cancer Epidemiol Biomarkers Prev. 2011; 20:2420-8.</w:t>
      </w:r>
      <w:proofErr w:type="gramEnd"/>
    </w:p>
    <w:p w:rsidR="00966BA7" w:rsidRDefault="00F255A2">
      <w:pPr>
        <w:spacing w:line="232" w:lineRule="auto"/>
        <w:ind w:left="340" w:right="167" w:hanging="227"/>
        <w:jc w:val="both"/>
        <w:rPr>
          <w:sz w:val="18"/>
        </w:rPr>
      </w:pPr>
      <w:r>
        <w:rPr>
          <w:color w:val="231F20"/>
          <w:sz w:val="18"/>
        </w:rPr>
        <w:t>Van Calster B, Van Hoorde K, Valentin L et al. Evaluating the risk of ovarian cancer before surgery using the ADNEX model to differentiate between benign, borderline, early</w:t>
      </w:r>
      <w:r>
        <w:rPr>
          <w:color w:val="231F20"/>
          <w:spacing w:val="-21"/>
          <w:sz w:val="18"/>
        </w:rPr>
        <w:t xml:space="preserve"> </w:t>
      </w:r>
      <w:r>
        <w:rPr>
          <w:color w:val="231F20"/>
          <w:sz w:val="18"/>
        </w:rPr>
        <w:t>and advanced stage invasive, and secondary metastatic</w:t>
      </w:r>
      <w:r>
        <w:rPr>
          <w:color w:val="231F20"/>
          <w:spacing w:val="-29"/>
          <w:sz w:val="18"/>
        </w:rPr>
        <w:t xml:space="preserve"> </w:t>
      </w:r>
      <w:r>
        <w:rPr>
          <w:color w:val="231F20"/>
          <w:sz w:val="18"/>
        </w:rPr>
        <w:t>tumours: prospective multicen</w:t>
      </w:r>
      <w:r>
        <w:rPr>
          <w:color w:val="231F20"/>
          <w:sz w:val="18"/>
        </w:rPr>
        <w:t xml:space="preserve">tre diagnostic study. </w:t>
      </w:r>
      <w:proofErr w:type="gramStart"/>
      <w:r>
        <w:rPr>
          <w:color w:val="231F20"/>
          <w:sz w:val="18"/>
        </w:rPr>
        <w:t>BMJ.</w:t>
      </w:r>
      <w:proofErr w:type="gramEnd"/>
      <w:r>
        <w:rPr>
          <w:color w:val="231F20"/>
          <w:sz w:val="18"/>
        </w:rPr>
        <w:t xml:space="preserve"> 2014</w:t>
      </w:r>
      <w:proofErr w:type="gramStart"/>
      <w:r>
        <w:rPr>
          <w:color w:val="231F20"/>
          <w:sz w:val="18"/>
        </w:rPr>
        <w:t>;349</w:t>
      </w:r>
      <w:proofErr w:type="gramEnd"/>
      <w:r>
        <w:rPr>
          <w:color w:val="231F20"/>
          <w:sz w:val="18"/>
        </w:rPr>
        <w:t>: g5920.</w:t>
      </w:r>
    </w:p>
    <w:p w:rsidR="00966BA7" w:rsidRDefault="00F255A2">
      <w:pPr>
        <w:spacing w:line="232" w:lineRule="auto"/>
        <w:ind w:left="340" w:right="163" w:hanging="227"/>
        <w:jc w:val="both"/>
        <w:rPr>
          <w:sz w:val="18"/>
        </w:rPr>
      </w:pPr>
      <w:r>
        <w:rPr>
          <w:color w:val="231F20"/>
          <w:sz w:val="18"/>
        </w:rPr>
        <w:t xml:space="preserve">Van Holsbeke C, Van Calster B, Bourne T et al. External validation of diagnostic models to estimate the risk of malignancy in adnexal masses. </w:t>
      </w:r>
      <w:proofErr w:type="gramStart"/>
      <w:r>
        <w:rPr>
          <w:color w:val="231F20"/>
          <w:sz w:val="18"/>
        </w:rPr>
        <w:t>Clin Cancer Res. 2012; 18:815-25.</w:t>
      </w:r>
      <w:proofErr w:type="gramEnd"/>
    </w:p>
    <w:p w:rsidR="00966BA7" w:rsidRDefault="00F255A2">
      <w:pPr>
        <w:spacing w:line="232" w:lineRule="auto"/>
        <w:ind w:left="340" w:right="164" w:hanging="227"/>
        <w:jc w:val="both"/>
        <w:rPr>
          <w:sz w:val="18"/>
        </w:rPr>
      </w:pPr>
      <w:r>
        <w:rPr>
          <w:color w:val="231F20"/>
          <w:sz w:val="18"/>
        </w:rPr>
        <w:t>Van Holsbeke C, Van Calster B, Testa</w:t>
      </w:r>
      <w:r>
        <w:rPr>
          <w:color w:val="231F20"/>
          <w:sz w:val="18"/>
        </w:rPr>
        <w:t xml:space="preserve"> AC et al. Prospective </w:t>
      </w:r>
      <w:r>
        <w:rPr>
          <w:color w:val="231F20"/>
          <w:spacing w:val="2"/>
          <w:sz w:val="18"/>
        </w:rPr>
        <w:t xml:space="preserve">internal validation </w:t>
      </w:r>
      <w:r>
        <w:rPr>
          <w:color w:val="231F20"/>
          <w:sz w:val="18"/>
        </w:rPr>
        <w:t xml:space="preserve">of </w:t>
      </w:r>
      <w:r>
        <w:rPr>
          <w:color w:val="231F20"/>
          <w:spacing w:val="2"/>
          <w:sz w:val="18"/>
        </w:rPr>
        <w:t xml:space="preserve">mathematical models </w:t>
      </w:r>
      <w:r>
        <w:rPr>
          <w:color w:val="231F20"/>
          <w:sz w:val="18"/>
        </w:rPr>
        <w:t xml:space="preserve">to </w:t>
      </w:r>
      <w:r>
        <w:rPr>
          <w:color w:val="231F20"/>
          <w:spacing w:val="3"/>
          <w:sz w:val="18"/>
        </w:rPr>
        <w:t xml:space="preserve">predict </w:t>
      </w:r>
      <w:r>
        <w:rPr>
          <w:color w:val="231F20"/>
          <w:sz w:val="18"/>
        </w:rPr>
        <w:t>malignancy</w:t>
      </w:r>
      <w:r>
        <w:rPr>
          <w:color w:val="231F20"/>
          <w:spacing w:val="-14"/>
          <w:sz w:val="18"/>
        </w:rPr>
        <w:t xml:space="preserve"> </w:t>
      </w:r>
      <w:r>
        <w:rPr>
          <w:color w:val="231F20"/>
          <w:sz w:val="18"/>
        </w:rPr>
        <w:t>in</w:t>
      </w:r>
      <w:r>
        <w:rPr>
          <w:color w:val="231F20"/>
          <w:spacing w:val="-14"/>
          <w:sz w:val="18"/>
        </w:rPr>
        <w:t xml:space="preserve"> </w:t>
      </w:r>
      <w:r>
        <w:rPr>
          <w:color w:val="231F20"/>
          <w:sz w:val="18"/>
        </w:rPr>
        <w:t>adnexal</w:t>
      </w:r>
      <w:r>
        <w:rPr>
          <w:color w:val="231F20"/>
          <w:spacing w:val="-13"/>
          <w:sz w:val="18"/>
        </w:rPr>
        <w:t xml:space="preserve"> </w:t>
      </w:r>
      <w:r>
        <w:rPr>
          <w:color w:val="231F20"/>
          <w:sz w:val="18"/>
        </w:rPr>
        <w:t>masses:</w:t>
      </w:r>
      <w:r>
        <w:rPr>
          <w:color w:val="231F20"/>
          <w:spacing w:val="-14"/>
          <w:sz w:val="18"/>
        </w:rPr>
        <w:t xml:space="preserve"> </w:t>
      </w:r>
      <w:r>
        <w:rPr>
          <w:color w:val="231F20"/>
          <w:sz w:val="18"/>
        </w:rPr>
        <w:t>results</w:t>
      </w:r>
      <w:r>
        <w:rPr>
          <w:color w:val="231F20"/>
          <w:spacing w:val="-13"/>
          <w:sz w:val="18"/>
        </w:rPr>
        <w:t xml:space="preserve"> </w:t>
      </w:r>
      <w:r>
        <w:rPr>
          <w:color w:val="231F20"/>
          <w:sz w:val="18"/>
        </w:rPr>
        <w:t>from</w:t>
      </w:r>
      <w:r>
        <w:rPr>
          <w:color w:val="231F20"/>
          <w:spacing w:val="-14"/>
          <w:sz w:val="18"/>
        </w:rPr>
        <w:t xml:space="preserve"> </w:t>
      </w:r>
      <w:r>
        <w:rPr>
          <w:color w:val="231F20"/>
          <w:sz w:val="18"/>
        </w:rPr>
        <w:t>the</w:t>
      </w:r>
      <w:r>
        <w:rPr>
          <w:color w:val="231F20"/>
          <w:spacing w:val="-13"/>
          <w:sz w:val="18"/>
        </w:rPr>
        <w:t xml:space="preserve"> </w:t>
      </w:r>
      <w:r>
        <w:rPr>
          <w:color w:val="231F20"/>
          <w:sz w:val="18"/>
        </w:rPr>
        <w:t xml:space="preserve">International Ovarian Tumor Analysis study. </w:t>
      </w:r>
      <w:proofErr w:type="gramStart"/>
      <w:r>
        <w:rPr>
          <w:color w:val="231F20"/>
          <w:sz w:val="18"/>
        </w:rPr>
        <w:t>Clin Cancer Res. 2009; 15:684-91.</w:t>
      </w:r>
      <w:proofErr w:type="gramEnd"/>
    </w:p>
    <w:p w:rsidR="00966BA7" w:rsidRDefault="00F255A2">
      <w:pPr>
        <w:spacing w:line="232" w:lineRule="auto"/>
        <w:ind w:left="340" w:right="169" w:hanging="227"/>
        <w:jc w:val="both"/>
        <w:rPr>
          <w:sz w:val="18"/>
        </w:rPr>
      </w:pPr>
      <w:r>
        <w:rPr>
          <w:color w:val="231F20"/>
          <w:sz w:val="18"/>
        </w:rPr>
        <w:t>Vergote</w:t>
      </w:r>
      <w:r>
        <w:rPr>
          <w:color w:val="231F20"/>
          <w:spacing w:val="-6"/>
          <w:sz w:val="18"/>
        </w:rPr>
        <w:t xml:space="preserve"> </w:t>
      </w:r>
      <w:r>
        <w:rPr>
          <w:color w:val="231F20"/>
          <w:sz w:val="18"/>
        </w:rPr>
        <w:t>I,</w:t>
      </w:r>
      <w:r>
        <w:rPr>
          <w:color w:val="231F20"/>
          <w:spacing w:val="-6"/>
          <w:sz w:val="18"/>
        </w:rPr>
        <w:t xml:space="preserve"> </w:t>
      </w:r>
      <w:r>
        <w:rPr>
          <w:color w:val="231F20"/>
          <w:sz w:val="18"/>
        </w:rPr>
        <w:t>De</w:t>
      </w:r>
      <w:r>
        <w:rPr>
          <w:color w:val="231F20"/>
          <w:spacing w:val="-6"/>
          <w:sz w:val="18"/>
        </w:rPr>
        <w:t xml:space="preserve"> </w:t>
      </w:r>
      <w:r>
        <w:rPr>
          <w:color w:val="231F20"/>
          <w:sz w:val="18"/>
        </w:rPr>
        <w:t>Brabanter</w:t>
      </w:r>
      <w:r>
        <w:rPr>
          <w:color w:val="231F20"/>
          <w:spacing w:val="-6"/>
          <w:sz w:val="18"/>
        </w:rPr>
        <w:t xml:space="preserve"> </w:t>
      </w:r>
      <w:r>
        <w:rPr>
          <w:color w:val="231F20"/>
          <w:sz w:val="18"/>
        </w:rPr>
        <w:t>J,</w:t>
      </w:r>
      <w:r>
        <w:rPr>
          <w:color w:val="231F20"/>
          <w:spacing w:val="-6"/>
          <w:sz w:val="18"/>
        </w:rPr>
        <w:t xml:space="preserve"> </w:t>
      </w:r>
      <w:r>
        <w:rPr>
          <w:color w:val="231F20"/>
          <w:sz w:val="18"/>
        </w:rPr>
        <w:t>Fyles</w:t>
      </w:r>
      <w:r>
        <w:rPr>
          <w:color w:val="231F20"/>
          <w:spacing w:val="-6"/>
          <w:sz w:val="18"/>
        </w:rPr>
        <w:t xml:space="preserve"> </w:t>
      </w:r>
      <w:proofErr w:type="gramStart"/>
      <w:r>
        <w:rPr>
          <w:color w:val="231F20"/>
          <w:sz w:val="18"/>
        </w:rPr>
        <w:t>A</w:t>
      </w:r>
      <w:proofErr w:type="gramEnd"/>
      <w:r>
        <w:rPr>
          <w:color w:val="231F20"/>
          <w:spacing w:val="-6"/>
          <w:sz w:val="18"/>
        </w:rPr>
        <w:t xml:space="preserve"> </w:t>
      </w:r>
      <w:r>
        <w:rPr>
          <w:color w:val="231F20"/>
          <w:sz w:val="18"/>
        </w:rPr>
        <w:t>et</w:t>
      </w:r>
      <w:r>
        <w:rPr>
          <w:color w:val="231F20"/>
          <w:spacing w:val="-6"/>
          <w:sz w:val="18"/>
        </w:rPr>
        <w:t xml:space="preserve"> </w:t>
      </w:r>
      <w:r>
        <w:rPr>
          <w:color w:val="231F20"/>
          <w:sz w:val="18"/>
        </w:rPr>
        <w:t>al.</w:t>
      </w:r>
      <w:r>
        <w:rPr>
          <w:color w:val="231F20"/>
          <w:spacing w:val="-6"/>
          <w:sz w:val="18"/>
        </w:rPr>
        <w:t xml:space="preserve"> </w:t>
      </w:r>
      <w:r>
        <w:rPr>
          <w:color w:val="231F20"/>
          <w:sz w:val="18"/>
        </w:rPr>
        <w:t>Prognostic</w:t>
      </w:r>
      <w:r>
        <w:rPr>
          <w:color w:val="231F20"/>
          <w:spacing w:val="-6"/>
          <w:sz w:val="18"/>
        </w:rPr>
        <w:t xml:space="preserve"> </w:t>
      </w:r>
      <w:r>
        <w:rPr>
          <w:color w:val="231F20"/>
          <w:sz w:val="18"/>
        </w:rPr>
        <w:t>i</w:t>
      </w:r>
      <w:r>
        <w:rPr>
          <w:color w:val="231F20"/>
          <w:sz w:val="18"/>
        </w:rPr>
        <w:t>mportance of degree of differentiation and cyst rupture in stage I invasive</w:t>
      </w:r>
      <w:r>
        <w:rPr>
          <w:color w:val="231F20"/>
          <w:spacing w:val="-28"/>
          <w:sz w:val="18"/>
        </w:rPr>
        <w:t xml:space="preserve"> </w:t>
      </w:r>
      <w:r>
        <w:rPr>
          <w:color w:val="231F20"/>
          <w:sz w:val="18"/>
        </w:rPr>
        <w:t>epithelial</w:t>
      </w:r>
      <w:r>
        <w:rPr>
          <w:color w:val="231F20"/>
          <w:spacing w:val="-27"/>
          <w:sz w:val="18"/>
        </w:rPr>
        <w:t xml:space="preserve"> </w:t>
      </w:r>
      <w:r>
        <w:rPr>
          <w:color w:val="231F20"/>
          <w:sz w:val="18"/>
        </w:rPr>
        <w:t>ovarian</w:t>
      </w:r>
      <w:r>
        <w:rPr>
          <w:color w:val="231F20"/>
          <w:spacing w:val="-27"/>
          <w:sz w:val="18"/>
        </w:rPr>
        <w:t xml:space="preserve"> </w:t>
      </w:r>
      <w:r>
        <w:rPr>
          <w:color w:val="231F20"/>
          <w:sz w:val="18"/>
        </w:rPr>
        <w:t>carcinoma.</w:t>
      </w:r>
      <w:r>
        <w:rPr>
          <w:color w:val="231F20"/>
          <w:spacing w:val="-27"/>
          <w:sz w:val="18"/>
        </w:rPr>
        <w:t xml:space="preserve"> </w:t>
      </w:r>
      <w:proofErr w:type="gramStart"/>
      <w:r>
        <w:rPr>
          <w:color w:val="231F20"/>
          <w:sz w:val="18"/>
        </w:rPr>
        <w:t>Lancet.</w:t>
      </w:r>
      <w:proofErr w:type="gramEnd"/>
      <w:r>
        <w:rPr>
          <w:color w:val="231F20"/>
          <w:spacing w:val="-28"/>
          <w:sz w:val="18"/>
        </w:rPr>
        <w:t xml:space="preserve"> </w:t>
      </w:r>
      <w:r>
        <w:rPr>
          <w:color w:val="231F20"/>
          <w:sz w:val="18"/>
        </w:rPr>
        <w:t>2001</w:t>
      </w:r>
      <w:proofErr w:type="gramStart"/>
      <w:r>
        <w:rPr>
          <w:color w:val="231F20"/>
          <w:sz w:val="18"/>
        </w:rPr>
        <w:t>;357:176</w:t>
      </w:r>
      <w:proofErr w:type="gramEnd"/>
      <w:r>
        <w:rPr>
          <w:color w:val="231F20"/>
          <w:sz w:val="18"/>
        </w:rPr>
        <w:t>- 82.</w:t>
      </w:r>
    </w:p>
    <w:p w:rsidR="00966BA7" w:rsidRDefault="00F255A2">
      <w:pPr>
        <w:spacing w:line="232" w:lineRule="auto"/>
        <w:ind w:left="340" w:right="167" w:hanging="227"/>
        <w:jc w:val="both"/>
        <w:rPr>
          <w:sz w:val="18"/>
        </w:rPr>
      </w:pPr>
      <w:r>
        <w:rPr>
          <w:color w:val="231F20"/>
          <w:sz w:val="18"/>
        </w:rPr>
        <w:t>Vergote</w:t>
      </w:r>
      <w:r>
        <w:rPr>
          <w:color w:val="231F20"/>
          <w:spacing w:val="-13"/>
          <w:sz w:val="18"/>
        </w:rPr>
        <w:t xml:space="preserve"> </w:t>
      </w:r>
      <w:r>
        <w:rPr>
          <w:color w:val="231F20"/>
          <w:sz w:val="18"/>
        </w:rPr>
        <w:t>I,</w:t>
      </w:r>
      <w:r>
        <w:rPr>
          <w:color w:val="231F20"/>
          <w:spacing w:val="-13"/>
          <w:sz w:val="18"/>
        </w:rPr>
        <w:t xml:space="preserve"> </w:t>
      </w:r>
      <w:r>
        <w:rPr>
          <w:color w:val="231F20"/>
          <w:sz w:val="18"/>
        </w:rPr>
        <w:t>Tropé</w:t>
      </w:r>
      <w:r>
        <w:rPr>
          <w:color w:val="231F20"/>
          <w:spacing w:val="-12"/>
          <w:sz w:val="18"/>
        </w:rPr>
        <w:t xml:space="preserve"> </w:t>
      </w:r>
      <w:r>
        <w:rPr>
          <w:color w:val="231F20"/>
          <w:sz w:val="18"/>
        </w:rPr>
        <w:t>CG,</w:t>
      </w:r>
      <w:r>
        <w:rPr>
          <w:color w:val="231F20"/>
          <w:spacing w:val="-13"/>
          <w:sz w:val="18"/>
        </w:rPr>
        <w:t xml:space="preserve"> </w:t>
      </w:r>
      <w:r>
        <w:rPr>
          <w:color w:val="231F20"/>
          <w:sz w:val="18"/>
        </w:rPr>
        <w:t>Amant</w:t>
      </w:r>
      <w:r>
        <w:rPr>
          <w:color w:val="231F20"/>
          <w:spacing w:val="-13"/>
          <w:sz w:val="18"/>
        </w:rPr>
        <w:t xml:space="preserve"> </w:t>
      </w:r>
      <w:proofErr w:type="gramStart"/>
      <w:r>
        <w:rPr>
          <w:color w:val="231F20"/>
          <w:sz w:val="18"/>
        </w:rPr>
        <w:t>Fet</w:t>
      </w:r>
      <w:proofErr w:type="gramEnd"/>
      <w:r>
        <w:rPr>
          <w:color w:val="231F20"/>
          <w:spacing w:val="-12"/>
          <w:sz w:val="18"/>
        </w:rPr>
        <w:t xml:space="preserve"> </w:t>
      </w:r>
      <w:r>
        <w:rPr>
          <w:color w:val="231F20"/>
          <w:sz w:val="18"/>
        </w:rPr>
        <w:t>al.</w:t>
      </w:r>
      <w:r>
        <w:rPr>
          <w:color w:val="231F20"/>
          <w:spacing w:val="-13"/>
          <w:sz w:val="18"/>
        </w:rPr>
        <w:t xml:space="preserve"> </w:t>
      </w:r>
      <w:r>
        <w:rPr>
          <w:color w:val="231F20"/>
          <w:sz w:val="18"/>
        </w:rPr>
        <w:t>Neoadjuvant</w:t>
      </w:r>
      <w:r>
        <w:rPr>
          <w:color w:val="231F20"/>
          <w:spacing w:val="-13"/>
          <w:sz w:val="18"/>
        </w:rPr>
        <w:t xml:space="preserve"> </w:t>
      </w:r>
      <w:r>
        <w:rPr>
          <w:color w:val="231F20"/>
          <w:sz w:val="18"/>
        </w:rPr>
        <w:t>chemotherapy or primary surgery in stage IIIc or IV ovarian cancer. New Engl J Med.</w:t>
      </w:r>
      <w:r>
        <w:rPr>
          <w:color w:val="231F20"/>
          <w:spacing w:val="-3"/>
          <w:sz w:val="18"/>
        </w:rPr>
        <w:t xml:space="preserve"> </w:t>
      </w:r>
      <w:r>
        <w:rPr>
          <w:color w:val="231F20"/>
          <w:sz w:val="18"/>
        </w:rPr>
        <w:t>2010</w:t>
      </w:r>
      <w:proofErr w:type="gramStart"/>
      <w:r>
        <w:rPr>
          <w:color w:val="231F20"/>
          <w:sz w:val="18"/>
        </w:rPr>
        <w:t>;363:943</w:t>
      </w:r>
      <w:proofErr w:type="gramEnd"/>
      <w:r>
        <w:rPr>
          <w:color w:val="231F20"/>
          <w:sz w:val="18"/>
        </w:rPr>
        <w:t>-53.</w:t>
      </w:r>
    </w:p>
    <w:p w:rsidR="00966BA7" w:rsidRDefault="00F255A2">
      <w:pPr>
        <w:spacing w:line="232" w:lineRule="auto"/>
        <w:ind w:left="340" w:right="169" w:hanging="227"/>
        <w:jc w:val="both"/>
        <w:rPr>
          <w:sz w:val="18"/>
        </w:rPr>
      </w:pPr>
      <w:r>
        <w:rPr>
          <w:color w:val="231F20"/>
          <w:sz w:val="18"/>
        </w:rPr>
        <w:t>Woo</w:t>
      </w:r>
      <w:r>
        <w:rPr>
          <w:color w:val="231F20"/>
          <w:spacing w:val="-4"/>
          <w:sz w:val="18"/>
        </w:rPr>
        <w:t xml:space="preserve"> </w:t>
      </w:r>
      <w:r>
        <w:rPr>
          <w:color w:val="231F20"/>
          <w:sz w:val="18"/>
        </w:rPr>
        <w:t>YL,</w:t>
      </w:r>
      <w:r>
        <w:rPr>
          <w:color w:val="231F20"/>
          <w:spacing w:val="-4"/>
          <w:sz w:val="18"/>
        </w:rPr>
        <w:t xml:space="preserve"> </w:t>
      </w:r>
      <w:r>
        <w:rPr>
          <w:color w:val="231F20"/>
          <w:sz w:val="18"/>
        </w:rPr>
        <w:t>Kyrgiou</w:t>
      </w:r>
      <w:r>
        <w:rPr>
          <w:color w:val="231F20"/>
          <w:spacing w:val="-3"/>
          <w:sz w:val="18"/>
        </w:rPr>
        <w:t xml:space="preserve"> </w:t>
      </w:r>
      <w:r>
        <w:rPr>
          <w:color w:val="231F20"/>
          <w:sz w:val="18"/>
        </w:rPr>
        <w:t>M,</w:t>
      </w:r>
      <w:r>
        <w:rPr>
          <w:color w:val="231F20"/>
          <w:spacing w:val="-4"/>
          <w:sz w:val="18"/>
        </w:rPr>
        <w:t xml:space="preserve"> </w:t>
      </w:r>
      <w:proofErr w:type="gramStart"/>
      <w:r>
        <w:rPr>
          <w:color w:val="231F20"/>
          <w:sz w:val="18"/>
        </w:rPr>
        <w:t>Bryant</w:t>
      </w:r>
      <w:proofErr w:type="gramEnd"/>
      <w:r>
        <w:rPr>
          <w:color w:val="231F20"/>
          <w:spacing w:val="-4"/>
          <w:sz w:val="18"/>
        </w:rPr>
        <w:t xml:space="preserve"> </w:t>
      </w:r>
      <w:r>
        <w:rPr>
          <w:color w:val="231F20"/>
          <w:sz w:val="18"/>
        </w:rPr>
        <w:t>A</w:t>
      </w:r>
      <w:r>
        <w:rPr>
          <w:color w:val="231F20"/>
          <w:spacing w:val="-3"/>
          <w:sz w:val="18"/>
        </w:rPr>
        <w:t xml:space="preserve"> </w:t>
      </w:r>
      <w:r>
        <w:rPr>
          <w:color w:val="231F20"/>
          <w:sz w:val="18"/>
        </w:rPr>
        <w:t>et</w:t>
      </w:r>
      <w:r>
        <w:rPr>
          <w:color w:val="231F20"/>
          <w:spacing w:val="-4"/>
          <w:sz w:val="18"/>
        </w:rPr>
        <w:t xml:space="preserve"> </w:t>
      </w:r>
      <w:r>
        <w:rPr>
          <w:color w:val="231F20"/>
          <w:sz w:val="18"/>
        </w:rPr>
        <w:t>al.</w:t>
      </w:r>
      <w:r>
        <w:rPr>
          <w:color w:val="231F20"/>
          <w:spacing w:val="-3"/>
          <w:sz w:val="18"/>
        </w:rPr>
        <w:t xml:space="preserve"> </w:t>
      </w:r>
      <w:r>
        <w:rPr>
          <w:color w:val="231F20"/>
          <w:sz w:val="18"/>
        </w:rPr>
        <w:t>Centralisation</w:t>
      </w:r>
      <w:r>
        <w:rPr>
          <w:color w:val="231F20"/>
          <w:spacing w:val="-5"/>
          <w:sz w:val="18"/>
        </w:rPr>
        <w:t xml:space="preserve"> </w:t>
      </w:r>
      <w:r>
        <w:rPr>
          <w:color w:val="231F20"/>
          <w:sz w:val="18"/>
        </w:rPr>
        <w:t>of</w:t>
      </w:r>
      <w:r>
        <w:rPr>
          <w:color w:val="231F20"/>
          <w:spacing w:val="-4"/>
          <w:sz w:val="18"/>
        </w:rPr>
        <w:t xml:space="preserve"> </w:t>
      </w:r>
      <w:r>
        <w:rPr>
          <w:color w:val="231F20"/>
          <w:sz w:val="18"/>
        </w:rPr>
        <w:t>services for gynaecological cancers – a Cochrane systematic review. Gynecol Oncol.</w:t>
      </w:r>
      <w:r>
        <w:rPr>
          <w:color w:val="231F20"/>
          <w:spacing w:val="-3"/>
          <w:sz w:val="18"/>
        </w:rPr>
        <w:t xml:space="preserve"> </w:t>
      </w:r>
      <w:r>
        <w:rPr>
          <w:color w:val="231F20"/>
          <w:sz w:val="18"/>
        </w:rPr>
        <w:t>2012</w:t>
      </w:r>
      <w:proofErr w:type="gramStart"/>
      <w:r>
        <w:rPr>
          <w:color w:val="231F20"/>
          <w:sz w:val="18"/>
        </w:rPr>
        <w:t>;126:286</w:t>
      </w:r>
      <w:proofErr w:type="gramEnd"/>
      <w:r>
        <w:rPr>
          <w:color w:val="231F20"/>
          <w:sz w:val="18"/>
        </w:rPr>
        <w:t>-90.</w:t>
      </w:r>
    </w:p>
    <w:p w:rsidR="00966BA7" w:rsidRDefault="00F255A2">
      <w:pPr>
        <w:spacing w:line="232" w:lineRule="auto"/>
        <w:ind w:left="340" w:right="164" w:hanging="227"/>
        <w:jc w:val="both"/>
        <w:rPr>
          <w:sz w:val="18"/>
        </w:rPr>
      </w:pPr>
      <w:r>
        <w:rPr>
          <w:color w:val="231F20"/>
          <w:sz w:val="18"/>
        </w:rPr>
        <w:t>Wy</w:t>
      </w:r>
      <w:r>
        <w:rPr>
          <w:color w:val="231F20"/>
          <w:sz w:val="18"/>
        </w:rPr>
        <w:t xml:space="preserve">nants L, Timmerman D, Bourne T et al. Screening for data clustering in multicenter studies: the residual intraclass correlation. </w:t>
      </w:r>
      <w:proofErr w:type="gramStart"/>
      <w:r>
        <w:rPr>
          <w:color w:val="231F20"/>
          <w:sz w:val="18"/>
        </w:rPr>
        <w:t>BMC Med Res Methodol.</w:t>
      </w:r>
      <w:proofErr w:type="gramEnd"/>
      <w:r>
        <w:rPr>
          <w:color w:val="231F20"/>
          <w:sz w:val="18"/>
        </w:rPr>
        <w:t xml:space="preserve"> 2013</w:t>
      </w:r>
      <w:proofErr w:type="gramStart"/>
      <w:r>
        <w:rPr>
          <w:color w:val="231F20"/>
          <w:sz w:val="18"/>
        </w:rPr>
        <w:t>;13:128</w:t>
      </w:r>
      <w:proofErr w:type="gramEnd"/>
      <w:r>
        <w:rPr>
          <w:color w:val="231F20"/>
          <w:sz w:val="18"/>
        </w:rPr>
        <w:t>.</w:t>
      </w:r>
    </w:p>
    <w:sectPr w:rsidR="00966BA7">
      <w:pgSz w:w="11910" w:h="16840"/>
      <w:pgMar w:top="900" w:right="1020" w:bottom="720" w:left="1020" w:header="0" w:footer="537" w:gutter="0"/>
      <w:cols w:num="2" w:space="720" w:equalWidth="0">
        <w:col w:w="4696" w:space="350"/>
        <w:col w:w="4824"/>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55A2" w:rsidRDefault="00F255A2">
      <w:r>
        <w:separator/>
      </w:r>
    </w:p>
  </w:endnote>
  <w:endnote w:type="continuationSeparator" w:id="0">
    <w:p w:rsidR="00F255A2" w:rsidRDefault="00F255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thic Uralic">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BA7" w:rsidRDefault="00F255A2">
    <w:pPr>
      <w:pStyle w:val="BodyText"/>
      <w:spacing w:line="14" w:lineRule="auto"/>
      <w:rPr>
        <w:sz w:val="20"/>
      </w:rPr>
    </w:pPr>
    <w:r>
      <w:pict>
        <v:rect id="_x0000_s2059" style="position:absolute;margin-left:87.6pt;margin-top:805.05pt;width:.5pt;height:36.85pt;z-index:-16049664;mso-position-horizontal-relative:page;mso-position-vertical-relative:page" fillcolor="#231f20" stroked="f">
          <w10:wrap anchorx="page" anchory="page"/>
        </v:rect>
      </w:pict>
    </w:r>
    <w:r>
      <w:pict>
        <v:shapetype id="_x0000_t202" coordsize="21600,21600" o:spt="202" path="m,l,21600r21600,l21600,xe">
          <v:stroke joinstyle="miter"/>
          <v:path gradientshapeok="t" o:connecttype="rect"/>
        </v:shapetype>
        <v:shape id="_x0000_s2058" type="#_x0000_t202" style="position:absolute;margin-left:56.55pt;margin-top:806.15pt;width:17pt;height:13pt;z-index:-16049152;mso-position-horizontal-relative:page;mso-position-vertical-relative:page" filled="f" stroked="f">
          <v:textbox inset="0,0,0,0">
            <w:txbxContent>
              <w:p w:rsidR="00966BA7" w:rsidRDefault="00F255A2">
                <w:pPr>
                  <w:pStyle w:val="BodyText"/>
                  <w:spacing w:line="233" w:lineRule="exact"/>
                  <w:ind w:left="60"/>
                </w:pPr>
                <w:r>
                  <w:fldChar w:fldCharType="begin"/>
                </w:r>
                <w:r>
                  <w:rPr>
                    <w:color w:val="231F20"/>
                  </w:rPr>
                  <w:instrText xml:space="preserve"> PAGE </w:instrText>
                </w:r>
                <w:r>
                  <w:fldChar w:fldCharType="separate"/>
                </w:r>
                <w:r w:rsidR="00324890">
                  <w:rPr>
                    <w:noProof/>
                    <w:color w:val="231F20"/>
                  </w:rPr>
                  <w:t>36</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BA7" w:rsidRDefault="00F255A2">
    <w:pPr>
      <w:pStyle w:val="BodyText"/>
      <w:spacing w:line="14" w:lineRule="auto"/>
      <w:rPr>
        <w:sz w:val="20"/>
      </w:rPr>
    </w:pPr>
    <w:r>
      <w:pict>
        <v:rect id="_x0000_s2057" style="position:absolute;margin-left:507.15pt;margin-top:805.05pt;width:.5pt;height:36.85pt;z-index:-16048640;mso-position-horizontal-relative:page;mso-position-vertical-relative:page" fillcolor="#231f20" stroked="f">
          <w10:wrap anchorx="page" anchory="page"/>
        </v:rect>
      </w:pict>
    </w:r>
    <w:r>
      <w:pict>
        <v:shapetype id="_x0000_t202" coordsize="21600,21600" o:spt="202" path="m,l,21600r21600,l21600,xe">
          <v:stroke joinstyle="miter"/>
          <v:path gradientshapeok="t" o:connecttype="rect"/>
        </v:shapetype>
        <v:shape id="_x0000_s2056" type="#_x0000_t202" style="position:absolute;margin-left:521.75pt;margin-top:806.15pt;width:17pt;height:13pt;z-index:-16048128;mso-position-horizontal-relative:page;mso-position-vertical-relative:page" filled="f" stroked="f">
          <v:textbox inset="0,0,0,0">
            <w:txbxContent>
              <w:p w:rsidR="00966BA7" w:rsidRDefault="00F255A2">
                <w:pPr>
                  <w:pStyle w:val="BodyText"/>
                  <w:spacing w:line="233" w:lineRule="exact"/>
                  <w:ind w:left="60"/>
                </w:pPr>
                <w:r>
                  <w:fldChar w:fldCharType="begin"/>
                </w:r>
                <w:r>
                  <w:rPr>
                    <w:color w:val="231F20"/>
                  </w:rPr>
                  <w:instrText xml:space="preserve"> PAGE </w:instrText>
                </w:r>
                <w:r>
                  <w:fldChar w:fldCharType="separate"/>
                </w:r>
                <w:r w:rsidR="00324890">
                  <w:rPr>
                    <w:noProof/>
                    <w:color w:val="231F20"/>
                  </w:rPr>
                  <w:t>37</w:t>
                </w:r>
                <w:r>
                  <w:fldChar w:fldCharType="end"/>
                </w:r>
              </w:p>
            </w:txbxContent>
          </v:textbox>
          <w10:wrap anchorx="page" anchory="page"/>
        </v:shape>
      </w:pict>
    </w:r>
    <w:r>
      <w:pict>
        <v:shape id="_x0000_s2055" type="#_x0000_t202" style="position:absolute;margin-left:162.4pt;margin-top:807.65pt;width:331.85pt;height:11pt;z-index:-16047616;mso-position-horizontal-relative:page;mso-position-vertical-relative:page" filled="f" stroked="f">
          <v:textbox inset="0,0,0,0">
            <w:txbxContent>
              <w:p w:rsidR="00966BA7" w:rsidRDefault="00F255A2">
                <w:pPr>
                  <w:spacing w:line="194" w:lineRule="exact"/>
                  <w:ind w:left="20"/>
                  <w:rPr>
                    <w:sz w:val="18"/>
                  </w:rPr>
                </w:pPr>
                <w:proofErr w:type="gramStart"/>
                <w:r>
                  <w:rPr>
                    <w:color w:val="231F20"/>
                    <w:spacing w:val="-1"/>
                    <w:w w:val="162"/>
                    <w:sz w:val="18"/>
                  </w:rPr>
                  <w:t>a</w:t>
                </w:r>
                <w:r>
                  <w:rPr>
                    <w:color w:val="231F20"/>
                    <w:spacing w:val="-1"/>
                    <w:sz w:val="18"/>
                  </w:rPr>
                  <w:t>PP</w:t>
                </w:r>
                <w:r>
                  <w:rPr>
                    <w:color w:val="231F20"/>
                    <w:w w:val="151"/>
                    <w:sz w:val="18"/>
                  </w:rPr>
                  <w:t>lying</w:t>
                </w:r>
                <w:proofErr w:type="gramEnd"/>
                <w:r>
                  <w:rPr>
                    <w:color w:val="231F20"/>
                    <w:sz w:val="18"/>
                  </w:rPr>
                  <w:t xml:space="preserve"> </w:t>
                </w:r>
                <w:r>
                  <w:rPr>
                    <w:color w:val="231F20"/>
                    <w:w w:val="219"/>
                    <w:sz w:val="18"/>
                  </w:rPr>
                  <w:t>t</w:t>
                </w:r>
                <w:r>
                  <w:rPr>
                    <w:color w:val="231F20"/>
                    <w:spacing w:val="-1"/>
                    <w:sz w:val="18"/>
                  </w:rPr>
                  <w:t>H</w:t>
                </w:r>
                <w:r>
                  <w:rPr>
                    <w:color w:val="231F20"/>
                    <w:w w:val="137"/>
                    <w:sz w:val="18"/>
                  </w:rPr>
                  <w:t>e</w:t>
                </w:r>
                <w:r>
                  <w:rPr>
                    <w:color w:val="231F20"/>
                    <w:sz w:val="18"/>
                  </w:rPr>
                  <w:t xml:space="preserve"> </w:t>
                </w:r>
                <w:r>
                  <w:rPr>
                    <w:color w:val="231F20"/>
                    <w:spacing w:val="-1"/>
                    <w:w w:val="147"/>
                    <w:sz w:val="18"/>
                  </w:rPr>
                  <w:t>adne</w:t>
                </w:r>
                <w:r>
                  <w:rPr>
                    <w:color w:val="231F20"/>
                    <w:sz w:val="18"/>
                  </w:rPr>
                  <w:t>X</w:t>
                </w:r>
                <w:r>
                  <w:rPr>
                    <w:color w:val="231F20"/>
                    <w:spacing w:val="-1"/>
                    <w:sz w:val="18"/>
                  </w:rPr>
                  <w:t xml:space="preserve"> </w:t>
                </w:r>
                <w:r>
                  <w:rPr>
                    <w:color w:val="231F20"/>
                    <w:spacing w:val="-1"/>
                    <w:w w:val="142"/>
                    <w:sz w:val="18"/>
                  </w:rPr>
                  <w:t>mode</w:t>
                </w:r>
                <w:r>
                  <w:rPr>
                    <w:color w:val="231F20"/>
                    <w:w w:val="142"/>
                    <w:sz w:val="18"/>
                  </w:rPr>
                  <w:t>l</w:t>
                </w:r>
                <w:r>
                  <w:rPr>
                    <w:color w:val="231F20"/>
                    <w:spacing w:val="-1"/>
                    <w:sz w:val="18"/>
                  </w:rPr>
                  <w:t xml:space="preserve"> F</w:t>
                </w:r>
                <w:r>
                  <w:rPr>
                    <w:color w:val="231F20"/>
                    <w:w w:val="141"/>
                    <w:sz w:val="18"/>
                  </w:rPr>
                  <w:t>rom</w:t>
                </w:r>
                <w:r>
                  <w:rPr>
                    <w:color w:val="231F20"/>
                    <w:sz w:val="18"/>
                  </w:rPr>
                  <w:t xml:space="preserve"> </w:t>
                </w:r>
                <w:r>
                  <w:rPr>
                    <w:color w:val="231F20"/>
                    <w:w w:val="219"/>
                    <w:sz w:val="18"/>
                  </w:rPr>
                  <w:t>t</w:t>
                </w:r>
                <w:r>
                  <w:rPr>
                    <w:color w:val="231F20"/>
                    <w:spacing w:val="-1"/>
                    <w:sz w:val="18"/>
                  </w:rPr>
                  <w:t>H</w:t>
                </w:r>
                <w:r>
                  <w:rPr>
                    <w:color w:val="231F20"/>
                    <w:w w:val="137"/>
                    <w:sz w:val="18"/>
                  </w:rPr>
                  <w:t>e</w:t>
                </w:r>
                <w:r>
                  <w:rPr>
                    <w:color w:val="231F20"/>
                    <w:sz w:val="18"/>
                  </w:rPr>
                  <w:t xml:space="preserve"> </w:t>
                </w:r>
                <w:r>
                  <w:rPr>
                    <w:color w:val="231F20"/>
                    <w:w w:val="159"/>
                    <w:sz w:val="18"/>
                  </w:rPr>
                  <w:t>iota</w:t>
                </w:r>
                <w:r>
                  <w:rPr>
                    <w:color w:val="231F20"/>
                    <w:sz w:val="18"/>
                  </w:rPr>
                  <w:t xml:space="preserve"> </w:t>
                </w:r>
                <w:r>
                  <w:rPr>
                    <w:color w:val="231F20"/>
                    <w:spacing w:val="-1"/>
                    <w:w w:val="154"/>
                    <w:sz w:val="18"/>
                  </w:rPr>
                  <w:t>grou</w:t>
                </w:r>
                <w:r>
                  <w:rPr>
                    <w:color w:val="231F20"/>
                    <w:sz w:val="18"/>
                  </w:rPr>
                  <w:t>P</w:t>
                </w:r>
                <w:r>
                  <w:rPr>
                    <w:color w:val="231F20"/>
                    <w:spacing w:val="-1"/>
                    <w:sz w:val="18"/>
                  </w:rPr>
                  <w:t xml:space="preserve"> </w:t>
                </w:r>
                <w:r>
                  <w:rPr>
                    <w:color w:val="231F20"/>
                    <w:sz w:val="18"/>
                  </w:rPr>
                  <w:t xml:space="preserve">– </w:t>
                </w:r>
                <w:r>
                  <w:rPr>
                    <w:color w:val="231F20"/>
                    <w:spacing w:val="-1"/>
                    <w:sz w:val="18"/>
                  </w:rPr>
                  <w:t>V</w:t>
                </w:r>
                <w:r>
                  <w:rPr>
                    <w:color w:val="231F20"/>
                    <w:spacing w:val="-1"/>
                    <w:w w:val="153"/>
                    <w:sz w:val="18"/>
                  </w:rPr>
                  <w:t>a</w:t>
                </w:r>
                <w:r>
                  <w:rPr>
                    <w:color w:val="231F20"/>
                    <w:w w:val="153"/>
                    <w:sz w:val="18"/>
                  </w:rPr>
                  <w:t>n</w:t>
                </w:r>
                <w:r>
                  <w:rPr>
                    <w:color w:val="231F20"/>
                    <w:spacing w:val="-1"/>
                    <w:sz w:val="18"/>
                  </w:rPr>
                  <w:t xml:space="preserve"> </w:t>
                </w:r>
                <w:r>
                  <w:rPr>
                    <w:color w:val="231F20"/>
                    <w:sz w:val="18"/>
                  </w:rPr>
                  <w:t>C</w:t>
                </w:r>
                <w:r>
                  <w:rPr>
                    <w:color w:val="231F20"/>
                    <w:spacing w:val="-1"/>
                    <w:w w:val="174"/>
                    <w:sz w:val="18"/>
                  </w:rPr>
                  <w:t>alste</w:t>
                </w:r>
                <w:r>
                  <w:rPr>
                    <w:color w:val="231F20"/>
                    <w:w w:val="174"/>
                    <w:sz w:val="18"/>
                  </w:rPr>
                  <w:t>r</w:t>
                </w:r>
                <w:r>
                  <w:rPr>
                    <w:color w:val="231F20"/>
                    <w:sz w:val="18"/>
                  </w:rPr>
                  <w:t xml:space="preserve"> </w:t>
                </w:r>
                <w:r>
                  <w:rPr>
                    <w:color w:val="231F20"/>
                    <w:w w:val="165"/>
                    <w:sz w:val="18"/>
                    <w:vertAlign w:val="subscript"/>
                  </w:rPr>
                  <w:t>et</w:t>
                </w:r>
                <w:r>
                  <w:rPr>
                    <w:color w:val="231F20"/>
                    <w:spacing w:val="-1"/>
                    <w:sz w:val="18"/>
                  </w:rPr>
                  <w:t xml:space="preserve"> </w:t>
                </w:r>
                <w:r>
                  <w:rPr>
                    <w:color w:val="231F20"/>
                    <w:spacing w:val="-1"/>
                    <w:w w:val="180"/>
                    <w:sz w:val="18"/>
                    <w:vertAlign w:val="subscript"/>
                  </w:rPr>
                  <w:t>a</w:t>
                </w:r>
                <w:r>
                  <w:rPr>
                    <w:color w:val="231F20"/>
                    <w:w w:val="180"/>
                    <w:sz w:val="18"/>
                    <w:vertAlign w:val="subscript"/>
                  </w:rPr>
                  <w:t>l</w:t>
                </w:r>
                <w:r>
                  <w:rPr>
                    <w:color w:val="231F20"/>
                    <w:sz w:val="18"/>
                  </w:rPr>
                  <w:t>.</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BA7" w:rsidRDefault="00F255A2">
    <w:pPr>
      <w:pStyle w:val="BodyText"/>
      <w:spacing w:line="14" w:lineRule="auto"/>
      <w:rPr>
        <w:sz w:val="20"/>
      </w:rPr>
    </w:pPr>
    <w:r>
      <w:pict>
        <v:rect id="_x0000_s2054" style="position:absolute;margin-left:87.6pt;margin-top:805.05pt;width:.5pt;height:36.85pt;z-index:-16047104;mso-position-horizontal-relative:page;mso-position-vertical-relative:page" fillcolor="#231f20" stroked="f">
          <w10:wrap anchorx="page" anchory="page"/>
        </v:rect>
      </w:pict>
    </w:r>
    <w:r>
      <w:pict>
        <v:shapetype id="_x0000_t202" coordsize="21600,21600" o:spt="202" path="m,l,21600r21600,l21600,xe">
          <v:stroke joinstyle="miter"/>
          <v:path gradientshapeok="t" o:connecttype="rect"/>
        </v:shapetype>
        <v:shape id="_x0000_s2053" type="#_x0000_t202" style="position:absolute;margin-left:56.55pt;margin-top:806.15pt;width:17pt;height:13pt;z-index:-16046592;mso-position-horizontal-relative:page;mso-position-vertical-relative:page" filled="f" stroked="f">
          <v:textbox inset="0,0,0,0">
            <w:txbxContent>
              <w:p w:rsidR="00966BA7" w:rsidRDefault="00F255A2">
                <w:pPr>
                  <w:pStyle w:val="BodyText"/>
                  <w:spacing w:line="233" w:lineRule="exact"/>
                  <w:ind w:left="60"/>
                </w:pPr>
                <w:r>
                  <w:fldChar w:fldCharType="begin"/>
                </w:r>
                <w:r>
                  <w:rPr>
                    <w:color w:val="231F20"/>
                  </w:rPr>
                  <w:instrText xml:space="preserve"> PAGE </w:instrText>
                </w:r>
                <w:r>
                  <w:fldChar w:fldCharType="separate"/>
                </w:r>
                <w:r w:rsidR="00324890">
                  <w:rPr>
                    <w:noProof/>
                    <w:color w:val="231F20"/>
                  </w:rPr>
                  <w:t>40</w:t>
                </w:r>
                <w:r>
                  <w:fldChar w:fldCharType="end"/>
                </w:r>
              </w:p>
            </w:txbxContent>
          </v:textbox>
          <w10:wrap anchorx="page" anchory="page"/>
        </v:shape>
      </w:pict>
    </w:r>
    <w:r>
      <w:pict>
        <v:shape id="_x0000_s2052" type="#_x0000_t202" style="position:absolute;margin-left:101.05pt;margin-top:807.65pt;width:88.25pt;height:11pt;z-index:-16046080;mso-position-horizontal-relative:page;mso-position-vertical-relative:page" filled="f" stroked="f">
          <v:textbox inset="0,0,0,0">
            <w:txbxContent>
              <w:p w:rsidR="00966BA7" w:rsidRDefault="00F255A2">
                <w:pPr>
                  <w:spacing w:line="194" w:lineRule="exact"/>
                  <w:ind w:left="20"/>
                  <w:rPr>
                    <w:sz w:val="12"/>
                  </w:rPr>
                </w:pPr>
                <w:r>
                  <w:rPr>
                    <w:color w:val="231F20"/>
                    <w:spacing w:val="-1"/>
                    <w:w w:val="135"/>
                    <w:sz w:val="18"/>
                  </w:rPr>
                  <w:t>F</w:t>
                </w:r>
                <w:r>
                  <w:rPr>
                    <w:color w:val="231F20"/>
                    <w:spacing w:val="-1"/>
                    <w:w w:val="135"/>
                    <w:sz w:val="12"/>
                  </w:rPr>
                  <w:t>aCts</w:t>
                </w:r>
                <w:r>
                  <w:rPr>
                    <w:color w:val="231F20"/>
                    <w:spacing w:val="-22"/>
                    <w:w w:val="135"/>
                    <w:sz w:val="12"/>
                  </w:rPr>
                  <w:t xml:space="preserve"> </w:t>
                </w:r>
                <w:r>
                  <w:rPr>
                    <w:color w:val="231F20"/>
                    <w:spacing w:val="-1"/>
                    <w:w w:val="135"/>
                    <w:sz w:val="18"/>
                  </w:rPr>
                  <w:t>V</w:t>
                </w:r>
                <w:r>
                  <w:rPr>
                    <w:color w:val="231F20"/>
                    <w:spacing w:val="-1"/>
                    <w:w w:val="135"/>
                    <w:sz w:val="12"/>
                  </w:rPr>
                  <w:t>ieWs</w:t>
                </w:r>
                <w:r>
                  <w:rPr>
                    <w:color w:val="231F20"/>
                    <w:spacing w:val="-22"/>
                    <w:w w:val="135"/>
                    <w:sz w:val="12"/>
                  </w:rPr>
                  <w:t xml:space="preserve"> </w:t>
                </w:r>
                <w:r>
                  <w:rPr>
                    <w:color w:val="231F20"/>
                    <w:w w:val="135"/>
                    <w:sz w:val="18"/>
                  </w:rPr>
                  <w:t>V</w:t>
                </w:r>
                <w:r>
                  <w:rPr>
                    <w:color w:val="231F20"/>
                    <w:w w:val="135"/>
                    <w:sz w:val="12"/>
                  </w:rPr>
                  <w:t>is</w:t>
                </w:r>
                <w:r>
                  <w:rPr>
                    <w:color w:val="231F20"/>
                    <w:spacing w:val="-22"/>
                    <w:w w:val="135"/>
                    <w:sz w:val="12"/>
                  </w:rPr>
                  <w:t xml:space="preserve"> </w:t>
                </w:r>
                <w:r>
                  <w:rPr>
                    <w:color w:val="231F20"/>
                    <w:w w:val="135"/>
                    <w:sz w:val="18"/>
                  </w:rPr>
                  <w:t>o</w:t>
                </w:r>
                <w:r>
                  <w:rPr>
                    <w:color w:val="231F20"/>
                    <w:w w:val="135"/>
                    <w:sz w:val="12"/>
                  </w:rPr>
                  <w:t>Bgyn</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6BA7" w:rsidRDefault="00F255A2">
    <w:pPr>
      <w:pStyle w:val="BodyText"/>
      <w:spacing w:line="14" w:lineRule="auto"/>
      <w:rPr>
        <w:sz w:val="20"/>
      </w:rPr>
    </w:pPr>
    <w:r>
      <w:pict>
        <v:rect id="_x0000_s2051" style="position:absolute;margin-left:507.15pt;margin-top:805.05pt;width:.5pt;height:36.85pt;z-index:-16045568;mso-position-horizontal-relative:page;mso-position-vertical-relative:page" fillcolor="#231f20" stroked="f">
          <w10:wrap anchorx="page" anchory="page"/>
        </v:rect>
      </w:pict>
    </w:r>
    <w:r>
      <w:pict>
        <v:shapetype id="_x0000_t202" coordsize="21600,21600" o:spt="202" path="m,l,21600r21600,l21600,xe">
          <v:stroke joinstyle="miter"/>
          <v:path gradientshapeok="t" o:connecttype="rect"/>
        </v:shapetype>
        <v:shape id="_x0000_s2050" type="#_x0000_t202" style="position:absolute;margin-left:521.75pt;margin-top:806.15pt;width:17pt;height:13pt;z-index:-16045056;mso-position-horizontal-relative:page;mso-position-vertical-relative:page" filled="f" stroked="f">
          <v:textbox inset="0,0,0,0">
            <w:txbxContent>
              <w:p w:rsidR="00966BA7" w:rsidRDefault="00F255A2">
                <w:pPr>
                  <w:pStyle w:val="BodyText"/>
                  <w:spacing w:line="233" w:lineRule="exact"/>
                  <w:ind w:left="60"/>
                </w:pPr>
                <w:r>
                  <w:fldChar w:fldCharType="begin"/>
                </w:r>
                <w:r>
                  <w:rPr>
                    <w:color w:val="231F20"/>
                  </w:rPr>
                  <w:instrText xml:space="preserve"> PAGE </w:instrText>
                </w:r>
                <w:r>
                  <w:fldChar w:fldCharType="separate"/>
                </w:r>
                <w:r w:rsidR="00324890">
                  <w:rPr>
                    <w:noProof/>
                    <w:color w:val="231F20"/>
                  </w:rPr>
                  <w:t>41</w:t>
                </w:r>
                <w:r>
                  <w:fldChar w:fldCharType="end"/>
                </w:r>
              </w:p>
            </w:txbxContent>
          </v:textbox>
          <w10:wrap anchorx="page" anchory="page"/>
        </v:shape>
      </w:pict>
    </w:r>
    <w:r>
      <w:pict>
        <v:shape id="_x0000_s2049" type="#_x0000_t202" style="position:absolute;margin-left:162.4pt;margin-top:807.65pt;width:331.85pt;height:11pt;z-index:-16044544;mso-position-horizontal-relative:page;mso-position-vertical-relative:page" filled="f" stroked="f">
          <v:textbox inset="0,0,0,0">
            <w:txbxContent>
              <w:p w:rsidR="00966BA7" w:rsidRDefault="00F255A2">
                <w:pPr>
                  <w:spacing w:line="194" w:lineRule="exact"/>
                  <w:ind w:left="20"/>
                  <w:rPr>
                    <w:sz w:val="18"/>
                  </w:rPr>
                </w:pPr>
                <w:proofErr w:type="gramStart"/>
                <w:r>
                  <w:rPr>
                    <w:color w:val="231F20"/>
                    <w:spacing w:val="-1"/>
                    <w:w w:val="162"/>
                    <w:sz w:val="18"/>
                  </w:rPr>
                  <w:t>a</w:t>
                </w:r>
                <w:r>
                  <w:rPr>
                    <w:color w:val="231F20"/>
                    <w:spacing w:val="-1"/>
                    <w:sz w:val="18"/>
                  </w:rPr>
                  <w:t>PP</w:t>
                </w:r>
                <w:r>
                  <w:rPr>
                    <w:color w:val="231F20"/>
                    <w:w w:val="151"/>
                    <w:sz w:val="18"/>
                  </w:rPr>
                  <w:t>lying</w:t>
                </w:r>
                <w:proofErr w:type="gramEnd"/>
                <w:r>
                  <w:rPr>
                    <w:color w:val="231F20"/>
                    <w:sz w:val="18"/>
                  </w:rPr>
                  <w:t xml:space="preserve"> </w:t>
                </w:r>
                <w:r>
                  <w:rPr>
                    <w:color w:val="231F20"/>
                    <w:w w:val="219"/>
                    <w:sz w:val="18"/>
                  </w:rPr>
                  <w:t>t</w:t>
                </w:r>
                <w:r>
                  <w:rPr>
                    <w:color w:val="231F20"/>
                    <w:spacing w:val="-1"/>
                    <w:sz w:val="18"/>
                  </w:rPr>
                  <w:t>H</w:t>
                </w:r>
                <w:r>
                  <w:rPr>
                    <w:color w:val="231F20"/>
                    <w:w w:val="137"/>
                    <w:sz w:val="18"/>
                  </w:rPr>
                  <w:t>e</w:t>
                </w:r>
                <w:r>
                  <w:rPr>
                    <w:color w:val="231F20"/>
                    <w:sz w:val="18"/>
                  </w:rPr>
                  <w:t xml:space="preserve"> </w:t>
                </w:r>
                <w:r>
                  <w:rPr>
                    <w:color w:val="231F20"/>
                    <w:spacing w:val="-1"/>
                    <w:w w:val="147"/>
                    <w:sz w:val="18"/>
                  </w:rPr>
                  <w:t>adne</w:t>
                </w:r>
                <w:r>
                  <w:rPr>
                    <w:color w:val="231F20"/>
                    <w:sz w:val="18"/>
                  </w:rPr>
                  <w:t>X</w:t>
                </w:r>
                <w:r>
                  <w:rPr>
                    <w:color w:val="231F20"/>
                    <w:spacing w:val="-1"/>
                    <w:sz w:val="18"/>
                  </w:rPr>
                  <w:t xml:space="preserve"> </w:t>
                </w:r>
                <w:r>
                  <w:rPr>
                    <w:color w:val="231F20"/>
                    <w:spacing w:val="-1"/>
                    <w:w w:val="142"/>
                    <w:sz w:val="18"/>
                  </w:rPr>
                  <w:t>mode</w:t>
                </w:r>
                <w:r>
                  <w:rPr>
                    <w:color w:val="231F20"/>
                    <w:w w:val="142"/>
                    <w:sz w:val="18"/>
                  </w:rPr>
                  <w:t>l</w:t>
                </w:r>
                <w:r>
                  <w:rPr>
                    <w:color w:val="231F20"/>
                    <w:spacing w:val="-1"/>
                    <w:sz w:val="18"/>
                  </w:rPr>
                  <w:t xml:space="preserve"> F</w:t>
                </w:r>
                <w:r>
                  <w:rPr>
                    <w:color w:val="231F20"/>
                    <w:w w:val="141"/>
                    <w:sz w:val="18"/>
                  </w:rPr>
                  <w:t>rom</w:t>
                </w:r>
                <w:r>
                  <w:rPr>
                    <w:color w:val="231F20"/>
                    <w:sz w:val="18"/>
                  </w:rPr>
                  <w:t xml:space="preserve"> </w:t>
                </w:r>
                <w:r>
                  <w:rPr>
                    <w:color w:val="231F20"/>
                    <w:w w:val="219"/>
                    <w:sz w:val="18"/>
                  </w:rPr>
                  <w:t>t</w:t>
                </w:r>
                <w:r>
                  <w:rPr>
                    <w:color w:val="231F20"/>
                    <w:spacing w:val="-1"/>
                    <w:sz w:val="18"/>
                  </w:rPr>
                  <w:t>H</w:t>
                </w:r>
                <w:r>
                  <w:rPr>
                    <w:color w:val="231F20"/>
                    <w:w w:val="137"/>
                    <w:sz w:val="18"/>
                  </w:rPr>
                  <w:t>e</w:t>
                </w:r>
                <w:r>
                  <w:rPr>
                    <w:color w:val="231F20"/>
                    <w:sz w:val="18"/>
                  </w:rPr>
                  <w:t xml:space="preserve"> </w:t>
                </w:r>
                <w:r>
                  <w:rPr>
                    <w:color w:val="231F20"/>
                    <w:w w:val="159"/>
                    <w:sz w:val="18"/>
                  </w:rPr>
                  <w:t>iota</w:t>
                </w:r>
                <w:r>
                  <w:rPr>
                    <w:color w:val="231F20"/>
                    <w:sz w:val="18"/>
                  </w:rPr>
                  <w:t xml:space="preserve"> </w:t>
                </w:r>
                <w:r>
                  <w:rPr>
                    <w:color w:val="231F20"/>
                    <w:spacing w:val="-1"/>
                    <w:w w:val="154"/>
                    <w:sz w:val="18"/>
                  </w:rPr>
                  <w:t>grou</w:t>
                </w:r>
                <w:r>
                  <w:rPr>
                    <w:color w:val="231F20"/>
                    <w:sz w:val="18"/>
                  </w:rPr>
                  <w:t>P</w:t>
                </w:r>
                <w:r>
                  <w:rPr>
                    <w:color w:val="231F20"/>
                    <w:spacing w:val="-1"/>
                    <w:sz w:val="18"/>
                  </w:rPr>
                  <w:t xml:space="preserve"> </w:t>
                </w:r>
                <w:r>
                  <w:rPr>
                    <w:color w:val="231F20"/>
                    <w:sz w:val="18"/>
                  </w:rPr>
                  <w:t xml:space="preserve">– </w:t>
                </w:r>
                <w:r>
                  <w:rPr>
                    <w:color w:val="231F20"/>
                    <w:spacing w:val="-1"/>
                    <w:sz w:val="18"/>
                  </w:rPr>
                  <w:t>V</w:t>
                </w:r>
                <w:r>
                  <w:rPr>
                    <w:color w:val="231F20"/>
                    <w:spacing w:val="-1"/>
                    <w:w w:val="153"/>
                    <w:sz w:val="18"/>
                  </w:rPr>
                  <w:t>a</w:t>
                </w:r>
                <w:r>
                  <w:rPr>
                    <w:color w:val="231F20"/>
                    <w:w w:val="153"/>
                    <w:sz w:val="18"/>
                  </w:rPr>
                  <w:t>n</w:t>
                </w:r>
                <w:r>
                  <w:rPr>
                    <w:color w:val="231F20"/>
                    <w:spacing w:val="-1"/>
                    <w:sz w:val="18"/>
                  </w:rPr>
                  <w:t xml:space="preserve"> </w:t>
                </w:r>
                <w:r>
                  <w:rPr>
                    <w:color w:val="231F20"/>
                    <w:sz w:val="18"/>
                  </w:rPr>
                  <w:t>C</w:t>
                </w:r>
                <w:r>
                  <w:rPr>
                    <w:color w:val="231F20"/>
                    <w:spacing w:val="-1"/>
                    <w:w w:val="174"/>
                    <w:sz w:val="18"/>
                  </w:rPr>
                  <w:t>alste</w:t>
                </w:r>
                <w:r>
                  <w:rPr>
                    <w:color w:val="231F20"/>
                    <w:w w:val="174"/>
                    <w:sz w:val="18"/>
                  </w:rPr>
                  <w:t>r</w:t>
                </w:r>
                <w:r>
                  <w:rPr>
                    <w:color w:val="231F20"/>
                    <w:sz w:val="18"/>
                  </w:rPr>
                  <w:t xml:space="preserve"> </w:t>
                </w:r>
                <w:r>
                  <w:rPr>
                    <w:color w:val="231F20"/>
                    <w:w w:val="165"/>
                    <w:sz w:val="18"/>
                    <w:vertAlign w:val="subscript"/>
                  </w:rPr>
                  <w:t>et</w:t>
                </w:r>
                <w:r>
                  <w:rPr>
                    <w:color w:val="231F20"/>
                    <w:spacing w:val="-1"/>
                    <w:sz w:val="18"/>
                  </w:rPr>
                  <w:t xml:space="preserve"> </w:t>
                </w:r>
                <w:r>
                  <w:rPr>
                    <w:color w:val="231F20"/>
                    <w:spacing w:val="-1"/>
                    <w:w w:val="180"/>
                    <w:sz w:val="18"/>
                    <w:vertAlign w:val="subscript"/>
                  </w:rPr>
                  <w:t>a</w:t>
                </w:r>
                <w:r>
                  <w:rPr>
                    <w:color w:val="231F20"/>
                    <w:w w:val="180"/>
                    <w:sz w:val="18"/>
                    <w:vertAlign w:val="subscript"/>
                  </w:rPr>
                  <w:t>l</w:t>
                </w:r>
                <w:r>
                  <w:rPr>
                    <w:color w:val="231F20"/>
                    <w:sz w:val="18"/>
                  </w:rPr>
                  <w:t>.</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55A2" w:rsidRDefault="00F255A2">
      <w:r>
        <w:separator/>
      </w:r>
    </w:p>
  </w:footnote>
  <w:footnote w:type="continuationSeparator" w:id="0">
    <w:p w:rsidR="00F255A2" w:rsidRDefault="00F255A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evenAndOddHeaders/>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966BA7"/>
    <w:rsid w:val="00324890"/>
    <w:rsid w:val="00966BA7"/>
    <w:rsid w:val="00F25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7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275"/>
      <w:ind w:left="170" w:right="117"/>
      <w:jc w:val="both"/>
    </w:pPr>
    <w:rPr>
      <w:rFonts w:ascii="Gothic Uralic" w:eastAsia="Gothic Uralic" w:hAnsi="Gothic Uralic" w:cs="Gothic Uralic"/>
      <w:b/>
      <w:bCs/>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8"/>
      <w:jc w:val="center"/>
    </w:pPr>
  </w:style>
  <w:style w:type="paragraph" w:styleId="BalloonText">
    <w:name w:val="Balloon Text"/>
    <w:basedOn w:val="Normal"/>
    <w:link w:val="BalloonTextChar"/>
    <w:uiPriority w:val="99"/>
    <w:semiHidden/>
    <w:unhideWhenUsed/>
    <w:rsid w:val="00324890"/>
    <w:rPr>
      <w:rFonts w:ascii="Tahoma" w:hAnsi="Tahoma" w:cs="Tahoma"/>
      <w:sz w:val="16"/>
      <w:szCs w:val="16"/>
    </w:rPr>
  </w:style>
  <w:style w:type="character" w:customStyle="1" w:styleId="BalloonTextChar">
    <w:name w:val="Balloon Text Char"/>
    <w:basedOn w:val="DefaultParagraphFont"/>
    <w:link w:val="BalloonText"/>
    <w:uiPriority w:val="99"/>
    <w:semiHidden/>
    <w:rsid w:val="00324890"/>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en.vancalster@med.kuleuven.be" TargetMode="External"/><Relationship Id="rId12" Type="http://schemas.openxmlformats.org/officeDocument/2006/relationships/footer" Target="footer4.xml"/><Relationship Id="rId17" Type="http://schemas.openxmlformats.org/officeDocument/2006/relationships/image" Target="media/image5.jpeg"/><Relationship Id="rId2" Type="http://schemas.microsoft.com/office/2007/relationships/stylesWithEffects" Target="stylesWithEffects.xml"/><Relationship Id="rId16" Type="http://schemas.openxmlformats.org/officeDocument/2006/relationships/image" Target="media/image4.jpe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jpeg"/><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www.iotagrou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10066</Words>
  <Characters>57382</Characters>
  <Application>Microsoft Office Word</Application>
  <DocSecurity>0</DocSecurity>
  <Lines>478</Lines>
  <Paragraphs>134</Paragraphs>
  <ScaleCrop>false</ScaleCrop>
  <Company/>
  <LinksUpToDate>false</LinksUpToDate>
  <CharactersWithSpaces>67314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2</cp:revision>
  <dcterms:created xsi:type="dcterms:W3CDTF">2020-04-13T07:57:00Z</dcterms:created>
  <dcterms:modified xsi:type="dcterms:W3CDTF">2020-04-13T08:08:00Z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2015-04-09T00:00:00Z</vt:filetime>
  </property>
  <property fmtid="{D5CDD505-2E9C-101B-9397-08002B2CF9AE}" pid="3" name="Creator">
    <vt:lpwstr>Adobe InDesign CS6 (Macintosh)</vt:lpwstr>
  </property>
  <property fmtid="{D5CDD505-2E9C-101B-9397-08002B2CF9AE}" pid="4" name="LastSaved">
    <vt:filetime>2020-04-13T00:00:00Z</vt:filetime>
  </property>
</Properties>
</file>