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Case 1: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BN nam, 49 tuổi, NV vì bầm mông trái, bệnh 1 ngày: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Bệnh sử: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BN thấy đỏ, sung, đau vùng mông trái và đùi trái nên đi khám ở bệnh viện Cần Thơ, được chẩn đoán rối loạn đông máu không rõ nguyên nhân – huyết khối tĩnh mạch chân trái – tụ máu cơ thắt lưng chậu trái, đùi trái, mông trái. BN được truyền 3 đơn vị hồng cầu lắng, 8 đơn vị huyết tương tươi, sau đó được chuyển lên bệnh viện Chợ Rẫy.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Trong quá trình bệnh, BN không té, không sốt, không đau bụng, tiểu vàng trong, tiêu phân vàng đóng khuôn.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Tiền căn: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BN không dùng thuốc trước đó (thuốc kháng đông, thuốc thang)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Không ghi nhận bệnh lí THA, bệnh van tim, bệnh ĐTĐ, bệnh thận mạn.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Khám: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BN tỉnh, tiếp xúc tốt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Sinh hiệu ổn: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M 96 l/p</w:t>
            <w:tab/>
            <w:t xml:space="preserve">HA 120/80 mmHg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NT 20 l/p</w:t>
            <w:tab/>
            <w:t xml:space="preserve">NĐ 37oC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Không sốt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Da niêm hồng nhạt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Tim đều, rõ, không âm thổi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Phổi không ran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Bụng mềm, gan lách không sờ chạm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Xuất huyết cơ mông trái và đùi trái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Chẩn đoán: xuất huyết cơ mông trái, đùi trái - theo dõi rối loạn đông máu do thiểu vitamin K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CLS: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CTM: Hb 66 g/L,</w:t>
            <w:tab/>
            <w:tab/>
            <w:t xml:space="preserve">MCV 77.8 fL, </w:t>
            <w:tab/>
            <w:tab/>
            <w:t xml:space="preserve">MCH 24.6 pg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TC 106 k/uL</w:t>
            <w:tab/>
            <w:t xml:space="preserve">WBC/Neu 12.1/9.7 G/L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ĐM: PT 35.5s,  INR 3.41, Fibrinogen 2.83 g/l, aPTT 45s, aPTT(R) 1.47, aPTT hỗn hợp 44.2s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Định lượng yếu tố đông máu: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 51.2%, </w:t>
            <w:tab/>
            <w:t xml:space="preserve">VII 0.1%,</w:t>
            <w:tab/>
            <w:t xml:space="preserve"> VIII 280%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CTscan: sung nề tụ dịch cơ mông nhỡ, cơ hình lê. Thâm nhiễm mô mềm vùng mông trái. Chưa thấy bất thường các cơ quan khác.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SA tĩnh mạch 2 chi dưới bình thường, không thấy huyết khối.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11.37795275590747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EgSGMML/9FmjkkAIj0EU9+axgQ==">AMUW2mWjUUxE83cGsZm6ST527R1vL1jRbe/KQwzvJY2NDW4KtYhjQxOzdRzxPtIshKDuH5zm+eJwm26n2lue958GVwTt2xX+y7rpwpLRTRjQ5yWebfz0dHhxxXzwFDOI/+lEvJvxcW4lrgRFhJW9FlAKNyG2aCRYbA==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2019-06-16T06:58:00Z</dcterms:created>
  <dc:creator>ASUS</dc:creator>
</cp:coreProperties>
</file>