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3DA" w:rsidRDefault="00F003DA" w:rsidP="00F003DA">
      <w:pPr>
        <w:pStyle w:val="Title"/>
      </w:pPr>
      <w:bookmarkStart w:id="0" w:name="_GoBack"/>
      <w:bookmarkEnd w:id="0"/>
      <w:r>
        <w:t>VIÊM TÚI THỪA</w:t>
      </w:r>
    </w:p>
    <w:p w:rsidR="00EC32DD" w:rsidRDefault="00040088" w:rsidP="00EC32DD">
      <w:pPr>
        <w:pStyle w:val="Heading1"/>
        <w:numPr>
          <w:ilvl w:val="0"/>
          <w:numId w:val="3"/>
        </w:numPr>
      </w:pPr>
      <w:r>
        <w:t>CHẨN ĐOÁN</w:t>
      </w:r>
    </w:p>
    <w:p w:rsidR="00EC32DD" w:rsidRDefault="00EC32DD" w:rsidP="00EC32DD">
      <w:r>
        <w:t xml:space="preserve">Chẩn đoán: khi có những biểu hiện sau thì nghi viêm túi thừa hơn là viêm ruột thừa. 2 biểu hiện quan trọng là </w:t>
      </w:r>
      <w:r w:rsidRPr="009814CC">
        <w:rPr>
          <w:color w:val="FF0000"/>
        </w:rPr>
        <w:t>không có đau di chuyể</w:t>
      </w:r>
      <w:r w:rsidR="009814CC">
        <w:rPr>
          <w:color w:val="FF0000"/>
        </w:rPr>
        <w:t>n,</w:t>
      </w:r>
      <w:r w:rsidRPr="009814CC">
        <w:rPr>
          <w:color w:val="FF0000"/>
        </w:rPr>
        <w:t xml:space="preserve"> bạch cầu &lt; 10K</w:t>
      </w:r>
    </w:p>
    <w:p w:rsidR="009814CC" w:rsidRDefault="009814CC" w:rsidP="00EC32DD">
      <w:pPr>
        <w:pStyle w:val="ListParagraph"/>
        <w:numPr>
          <w:ilvl w:val="0"/>
          <w:numId w:val="2"/>
        </w:numPr>
      </w:pPr>
      <w:r>
        <w:t>Bệnh sử</w:t>
      </w:r>
    </w:p>
    <w:p w:rsidR="00EC32DD" w:rsidRDefault="009814CC" w:rsidP="009814CC">
      <w:pPr>
        <w:pStyle w:val="ListParagraph"/>
        <w:numPr>
          <w:ilvl w:val="1"/>
          <w:numId w:val="2"/>
        </w:numPr>
        <w:ind w:left="1080"/>
      </w:pPr>
      <w:r>
        <w:t xml:space="preserve">Vị trí đau: </w:t>
      </w:r>
      <w:r w:rsidR="00EC32DD">
        <w:t>bên trên và ra ngoài hơn so với vị trí đau của viêm ruột thừa, đau bắt đầu từ ¼ dưới phải (không có đau di chuyển)</w:t>
      </w:r>
    </w:p>
    <w:p w:rsidR="009814CC" w:rsidRDefault="009814CC" w:rsidP="009814CC">
      <w:pPr>
        <w:pStyle w:val="ListParagraph"/>
        <w:numPr>
          <w:ilvl w:val="1"/>
          <w:numId w:val="2"/>
        </w:numPr>
        <w:ind w:left="1080"/>
      </w:pPr>
      <w:r>
        <w:t>Thời gian đau: kéo dài hơn (có thể &gt;7 ngày) VRT</w:t>
      </w:r>
    </w:p>
    <w:p w:rsidR="00EC32DD" w:rsidRDefault="009814CC" w:rsidP="009814CC">
      <w:pPr>
        <w:pStyle w:val="ListParagraph"/>
        <w:numPr>
          <w:ilvl w:val="1"/>
          <w:numId w:val="2"/>
        </w:numPr>
        <w:ind w:left="1080"/>
      </w:pPr>
      <w:r>
        <w:t>Í</w:t>
      </w:r>
      <w:r w:rsidR="00EC32DD">
        <w:t>t nôn/buồn nôn hơn, có tiêu chảy/táo bón</w:t>
      </w:r>
    </w:p>
    <w:p w:rsidR="00EC32DD" w:rsidRDefault="009814CC" w:rsidP="00EC32DD">
      <w:pPr>
        <w:pStyle w:val="ListParagraph"/>
        <w:numPr>
          <w:ilvl w:val="0"/>
          <w:numId w:val="2"/>
        </w:numPr>
      </w:pPr>
      <w:r>
        <w:t>T</w:t>
      </w:r>
      <w:r w:rsidR="00EC32DD">
        <w:t xml:space="preserve">iền căn đau bụng tương tự hay tiền căn viêm túi thừa </w:t>
      </w:r>
    </w:p>
    <w:p w:rsidR="009814CC" w:rsidRDefault="009814CC" w:rsidP="009814CC">
      <w:pPr>
        <w:pStyle w:val="ListParagraph"/>
        <w:numPr>
          <w:ilvl w:val="0"/>
          <w:numId w:val="2"/>
        </w:numPr>
      </w:pPr>
      <w:r>
        <w:t>ít đáp ứng viêm hệ thống hơn (bạch cầu &lt; 10K)</w:t>
      </w:r>
    </w:p>
    <w:p w:rsidR="009303C0" w:rsidRDefault="00EC32DD" w:rsidP="00EC32DD">
      <w:r>
        <w:t xml:space="preserve">Chẩn đoán dựa vào CT. CT scan có độ nhạy và độ đặc hiệu chẩn đoán viêm túi thừa khoảng 80-90%. Dấu hiệu: </w:t>
      </w:r>
    </w:p>
    <w:p w:rsidR="009303C0" w:rsidRDefault="009303C0" w:rsidP="009303C0">
      <w:pPr>
        <w:pStyle w:val="ListParagraph"/>
        <w:numPr>
          <w:ilvl w:val="0"/>
          <w:numId w:val="6"/>
        </w:numPr>
        <w:spacing w:after="0" w:line="240" w:lineRule="auto"/>
      </w:pPr>
      <w:r>
        <w:t>D</w:t>
      </w:r>
      <w:r w:rsidR="00EC32DD">
        <w:t>ày thành đại tràng (&gt;5mm), thâm nhiễm mỡ quanh đại tràng, abces cạnh đại tràng</w:t>
      </w:r>
    </w:p>
    <w:p w:rsidR="009814CC" w:rsidRDefault="009303C0" w:rsidP="009303C0">
      <w:pPr>
        <w:pStyle w:val="ListParagraph"/>
        <w:numPr>
          <w:ilvl w:val="0"/>
          <w:numId w:val="6"/>
        </w:numPr>
        <w:spacing w:after="0" w:line="240" w:lineRule="auto"/>
      </w:pPr>
      <w:r>
        <w:t>K</w:t>
      </w:r>
      <w:r w:rsidR="00EC32DD">
        <w:t xml:space="preserve">hí trong thành ruột và ngoài ruột, đường dò (sinus tract). </w:t>
      </w:r>
    </w:p>
    <w:p w:rsidR="00EC32DD" w:rsidRDefault="00EC32DD" w:rsidP="00EC32DD">
      <w:r>
        <w:t xml:space="preserve">Tuy nhiên </w:t>
      </w:r>
      <w:r w:rsidRPr="009814CC">
        <w:rPr>
          <w:color w:val="FF0000"/>
        </w:rPr>
        <w:t>CT khó phân biệt chắc chắn viêm túi thừa với K đại tràng</w:t>
      </w:r>
      <w:r>
        <w:t>.</w:t>
      </w:r>
    </w:p>
    <w:p w:rsidR="00EC32DD" w:rsidRPr="00EC32DD" w:rsidRDefault="00EC32DD" w:rsidP="00EC32DD">
      <w:r>
        <w:t xml:space="preserve">Do chẩn đoán viêm túi thừa là chẩn đoán trên lâm sàng, và trong giai đoạn cấp ko thể làm nội soi đại tràng được (chống chỉ định nội soi đại tràng và chụp cản quang bằng barium khi đang vào đợt cấp vì nguy cơ thủng) nên không thể phân biệt chắc chắn với K đại tràng, viêm đại tràng, nên sau khi điều trị đợt cấp ổn </w:t>
      </w:r>
      <w:r w:rsidRPr="009303C0">
        <w:rPr>
          <w:color w:val="FF0000"/>
        </w:rPr>
        <w:t>6-8 tuần</w:t>
      </w:r>
      <w:r>
        <w:t xml:space="preserve">: cho nội soi đại tràng kiểm tra. </w:t>
      </w:r>
    </w:p>
    <w:p w:rsidR="00323574" w:rsidRPr="00105C2F" w:rsidRDefault="00323574" w:rsidP="00105C2F">
      <w:pPr>
        <w:pStyle w:val="Heading1"/>
        <w:numPr>
          <w:ilvl w:val="0"/>
          <w:numId w:val="8"/>
        </w:numPr>
      </w:pPr>
      <w:r>
        <w:t xml:space="preserve">Phân độ </w:t>
      </w:r>
      <w:r w:rsidR="00040088">
        <w:t>HINCHEY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
        <w:gridCol w:w="3049"/>
        <w:gridCol w:w="419"/>
        <w:gridCol w:w="4970"/>
      </w:tblGrid>
      <w:tr w:rsidR="009303C0" w:rsidRPr="00DB2B32" w:rsidTr="00DB2B32">
        <w:trPr>
          <w:trHeight w:val="266"/>
          <w:tblHeader/>
        </w:trPr>
        <w:tc>
          <w:tcPr>
            <w:tcW w:w="3422" w:type="dxa"/>
            <w:gridSpan w:val="2"/>
            <w:shd w:val="clear" w:color="auto" w:fill="BDD6EE" w:themeFill="accent1" w:themeFillTint="66"/>
            <w:tcMar>
              <w:top w:w="48" w:type="dxa"/>
              <w:left w:w="96" w:type="dxa"/>
              <w:bottom w:w="48" w:type="dxa"/>
              <w:right w:w="96" w:type="dxa"/>
            </w:tcMar>
            <w:hideMark/>
          </w:tcPr>
          <w:p w:rsidR="00323574" w:rsidRPr="00DB2B32" w:rsidRDefault="00323574" w:rsidP="00E55B81">
            <w:pPr>
              <w:spacing w:after="0" w:line="240" w:lineRule="auto"/>
              <w:jc w:val="center"/>
              <w:rPr>
                <w:rFonts w:eastAsia="Times New Roman" w:cs="Times New Roman"/>
                <w:b/>
                <w:bCs/>
              </w:rPr>
            </w:pPr>
            <w:r w:rsidRPr="00DB2B32">
              <w:rPr>
                <w:rFonts w:eastAsia="Times New Roman" w:cs="Times New Roman"/>
                <w:b/>
                <w:bCs/>
              </w:rPr>
              <w:t>Hinchey classification</w:t>
            </w:r>
          </w:p>
        </w:tc>
        <w:tc>
          <w:tcPr>
            <w:tcW w:w="5389" w:type="dxa"/>
            <w:gridSpan w:val="2"/>
            <w:shd w:val="clear" w:color="auto" w:fill="BDD6EE" w:themeFill="accent1" w:themeFillTint="66"/>
            <w:tcMar>
              <w:top w:w="48" w:type="dxa"/>
              <w:left w:w="96" w:type="dxa"/>
              <w:bottom w:w="48" w:type="dxa"/>
              <w:right w:w="96" w:type="dxa"/>
            </w:tcMar>
            <w:hideMark/>
          </w:tcPr>
          <w:p w:rsidR="00323574" w:rsidRPr="00DB2B32" w:rsidRDefault="00323574" w:rsidP="00E55B81">
            <w:pPr>
              <w:spacing w:after="0" w:line="240" w:lineRule="auto"/>
              <w:jc w:val="center"/>
              <w:rPr>
                <w:rFonts w:eastAsia="Times New Roman" w:cs="Times New Roman"/>
                <w:b/>
                <w:bCs/>
              </w:rPr>
            </w:pPr>
            <w:r w:rsidRPr="00DB2B32">
              <w:rPr>
                <w:rFonts w:eastAsia="Times New Roman" w:cs="Times New Roman"/>
                <w:b/>
                <w:bCs/>
              </w:rPr>
              <w:t xml:space="preserve">Modified Hinchey classification by Sher et al. </w:t>
            </w:r>
          </w:p>
        </w:tc>
      </w:tr>
      <w:tr w:rsidR="009303C0" w:rsidRPr="00DB2B32" w:rsidTr="00DB2B32">
        <w:tc>
          <w:tcPr>
            <w:tcW w:w="0" w:type="auto"/>
            <w:tcMar>
              <w:top w:w="48" w:type="dxa"/>
              <w:left w:w="96" w:type="dxa"/>
              <w:bottom w:w="48" w:type="dxa"/>
              <w:right w:w="96" w:type="dxa"/>
            </w:tcMar>
            <w:hideMark/>
          </w:tcPr>
          <w:p w:rsidR="00323574" w:rsidRPr="00DB2B32" w:rsidRDefault="00323574" w:rsidP="00E55B81">
            <w:pPr>
              <w:spacing w:after="0" w:line="240" w:lineRule="auto"/>
              <w:rPr>
                <w:rFonts w:eastAsia="Times New Roman" w:cs="Times New Roman"/>
              </w:rPr>
            </w:pPr>
            <w:r w:rsidRPr="00DB2B32">
              <w:rPr>
                <w:rFonts w:eastAsia="Times New Roman" w:cs="Times New Roman"/>
              </w:rPr>
              <w:t>I</w:t>
            </w:r>
          </w:p>
        </w:tc>
        <w:tc>
          <w:tcPr>
            <w:tcW w:w="3049" w:type="dxa"/>
            <w:tcMar>
              <w:top w:w="48" w:type="dxa"/>
              <w:left w:w="96" w:type="dxa"/>
              <w:bottom w:w="48" w:type="dxa"/>
              <w:right w:w="96" w:type="dxa"/>
            </w:tcMar>
            <w:hideMark/>
          </w:tcPr>
          <w:p w:rsidR="00323574" w:rsidRPr="00DB2B32" w:rsidRDefault="009303C0" w:rsidP="00E55B81">
            <w:pPr>
              <w:spacing w:after="0" w:line="240" w:lineRule="auto"/>
              <w:rPr>
                <w:rFonts w:eastAsia="Times New Roman" w:cs="Times New Roman"/>
              </w:rPr>
            </w:pPr>
            <w:r w:rsidRPr="00DB2B32">
              <w:rPr>
                <w:rFonts w:eastAsia="Times New Roman" w:cs="Times New Roman"/>
              </w:rPr>
              <w:t>Áp xe, đám quánh quanh ĐT</w:t>
            </w:r>
          </w:p>
        </w:tc>
        <w:tc>
          <w:tcPr>
            <w:tcW w:w="419" w:type="dxa"/>
            <w:tcMar>
              <w:top w:w="48" w:type="dxa"/>
              <w:left w:w="96" w:type="dxa"/>
              <w:bottom w:w="48" w:type="dxa"/>
              <w:right w:w="96" w:type="dxa"/>
            </w:tcMar>
          </w:tcPr>
          <w:p w:rsidR="00323574" w:rsidRPr="00DB2B32" w:rsidRDefault="00323574" w:rsidP="00E55B81">
            <w:pPr>
              <w:spacing w:after="0" w:line="240" w:lineRule="auto"/>
              <w:rPr>
                <w:rFonts w:eastAsia="Times New Roman" w:cs="Times New Roman"/>
              </w:rPr>
            </w:pPr>
          </w:p>
        </w:tc>
        <w:tc>
          <w:tcPr>
            <w:tcW w:w="0" w:type="auto"/>
            <w:tcMar>
              <w:top w:w="48" w:type="dxa"/>
              <w:left w:w="96" w:type="dxa"/>
              <w:bottom w:w="48" w:type="dxa"/>
              <w:right w:w="96" w:type="dxa"/>
            </w:tcMar>
          </w:tcPr>
          <w:p w:rsidR="00323574" w:rsidRPr="00DB2B32" w:rsidRDefault="00323574" w:rsidP="00E55B81">
            <w:pPr>
              <w:spacing w:after="0" w:line="240" w:lineRule="auto"/>
              <w:rPr>
                <w:rFonts w:eastAsia="Times New Roman" w:cs="Times New Roman"/>
              </w:rPr>
            </w:pPr>
          </w:p>
        </w:tc>
      </w:tr>
      <w:tr w:rsidR="009303C0" w:rsidRPr="00DB2B32" w:rsidTr="00DB2B32">
        <w:tc>
          <w:tcPr>
            <w:tcW w:w="0" w:type="auto"/>
            <w:vMerge w:val="restart"/>
            <w:tcMar>
              <w:top w:w="48" w:type="dxa"/>
              <w:left w:w="96" w:type="dxa"/>
              <w:bottom w:w="48" w:type="dxa"/>
              <w:right w:w="96" w:type="dxa"/>
            </w:tcMar>
            <w:hideMark/>
          </w:tcPr>
          <w:p w:rsidR="00323574" w:rsidRPr="00DB2B32" w:rsidRDefault="00323574" w:rsidP="00E55B81">
            <w:pPr>
              <w:spacing w:after="0" w:line="240" w:lineRule="auto"/>
              <w:rPr>
                <w:rFonts w:eastAsia="Times New Roman" w:cs="Times New Roman"/>
              </w:rPr>
            </w:pPr>
            <w:r w:rsidRPr="00DB2B32">
              <w:rPr>
                <w:rFonts w:eastAsia="Times New Roman" w:cs="Times New Roman"/>
              </w:rPr>
              <w:t>II</w:t>
            </w:r>
          </w:p>
        </w:tc>
        <w:tc>
          <w:tcPr>
            <w:tcW w:w="3049" w:type="dxa"/>
            <w:vMerge w:val="restart"/>
            <w:tcMar>
              <w:top w:w="48" w:type="dxa"/>
              <w:left w:w="96" w:type="dxa"/>
              <w:bottom w:w="48" w:type="dxa"/>
              <w:right w:w="96" w:type="dxa"/>
            </w:tcMar>
            <w:hideMark/>
          </w:tcPr>
          <w:p w:rsidR="00323574" w:rsidRPr="00DB2B32" w:rsidRDefault="009303C0" w:rsidP="009303C0">
            <w:pPr>
              <w:spacing w:after="0" w:line="240" w:lineRule="auto"/>
              <w:rPr>
                <w:rFonts w:eastAsia="Times New Roman" w:cs="Times New Roman"/>
              </w:rPr>
            </w:pPr>
            <w:r w:rsidRPr="00DB2B32">
              <w:rPr>
                <w:rFonts w:eastAsia="Times New Roman" w:cs="Times New Roman"/>
              </w:rPr>
              <w:t>Áp xe bụng, chậu, sau phúc mạc</w:t>
            </w:r>
          </w:p>
        </w:tc>
        <w:tc>
          <w:tcPr>
            <w:tcW w:w="419" w:type="dxa"/>
            <w:tcMar>
              <w:top w:w="48" w:type="dxa"/>
              <w:left w:w="96" w:type="dxa"/>
              <w:bottom w:w="48" w:type="dxa"/>
              <w:right w:w="96" w:type="dxa"/>
            </w:tcMar>
            <w:hideMark/>
          </w:tcPr>
          <w:p w:rsidR="00323574" w:rsidRPr="00DB2B32" w:rsidRDefault="00323574" w:rsidP="00E55B81">
            <w:pPr>
              <w:spacing w:after="0" w:line="240" w:lineRule="auto"/>
              <w:rPr>
                <w:rFonts w:eastAsia="Times New Roman" w:cs="Times New Roman"/>
              </w:rPr>
            </w:pPr>
            <w:r w:rsidRPr="00DB2B32">
              <w:rPr>
                <w:rFonts w:eastAsia="Times New Roman" w:cs="Times New Roman"/>
              </w:rPr>
              <w:t>IIa</w:t>
            </w:r>
          </w:p>
        </w:tc>
        <w:tc>
          <w:tcPr>
            <w:tcW w:w="0" w:type="auto"/>
            <w:tcMar>
              <w:top w:w="48" w:type="dxa"/>
              <w:left w:w="96" w:type="dxa"/>
              <w:bottom w:w="48" w:type="dxa"/>
              <w:right w:w="96" w:type="dxa"/>
            </w:tcMar>
            <w:hideMark/>
          </w:tcPr>
          <w:p w:rsidR="00323574" w:rsidRPr="00DB2B32" w:rsidRDefault="00323574" w:rsidP="00E55B81">
            <w:pPr>
              <w:spacing w:after="0" w:line="240" w:lineRule="auto"/>
              <w:rPr>
                <w:rFonts w:eastAsia="Times New Roman" w:cs="Times New Roman"/>
              </w:rPr>
            </w:pPr>
            <w:r w:rsidRPr="00DB2B32">
              <w:rPr>
                <w:rFonts w:eastAsia="Times New Roman" w:cs="Times New Roman"/>
              </w:rPr>
              <w:t>Distant abscess amendable to percutaneous drainage</w:t>
            </w:r>
          </w:p>
        </w:tc>
      </w:tr>
      <w:tr w:rsidR="009303C0" w:rsidRPr="00DB2B32" w:rsidTr="00DB2B32">
        <w:tc>
          <w:tcPr>
            <w:tcW w:w="0" w:type="auto"/>
            <w:vMerge/>
            <w:vAlign w:val="center"/>
            <w:hideMark/>
          </w:tcPr>
          <w:p w:rsidR="00323574" w:rsidRPr="00DB2B32" w:rsidRDefault="00323574" w:rsidP="00E55B81">
            <w:pPr>
              <w:spacing w:after="0" w:line="240" w:lineRule="auto"/>
              <w:rPr>
                <w:rFonts w:eastAsia="Times New Roman" w:cs="Times New Roman"/>
              </w:rPr>
            </w:pPr>
          </w:p>
        </w:tc>
        <w:tc>
          <w:tcPr>
            <w:tcW w:w="3049" w:type="dxa"/>
            <w:vMerge/>
            <w:vAlign w:val="center"/>
            <w:hideMark/>
          </w:tcPr>
          <w:p w:rsidR="00323574" w:rsidRPr="00DB2B32" w:rsidRDefault="00323574" w:rsidP="00E55B81">
            <w:pPr>
              <w:spacing w:after="0" w:line="240" w:lineRule="auto"/>
              <w:rPr>
                <w:rFonts w:eastAsia="Times New Roman" w:cs="Times New Roman"/>
              </w:rPr>
            </w:pPr>
          </w:p>
        </w:tc>
        <w:tc>
          <w:tcPr>
            <w:tcW w:w="419" w:type="dxa"/>
            <w:tcMar>
              <w:top w:w="48" w:type="dxa"/>
              <w:left w:w="96" w:type="dxa"/>
              <w:bottom w:w="48" w:type="dxa"/>
              <w:right w:w="96" w:type="dxa"/>
            </w:tcMar>
            <w:hideMark/>
          </w:tcPr>
          <w:p w:rsidR="00323574" w:rsidRPr="00DB2B32" w:rsidRDefault="00323574" w:rsidP="00E55B81">
            <w:pPr>
              <w:spacing w:after="0" w:line="240" w:lineRule="auto"/>
              <w:rPr>
                <w:rFonts w:eastAsia="Times New Roman" w:cs="Times New Roman"/>
              </w:rPr>
            </w:pPr>
            <w:r w:rsidRPr="00DB2B32">
              <w:rPr>
                <w:rFonts w:eastAsia="Times New Roman" w:cs="Times New Roman"/>
              </w:rPr>
              <w:t>IIb</w:t>
            </w:r>
          </w:p>
        </w:tc>
        <w:tc>
          <w:tcPr>
            <w:tcW w:w="0" w:type="auto"/>
            <w:tcMar>
              <w:top w:w="48" w:type="dxa"/>
              <w:left w:w="96" w:type="dxa"/>
              <w:bottom w:w="48" w:type="dxa"/>
              <w:right w:w="96" w:type="dxa"/>
            </w:tcMar>
            <w:hideMark/>
          </w:tcPr>
          <w:p w:rsidR="00323574" w:rsidRPr="00DB2B32" w:rsidRDefault="00323574" w:rsidP="00E55B81">
            <w:pPr>
              <w:spacing w:after="0" w:line="240" w:lineRule="auto"/>
              <w:rPr>
                <w:rFonts w:eastAsia="Times New Roman" w:cs="Times New Roman"/>
              </w:rPr>
            </w:pPr>
            <w:r w:rsidRPr="00DB2B32">
              <w:rPr>
                <w:rFonts w:eastAsia="Times New Roman" w:cs="Times New Roman"/>
              </w:rPr>
              <w:t>Complex abscess associated with fistula</w:t>
            </w:r>
          </w:p>
        </w:tc>
      </w:tr>
      <w:tr w:rsidR="009303C0" w:rsidRPr="00DB2B32" w:rsidTr="00DB2B32">
        <w:tc>
          <w:tcPr>
            <w:tcW w:w="0" w:type="auto"/>
            <w:tcMar>
              <w:top w:w="48" w:type="dxa"/>
              <w:left w:w="96" w:type="dxa"/>
              <w:bottom w:w="48" w:type="dxa"/>
              <w:right w:w="96" w:type="dxa"/>
            </w:tcMar>
            <w:hideMark/>
          </w:tcPr>
          <w:p w:rsidR="00323574" w:rsidRPr="00DB2B32" w:rsidRDefault="00323574" w:rsidP="00E55B81">
            <w:pPr>
              <w:spacing w:after="0" w:line="240" w:lineRule="auto"/>
              <w:rPr>
                <w:rFonts w:eastAsia="Times New Roman" w:cs="Times New Roman"/>
              </w:rPr>
            </w:pPr>
            <w:r w:rsidRPr="00DB2B32">
              <w:rPr>
                <w:rFonts w:eastAsia="Times New Roman" w:cs="Times New Roman"/>
              </w:rPr>
              <w:t>III</w:t>
            </w:r>
          </w:p>
        </w:tc>
        <w:tc>
          <w:tcPr>
            <w:tcW w:w="3049" w:type="dxa"/>
            <w:tcMar>
              <w:top w:w="48" w:type="dxa"/>
              <w:left w:w="96" w:type="dxa"/>
              <w:bottom w:w="48" w:type="dxa"/>
              <w:right w:w="96" w:type="dxa"/>
            </w:tcMar>
            <w:hideMark/>
          </w:tcPr>
          <w:p w:rsidR="00323574" w:rsidRPr="00DB2B32" w:rsidRDefault="009303C0" w:rsidP="00E55B81">
            <w:pPr>
              <w:spacing w:after="0" w:line="240" w:lineRule="auto"/>
              <w:rPr>
                <w:rFonts w:eastAsia="Times New Roman" w:cs="Times New Roman"/>
              </w:rPr>
            </w:pPr>
            <w:r w:rsidRPr="00DB2B32">
              <w:rPr>
                <w:rFonts w:eastAsia="Times New Roman" w:cs="Times New Roman"/>
              </w:rPr>
              <w:t>VPM mủ toàn thể</w:t>
            </w:r>
          </w:p>
        </w:tc>
        <w:tc>
          <w:tcPr>
            <w:tcW w:w="419" w:type="dxa"/>
            <w:tcMar>
              <w:top w:w="48" w:type="dxa"/>
              <w:left w:w="96" w:type="dxa"/>
              <w:bottom w:w="48" w:type="dxa"/>
              <w:right w:w="96" w:type="dxa"/>
            </w:tcMar>
          </w:tcPr>
          <w:p w:rsidR="00323574" w:rsidRPr="00DB2B32" w:rsidRDefault="00323574" w:rsidP="00E55B81">
            <w:pPr>
              <w:spacing w:after="0" w:line="240" w:lineRule="auto"/>
              <w:rPr>
                <w:rFonts w:eastAsia="Times New Roman" w:cs="Times New Roman"/>
              </w:rPr>
            </w:pPr>
          </w:p>
        </w:tc>
        <w:tc>
          <w:tcPr>
            <w:tcW w:w="0" w:type="auto"/>
            <w:tcMar>
              <w:top w:w="48" w:type="dxa"/>
              <w:left w:w="96" w:type="dxa"/>
              <w:bottom w:w="48" w:type="dxa"/>
              <w:right w:w="96" w:type="dxa"/>
            </w:tcMar>
          </w:tcPr>
          <w:p w:rsidR="00323574" w:rsidRPr="00DB2B32" w:rsidRDefault="00323574" w:rsidP="00E55B81">
            <w:pPr>
              <w:spacing w:after="0" w:line="240" w:lineRule="auto"/>
              <w:rPr>
                <w:rFonts w:eastAsia="Times New Roman" w:cs="Times New Roman"/>
              </w:rPr>
            </w:pPr>
          </w:p>
        </w:tc>
      </w:tr>
      <w:tr w:rsidR="009303C0" w:rsidRPr="00DB2B32" w:rsidTr="00DB2B32">
        <w:tc>
          <w:tcPr>
            <w:tcW w:w="0" w:type="auto"/>
            <w:tcMar>
              <w:top w:w="48" w:type="dxa"/>
              <w:left w:w="96" w:type="dxa"/>
              <w:bottom w:w="48" w:type="dxa"/>
              <w:right w:w="96" w:type="dxa"/>
            </w:tcMar>
            <w:hideMark/>
          </w:tcPr>
          <w:p w:rsidR="00323574" w:rsidRPr="00DB2B32" w:rsidRDefault="00323574" w:rsidP="00E55B81">
            <w:pPr>
              <w:spacing w:after="0" w:line="240" w:lineRule="auto"/>
              <w:rPr>
                <w:rFonts w:eastAsia="Times New Roman" w:cs="Times New Roman"/>
              </w:rPr>
            </w:pPr>
            <w:r w:rsidRPr="00DB2B32">
              <w:rPr>
                <w:rFonts w:eastAsia="Times New Roman" w:cs="Times New Roman"/>
              </w:rPr>
              <w:t>IV</w:t>
            </w:r>
          </w:p>
        </w:tc>
        <w:tc>
          <w:tcPr>
            <w:tcW w:w="3049" w:type="dxa"/>
            <w:tcMar>
              <w:top w:w="48" w:type="dxa"/>
              <w:left w:w="96" w:type="dxa"/>
              <w:bottom w:w="48" w:type="dxa"/>
              <w:right w:w="96" w:type="dxa"/>
            </w:tcMar>
            <w:hideMark/>
          </w:tcPr>
          <w:p w:rsidR="00323574" w:rsidRPr="00DB2B32" w:rsidRDefault="009303C0" w:rsidP="00E55B81">
            <w:pPr>
              <w:spacing w:after="0" w:line="240" w:lineRule="auto"/>
              <w:rPr>
                <w:rFonts w:eastAsia="Times New Roman" w:cs="Times New Roman"/>
              </w:rPr>
            </w:pPr>
            <w:r w:rsidRPr="00DB2B32">
              <w:rPr>
                <w:rFonts w:eastAsia="Times New Roman" w:cs="Times New Roman"/>
              </w:rPr>
              <w:t>VPM phân toàn thể</w:t>
            </w:r>
          </w:p>
        </w:tc>
        <w:tc>
          <w:tcPr>
            <w:tcW w:w="419" w:type="dxa"/>
            <w:tcMar>
              <w:top w:w="48" w:type="dxa"/>
              <w:left w:w="96" w:type="dxa"/>
              <w:bottom w:w="48" w:type="dxa"/>
              <w:right w:w="96" w:type="dxa"/>
            </w:tcMar>
          </w:tcPr>
          <w:p w:rsidR="00323574" w:rsidRPr="00DB2B32" w:rsidRDefault="00323574" w:rsidP="00E55B81">
            <w:pPr>
              <w:spacing w:after="0" w:line="240" w:lineRule="auto"/>
              <w:rPr>
                <w:rFonts w:eastAsia="Times New Roman" w:cs="Times New Roman"/>
              </w:rPr>
            </w:pPr>
          </w:p>
        </w:tc>
        <w:tc>
          <w:tcPr>
            <w:tcW w:w="0" w:type="auto"/>
            <w:tcMar>
              <w:top w:w="48" w:type="dxa"/>
              <w:left w:w="96" w:type="dxa"/>
              <w:bottom w:w="48" w:type="dxa"/>
              <w:right w:w="96" w:type="dxa"/>
            </w:tcMar>
          </w:tcPr>
          <w:p w:rsidR="00323574" w:rsidRPr="00DB2B32" w:rsidRDefault="00323574" w:rsidP="00E55B81">
            <w:pPr>
              <w:spacing w:after="0" w:line="240" w:lineRule="auto"/>
              <w:rPr>
                <w:rFonts w:eastAsia="Times New Roman" w:cs="Times New Roman"/>
              </w:rPr>
            </w:pPr>
          </w:p>
        </w:tc>
      </w:tr>
    </w:tbl>
    <w:p w:rsidR="00323574" w:rsidRDefault="00040088" w:rsidP="00040088">
      <w:pPr>
        <w:pStyle w:val="Heading1"/>
        <w:numPr>
          <w:ilvl w:val="0"/>
          <w:numId w:val="6"/>
        </w:numPr>
        <w:ind w:left="360"/>
      </w:pPr>
      <w:r>
        <w:t>ĐIỀU TRỊ</w:t>
      </w:r>
    </w:p>
    <w:p w:rsidR="00EC32DD" w:rsidRDefault="00EC32DD" w:rsidP="00040088">
      <w:pPr>
        <w:pStyle w:val="Heading2"/>
        <w:numPr>
          <w:ilvl w:val="0"/>
          <w:numId w:val="4"/>
        </w:numPr>
      </w:pPr>
      <w:r>
        <w:t>Viêm túi thừa không biến chứng</w:t>
      </w:r>
    </w:p>
    <w:tbl>
      <w:tblPr>
        <w:tblStyle w:val="TableGrid"/>
        <w:tblW w:w="0" w:type="auto"/>
        <w:jc w:val="center"/>
        <w:tblLook w:val="04A0" w:firstRow="1" w:lastRow="0" w:firstColumn="1" w:lastColumn="0" w:noHBand="0" w:noVBand="1"/>
      </w:tblPr>
      <w:tblGrid>
        <w:gridCol w:w="2718"/>
        <w:gridCol w:w="3330"/>
      </w:tblGrid>
      <w:tr w:rsidR="00DB2B32" w:rsidTr="00DB2B32">
        <w:trPr>
          <w:jc w:val="center"/>
        </w:trPr>
        <w:tc>
          <w:tcPr>
            <w:tcW w:w="2718" w:type="dxa"/>
            <w:shd w:val="clear" w:color="auto" w:fill="C5E0B3" w:themeFill="accent6" w:themeFillTint="66"/>
          </w:tcPr>
          <w:p w:rsidR="00DB2B32" w:rsidRDefault="00DB2B32" w:rsidP="00DB2B32">
            <w:pPr>
              <w:jc w:val="center"/>
            </w:pPr>
            <w:r>
              <w:t>Lâm sàng</w:t>
            </w:r>
          </w:p>
        </w:tc>
        <w:tc>
          <w:tcPr>
            <w:tcW w:w="3330" w:type="dxa"/>
            <w:shd w:val="clear" w:color="auto" w:fill="C5E0B3" w:themeFill="accent6" w:themeFillTint="66"/>
          </w:tcPr>
          <w:p w:rsidR="00DB2B32" w:rsidRDefault="00DB2B32" w:rsidP="00DB2B32">
            <w:pPr>
              <w:jc w:val="center"/>
            </w:pPr>
            <w:r>
              <w:t>Điều trị</w:t>
            </w:r>
          </w:p>
        </w:tc>
      </w:tr>
      <w:tr w:rsidR="00DB2B32" w:rsidTr="00DB2B32">
        <w:trPr>
          <w:jc w:val="center"/>
        </w:trPr>
        <w:tc>
          <w:tcPr>
            <w:tcW w:w="2718" w:type="dxa"/>
          </w:tcPr>
          <w:p w:rsidR="00DB2B32" w:rsidRDefault="00DB2B32" w:rsidP="00EC32DD">
            <w:r>
              <w:t>No SIRS</w:t>
            </w:r>
          </w:p>
        </w:tc>
        <w:tc>
          <w:tcPr>
            <w:tcW w:w="3330" w:type="dxa"/>
          </w:tcPr>
          <w:p w:rsidR="00DB2B32" w:rsidRDefault="00DB2B32" w:rsidP="00EC32DD">
            <w:r>
              <w:t>Ko nhập viện, uống nước 2-3 ngày, kháng sinh uống 7-10 ngày</w:t>
            </w:r>
          </w:p>
        </w:tc>
      </w:tr>
      <w:tr w:rsidR="00DB2B32" w:rsidTr="00DB2B32">
        <w:trPr>
          <w:jc w:val="center"/>
        </w:trPr>
        <w:tc>
          <w:tcPr>
            <w:tcW w:w="2718" w:type="dxa"/>
          </w:tcPr>
          <w:p w:rsidR="00DB2B32" w:rsidRDefault="00DB2B32" w:rsidP="00EC32DD">
            <w:r>
              <w:t>SIRS</w:t>
            </w:r>
          </w:p>
        </w:tc>
        <w:tc>
          <w:tcPr>
            <w:tcW w:w="3330" w:type="dxa"/>
          </w:tcPr>
          <w:p w:rsidR="00DB2B32" w:rsidRDefault="00DB2B32" w:rsidP="00EC32DD">
            <w:r>
              <w:t>Nhập viện, NPO, kháng sinh TM</w:t>
            </w:r>
          </w:p>
        </w:tc>
      </w:tr>
      <w:tr w:rsidR="00DB2B32" w:rsidTr="00DB2B32">
        <w:trPr>
          <w:jc w:val="center"/>
        </w:trPr>
        <w:tc>
          <w:tcPr>
            <w:tcW w:w="2718" w:type="dxa"/>
          </w:tcPr>
          <w:p w:rsidR="00DB2B32" w:rsidRDefault="00DB2B32" w:rsidP="00EC32DD">
            <w:r>
              <w:t>Thất bại với kháng sinh TM</w:t>
            </w:r>
          </w:p>
        </w:tc>
        <w:tc>
          <w:tcPr>
            <w:tcW w:w="3330" w:type="dxa"/>
          </w:tcPr>
          <w:p w:rsidR="00DB2B32" w:rsidRDefault="00DB2B32" w:rsidP="00EC32DD">
            <w:r>
              <w:t>Mổ khẩn cắt ĐT, mở HMNT</w:t>
            </w:r>
          </w:p>
        </w:tc>
      </w:tr>
    </w:tbl>
    <w:p w:rsidR="00EC32DD" w:rsidRDefault="00EC32DD" w:rsidP="00DB2B32">
      <w:pPr>
        <w:spacing w:before="240"/>
      </w:pPr>
      <w:r>
        <w:t>Điều trị nội: 3 loại kháng sinh tiêm (cephalorprin, aminoglycoside, metronidazole) trong lúc nằm việm, chuyển sang dùng kháng sinh uống 7 ngày sau khi về nhà. Cho uống nước khi BN hết đau bụng (có thể ấn vẫn còn đau), xuất viện khi không có triệu chứng khi ăn thức ăn rắn.</w:t>
      </w:r>
    </w:p>
    <w:p w:rsidR="00EC32DD" w:rsidRPr="00EC32DD" w:rsidRDefault="00EC32DD" w:rsidP="00EC32DD">
      <w:r>
        <w:lastRenderedPageBreak/>
        <w:t xml:space="preserve">Sau khi điều trị nội khoa thành công, tỉ lệ </w:t>
      </w:r>
      <w:r w:rsidRPr="00105C2F">
        <w:rPr>
          <w:color w:val="FF0000"/>
        </w:rPr>
        <w:t>tái phát</w:t>
      </w:r>
      <w:r>
        <w:t xml:space="preserve"> viêm túi thừa là </w:t>
      </w:r>
      <w:r w:rsidRPr="00105C2F">
        <w:rPr>
          <w:color w:val="FF0000"/>
        </w:rPr>
        <w:t>10</w:t>
      </w:r>
      <w:r>
        <w:t>-30%. Do đó, nếu bn bị viêm túi thừa ko biến chứng tái phát vẫn có thể điều trị nội khoa tiếp.</w:t>
      </w:r>
    </w:p>
    <w:p w:rsidR="00EC32DD" w:rsidRDefault="00EC32DD" w:rsidP="00040088">
      <w:pPr>
        <w:pStyle w:val="Heading2"/>
        <w:numPr>
          <w:ilvl w:val="0"/>
          <w:numId w:val="4"/>
        </w:numPr>
      </w:pPr>
      <w:r>
        <w:t>Viêm túi thừa có biến chứng</w:t>
      </w:r>
    </w:p>
    <w:tbl>
      <w:tblPr>
        <w:tblStyle w:val="TableGrid"/>
        <w:tblW w:w="0" w:type="auto"/>
        <w:jc w:val="center"/>
        <w:tblLook w:val="04A0" w:firstRow="1" w:lastRow="0" w:firstColumn="1" w:lastColumn="0" w:noHBand="0" w:noVBand="1"/>
      </w:tblPr>
      <w:tblGrid>
        <w:gridCol w:w="2538"/>
        <w:gridCol w:w="4788"/>
      </w:tblGrid>
      <w:tr w:rsidR="009303C0" w:rsidTr="009303C0">
        <w:trPr>
          <w:jc w:val="center"/>
        </w:trPr>
        <w:tc>
          <w:tcPr>
            <w:tcW w:w="2538" w:type="dxa"/>
            <w:shd w:val="clear" w:color="auto" w:fill="FFF2CC" w:themeFill="accent4" w:themeFillTint="33"/>
          </w:tcPr>
          <w:p w:rsidR="009303C0" w:rsidRDefault="009303C0" w:rsidP="009303C0">
            <w:pPr>
              <w:jc w:val="center"/>
            </w:pPr>
            <w:r>
              <w:t>Biến chứng</w:t>
            </w:r>
          </w:p>
        </w:tc>
        <w:tc>
          <w:tcPr>
            <w:tcW w:w="4788" w:type="dxa"/>
            <w:shd w:val="clear" w:color="auto" w:fill="FFF2CC" w:themeFill="accent4" w:themeFillTint="33"/>
          </w:tcPr>
          <w:p w:rsidR="009303C0" w:rsidRDefault="009303C0" w:rsidP="009303C0">
            <w:pPr>
              <w:jc w:val="center"/>
            </w:pPr>
            <w:r>
              <w:t>Điều trị</w:t>
            </w:r>
          </w:p>
        </w:tc>
      </w:tr>
      <w:tr w:rsidR="009303C0" w:rsidTr="009303C0">
        <w:trPr>
          <w:jc w:val="center"/>
        </w:trPr>
        <w:tc>
          <w:tcPr>
            <w:tcW w:w="2538" w:type="dxa"/>
          </w:tcPr>
          <w:p w:rsidR="009303C0" w:rsidRDefault="009303C0" w:rsidP="00EC32DD">
            <w:r>
              <w:t>Thủng gây VPM</w:t>
            </w:r>
          </w:p>
        </w:tc>
        <w:tc>
          <w:tcPr>
            <w:tcW w:w="4788" w:type="dxa"/>
          </w:tcPr>
          <w:p w:rsidR="009303C0" w:rsidRDefault="009303C0" w:rsidP="00EC32DD">
            <w:r>
              <w:t xml:space="preserve">Mổ cấp cứu cắt ĐT, </w:t>
            </w:r>
            <w:r w:rsidR="00F06016">
              <w:t>nối luôn tùy tình trạng ổ bụng</w:t>
            </w:r>
          </w:p>
        </w:tc>
      </w:tr>
      <w:tr w:rsidR="009303C0" w:rsidTr="009303C0">
        <w:trPr>
          <w:jc w:val="center"/>
        </w:trPr>
        <w:tc>
          <w:tcPr>
            <w:tcW w:w="2538" w:type="dxa"/>
          </w:tcPr>
          <w:p w:rsidR="009303C0" w:rsidRDefault="009303C0" w:rsidP="00EC32DD">
            <w:r>
              <w:t>Tắc ĐT</w:t>
            </w:r>
          </w:p>
        </w:tc>
        <w:tc>
          <w:tcPr>
            <w:tcW w:w="4788" w:type="dxa"/>
          </w:tcPr>
          <w:p w:rsidR="009303C0" w:rsidRDefault="009303C0" w:rsidP="00EC32DD">
            <w:r>
              <w:t>Mổ khẩn cắ</w:t>
            </w:r>
            <w:r w:rsidR="00F06016">
              <w:t>t ĐT, nối luôn</w:t>
            </w:r>
          </w:p>
        </w:tc>
      </w:tr>
      <w:tr w:rsidR="009303C0" w:rsidTr="009303C0">
        <w:trPr>
          <w:jc w:val="center"/>
        </w:trPr>
        <w:tc>
          <w:tcPr>
            <w:tcW w:w="2538" w:type="dxa"/>
          </w:tcPr>
          <w:p w:rsidR="009303C0" w:rsidRDefault="009303C0" w:rsidP="00EC32DD">
            <w:r>
              <w:t>Áp xe khu trú &gt;=4cm</w:t>
            </w:r>
          </w:p>
        </w:tc>
        <w:tc>
          <w:tcPr>
            <w:tcW w:w="4788" w:type="dxa"/>
          </w:tcPr>
          <w:p w:rsidR="009303C0" w:rsidRDefault="009303C0" w:rsidP="00EC32DD">
            <w:r>
              <w:t>Dẫn lưu dưới hướng dẫn CT, cắt ĐT chương trình</w:t>
            </w:r>
          </w:p>
        </w:tc>
      </w:tr>
      <w:tr w:rsidR="009303C0" w:rsidTr="009303C0">
        <w:trPr>
          <w:jc w:val="center"/>
        </w:trPr>
        <w:tc>
          <w:tcPr>
            <w:tcW w:w="2538" w:type="dxa"/>
          </w:tcPr>
          <w:p w:rsidR="009303C0" w:rsidRDefault="009303C0" w:rsidP="00EC32DD">
            <w:r>
              <w:t>Áp xe &lt;4cm</w:t>
            </w:r>
          </w:p>
        </w:tc>
        <w:tc>
          <w:tcPr>
            <w:tcW w:w="4788" w:type="dxa"/>
          </w:tcPr>
          <w:p w:rsidR="009303C0" w:rsidRDefault="009303C0" w:rsidP="00EC32DD">
            <w:r>
              <w:t>Kháng sinh TM, cắt ĐT chương trình</w:t>
            </w:r>
          </w:p>
        </w:tc>
      </w:tr>
      <w:tr w:rsidR="009303C0" w:rsidTr="009303C0">
        <w:trPr>
          <w:jc w:val="center"/>
        </w:trPr>
        <w:tc>
          <w:tcPr>
            <w:tcW w:w="2538" w:type="dxa"/>
          </w:tcPr>
          <w:p w:rsidR="009303C0" w:rsidRDefault="009303C0" w:rsidP="00EC32DD">
            <w:r>
              <w:t>Dò đại tràng, bàng quang</w:t>
            </w:r>
          </w:p>
        </w:tc>
        <w:tc>
          <w:tcPr>
            <w:tcW w:w="4788" w:type="dxa"/>
          </w:tcPr>
          <w:p w:rsidR="009303C0" w:rsidRDefault="009303C0" w:rsidP="00EC32DD">
            <w:r>
              <w:t>Kháng sinh TM, tạo hình bàng quang, cắt ĐT sau</w:t>
            </w:r>
          </w:p>
        </w:tc>
      </w:tr>
    </w:tbl>
    <w:p w:rsidR="00EC32DD" w:rsidRDefault="00EC32DD" w:rsidP="00DB2B32">
      <w:pPr>
        <w:spacing w:before="240"/>
      </w:pPr>
      <w:r>
        <w:t>Cắt túi thừa: ít biến chứng, tỉ lệ tái phát tương đương với cắt đại tràng phải, chỉ định cho những trường hợp chỉ có một túi thừa hoặc phát hiện viêm túi thừa không biến chứng tình cờ trong mổ (như khi chẩn đoán lầm là viêm ruột thừa).</w:t>
      </w:r>
    </w:p>
    <w:p w:rsidR="00EC32DD" w:rsidRDefault="00EC32DD" w:rsidP="00EC32DD">
      <w:r>
        <w:t>Cắt đại tràng:</w:t>
      </w:r>
    </w:p>
    <w:p w:rsidR="00EC32DD" w:rsidRDefault="00EC32DD" w:rsidP="00EC32DD">
      <w:pPr>
        <w:pStyle w:val="ListParagraph"/>
        <w:numPr>
          <w:ilvl w:val="0"/>
          <w:numId w:val="5"/>
        </w:numPr>
      </w:pPr>
      <w:r>
        <w:t>Túi thừa bên trái: bờ trên là giới hạn trên của đoạn ruột bệnh (thành ruột dày, sẹo) nhưng ko cần phải cắt hết đoạn đại tràng có polyp nếu nó ko bị viêm; bờ dưới là chỗ bắt đầu của trực tràng.</w:t>
      </w:r>
    </w:p>
    <w:p w:rsidR="00EC32DD" w:rsidRDefault="00EC32DD" w:rsidP="00105C2F">
      <w:pPr>
        <w:pStyle w:val="ListParagraph"/>
        <w:numPr>
          <w:ilvl w:val="0"/>
          <w:numId w:val="5"/>
        </w:numPr>
        <w:spacing w:after="0"/>
      </w:pPr>
      <w:r>
        <w:t>Túi thừa bên phải: Cắt đại tràng phải hay cắt hồi-manh tràng: có phép chẩn đoán chắc chắn dựa trên giải phẫu bệnh; nhược điểm là biến chứng nhiều, thay đổi sinh lý do cắt đi van hồi manh tràng. Chỉ định khi viêm túi thừa phải có biến chứng; không thể thực hiện cắt túi thừa được (do dính, nhiều túi thừa, multicentric diverticulitis…); không thể loại trừ ung thư</w:t>
      </w:r>
    </w:p>
    <w:p w:rsidR="00DB2B32" w:rsidRPr="00147A2F" w:rsidRDefault="00DB2B32" w:rsidP="00DB2B32">
      <w:pPr>
        <w:rPr>
          <w:color w:val="538135" w:themeColor="accent6" w:themeShade="BF"/>
        </w:rPr>
      </w:pPr>
      <w:r w:rsidRPr="00147A2F">
        <w:rPr>
          <w:color w:val="538135" w:themeColor="accent6" w:themeShade="BF"/>
        </w:rPr>
        <w:t xml:space="preserve">Túi thừa bên T thường nhiều, khu trú nên cắt cả đoạn. Còn túi thừa bên P thì </w:t>
      </w:r>
      <w:r w:rsidR="00147A2F">
        <w:rPr>
          <w:color w:val="538135" w:themeColor="accent6" w:themeShade="BF"/>
        </w:rPr>
        <w:t>ít hơn</w:t>
      </w:r>
    </w:p>
    <w:p w:rsidR="00EC32DD" w:rsidRDefault="00040088" w:rsidP="00AE424B">
      <w:pPr>
        <w:pStyle w:val="Heading1"/>
        <w:numPr>
          <w:ilvl w:val="0"/>
          <w:numId w:val="6"/>
        </w:numPr>
        <w:ind w:left="360"/>
      </w:pPr>
      <w:r>
        <w:t>LINH TINH</w:t>
      </w:r>
    </w:p>
    <w:p w:rsidR="002D30A2" w:rsidRDefault="002D30A2" w:rsidP="002D30A2">
      <w:r>
        <w:t>Túi thừa ở người Việt Nam (người châu Á) thường bên phải (55-70%), thường gặp ở nam (tỉ lệ nam/nữ =2,5:1), tuổi tương đối trẻ (30-50 tuổi), là túi thừa thật (nghĩ do cơ chế gen, tuy nhiên không có bằng chứng rõ ràng), số lượng thường ít hơn, khác với túi thừa ở phương Tây thường ở đại tràng bên trái thường gặp ở nữ và tuổi thường lớn hơn, là túi thừa giả (chỉ có lớp niêm mạc và dưới niêm, ko có lớp cơ), có nhiều túi thừa.</w:t>
      </w:r>
    </w:p>
    <w:p w:rsidR="002D30A2" w:rsidRDefault="002D30A2" w:rsidP="002D30A2">
      <w:r>
        <w:t>Suất độ túi thừa: 30 viêm ruột thừa : 1 viêm túi thừa</w:t>
      </w:r>
    </w:p>
    <w:p w:rsidR="002D30A2" w:rsidRDefault="002D30A2" w:rsidP="002D30A2">
      <w:r>
        <w:t xml:space="preserve">Bệnh túi thừa giờ mới phát hiện ở VN nhiều do: </w:t>
      </w:r>
    </w:p>
    <w:p w:rsidR="002D30A2" w:rsidRDefault="002D30A2" w:rsidP="002D30A2">
      <w:pPr>
        <w:pStyle w:val="ListParagraph"/>
        <w:numPr>
          <w:ilvl w:val="0"/>
          <w:numId w:val="9"/>
        </w:numPr>
        <w:spacing w:line="256" w:lineRule="auto"/>
      </w:pPr>
      <w:r>
        <w:t>Bệnh được quan tâm nhiều hơn, khả năng chẩn đoán tăng (CT scan)</w:t>
      </w:r>
    </w:p>
    <w:p w:rsidR="002D30A2" w:rsidRDefault="002D30A2" w:rsidP="002D30A2">
      <w:pPr>
        <w:pStyle w:val="ListParagraph"/>
        <w:numPr>
          <w:ilvl w:val="0"/>
          <w:numId w:val="9"/>
        </w:numPr>
        <w:spacing w:line="256" w:lineRule="auto"/>
      </w:pPr>
      <w:r>
        <w:t>Trước đây, do viêm túi thừa tự khỏi nên bị bỏ qua, khi mổ bụng trong viêm túi thừa cũng có thể thấy ruột thừa viêm phản ứng nên tưởng là viêm ruột thừa, cắt luôn.</w:t>
      </w:r>
    </w:p>
    <w:p w:rsidR="00F003DA" w:rsidRDefault="00F003DA" w:rsidP="00F003DA">
      <w:r>
        <w:t>Túi thừa không gặp ở trực tràng do ở đây các dải cơ dọc (taenia coli) hòa lẫn vào nhau bao quanh trực tràng, che đi các điểm yếu trên thành trự</w:t>
      </w:r>
      <w:r w:rsidR="00147A2F">
        <w:t>c tràng</w:t>
      </w:r>
      <w:r>
        <w:t>.</w:t>
      </w:r>
    </w:p>
    <w:p w:rsidR="00EC32DD" w:rsidRDefault="00EC32DD" w:rsidP="00EC32DD">
      <w:r>
        <w:t>60% viêm túi thừa đại tràng phải có &gt;=2 túi thừa, 2/3 là multicentric.</w:t>
      </w:r>
    </w:p>
    <w:p w:rsidR="00F003DA" w:rsidRDefault="00F003DA" w:rsidP="00105C2F">
      <w:pPr>
        <w:spacing w:after="0"/>
      </w:pPr>
      <w:r>
        <w:t>Biến chứng viêm túi thừa</w:t>
      </w:r>
      <w:r w:rsidR="00B92610">
        <w:t>: giống biến chứng K đại tràng</w:t>
      </w:r>
    </w:p>
    <w:tbl>
      <w:tblPr>
        <w:tblStyle w:val="TableGrid"/>
        <w:tblW w:w="0" w:type="auto"/>
        <w:tblLook w:val="04A0" w:firstRow="1" w:lastRow="0" w:firstColumn="1" w:lastColumn="0" w:noHBand="0" w:noVBand="1"/>
      </w:tblPr>
      <w:tblGrid>
        <w:gridCol w:w="1368"/>
        <w:gridCol w:w="1890"/>
        <w:gridCol w:w="5670"/>
      </w:tblGrid>
      <w:tr w:rsidR="00147A2F" w:rsidTr="00105C2F">
        <w:tc>
          <w:tcPr>
            <w:tcW w:w="3258" w:type="dxa"/>
            <w:gridSpan w:val="2"/>
            <w:shd w:val="clear" w:color="auto" w:fill="FFFF00"/>
          </w:tcPr>
          <w:p w:rsidR="00147A2F" w:rsidRDefault="00147A2F" w:rsidP="00147A2F">
            <w:pPr>
              <w:jc w:val="center"/>
            </w:pPr>
            <w:r>
              <w:t>Biến chứng</w:t>
            </w:r>
          </w:p>
        </w:tc>
        <w:tc>
          <w:tcPr>
            <w:tcW w:w="5670" w:type="dxa"/>
            <w:shd w:val="clear" w:color="auto" w:fill="FFFF00"/>
          </w:tcPr>
          <w:p w:rsidR="00147A2F" w:rsidRDefault="00147A2F" w:rsidP="00147A2F">
            <w:pPr>
              <w:jc w:val="center"/>
            </w:pPr>
            <w:r>
              <w:t>Biểu hiện</w:t>
            </w:r>
          </w:p>
        </w:tc>
      </w:tr>
      <w:tr w:rsidR="00147A2F" w:rsidTr="00105C2F">
        <w:tc>
          <w:tcPr>
            <w:tcW w:w="1368" w:type="dxa"/>
            <w:vMerge w:val="restart"/>
          </w:tcPr>
          <w:p w:rsidR="00147A2F" w:rsidRPr="00E55B81" w:rsidRDefault="00147A2F" w:rsidP="00F003DA">
            <w:pPr>
              <w:rPr>
                <w:b/>
              </w:rPr>
            </w:pPr>
            <w:r w:rsidRPr="00E55B81">
              <w:rPr>
                <w:b/>
              </w:rPr>
              <w:t>Thủng</w:t>
            </w:r>
          </w:p>
        </w:tc>
        <w:tc>
          <w:tcPr>
            <w:tcW w:w="1890" w:type="dxa"/>
          </w:tcPr>
          <w:p w:rsidR="00147A2F" w:rsidRDefault="00147A2F" w:rsidP="00F003DA">
            <w:r>
              <w:t>Thủng vào ổ bụng</w:t>
            </w:r>
          </w:p>
        </w:tc>
        <w:tc>
          <w:tcPr>
            <w:tcW w:w="5670" w:type="dxa"/>
          </w:tcPr>
          <w:p w:rsidR="00147A2F" w:rsidRDefault="00147A2F" w:rsidP="00F003DA">
            <w:r>
              <w:t>Có thể đc bít kín bởi</w:t>
            </w:r>
            <w:r w:rsidR="00E55B81">
              <w:t xml:space="preserve"> mạc nối lớn</w:t>
            </w:r>
          </w:p>
          <w:p w:rsidR="00147A2F" w:rsidRDefault="00147A2F" w:rsidP="00F003DA">
            <w:r>
              <w:t>Hoặc VPM mủ, phân</w:t>
            </w:r>
          </w:p>
        </w:tc>
      </w:tr>
      <w:tr w:rsidR="00147A2F" w:rsidTr="00105C2F">
        <w:tc>
          <w:tcPr>
            <w:tcW w:w="1368" w:type="dxa"/>
            <w:vMerge/>
          </w:tcPr>
          <w:p w:rsidR="00147A2F" w:rsidRPr="00E55B81" w:rsidRDefault="00147A2F" w:rsidP="00F003DA">
            <w:pPr>
              <w:rPr>
                <w:b/>
              </w:rPr>
            </w:pPr>
          </w:p>
        </w:tc>
        <w:tc>
          <w:tcPr>
            <w:tcW w:w="1890" w:type="dxa"/>
          </w:tcPr>
          <w:p w:rsidR="00147A2F" w:rsidRDefault="00147A2F" w:rsidP="00F003DA">
            <w:r>
              <w:t xml:space="preserve">Rò vào bàng </w:t>
            </w:r>
            <w:r>
              <w:lastRenderedPageBreak/>
              <w:t>quang, âm đao</w:t>
            </w:r>
          </w:p>
        </w:tc>
        <w:tc>
          <w:tcPr>
            <w:tcW w:w="5670" w:type="dxa"/>
          </w:tcPr>
          <w:p w:rsidR="00147A2F" w:rsidRDefault="00147A2F" w:rsidP="00F003DA">
            <w:r>
              <w:lastRenderedPageBreak/>
              <w:t>Bàng quang: nhiễm trùng tiểu tái đi tái lại, tiểu khí, tiểu phân</w:t>
            </w:r>
          </w:p>
          <w:p w:rsidR="00147A2F" w:rsidRDefault="00E55B81" w:rsidP="00F003DA">
            <w:r>
              <w:lastRenderedPageBreak/>
              <w:t>Feculent vaginal discharge</w:t>
            </w:r>
          </w:p>
        </w:tc>
      </w:tr>
      <w:tr w:rsidR="00147A2F" w:rsidTr="00105C2F">
        <w:tc>
          <w:tcPr>
            <w:tcW w:w="1368" w:type="dxa"/>
            <w:vMerge w:val="restart"/>
          </w:tcPr>
          <w:p w:rsidR="00147A2F" w:rsidRPr="00E55B81" w:rsidRDefault="00147A2F" w:rsidP="00F003DA">
            <w:pPr>
              <w:rPr>
                <w:b/>
              </w:rPr>
            </w:pPr>
            <w:r w:rsidRPr="00E55B81">
              <w:rPr>
                <w:b/>
              </w:rPr>
              <w:lastRenderedPageBreak/>
              <w:t>Hẹp</w:t>
            </w:r>
          </w:p>
        </w:tc>
        <w:tc>
          <w:tcPr>
            <w:tcW w:w="1890" w:type="dxa"/>
          </w:tcPr>
          <w:p w:rsidR="00147A2F" w:rsidRDefault="00147A2F" w:rsidP="00F003DA">
            <w:r>
              <w:t>Bán tắc</w:t>
            </w:r>
          </w:p>
        </w:tc>
        <w:tc>
          <w:tcPr>
            <w:tcW w:w="5670" w:type="dxa"/>
          </w:tcPr>
          <w:p w:rsidR="00147A2F" w:rsidRDefault="00147A2F" w:rsidP="00F003DA"/>
        </w:tc>
      </w:tr>
      <w:tr w:rsidR="00147A2F" w:rsidTr="00105C2F">
        <w:tc>
          <w:tcPr>
            <w:tcW w:w="1368" w:type="dxa"/>
            <w:vMerge/>
          </w:tcPr>
          <w:p w:rsidR="00147A2F" w:rsidRDefault="00147A2F" w:rsidP="00F003DA"/>
        </w:tc>
        <w:tc>
          <w:tcPr>
            <w:tcW w:w="1890" w:type="dxa"/>
          </w:tcPr>
          <w:p w:rsidR="00147A2F" w:rsidRDefault="00147A2F" w:rsidP="00F003DA">
            <w:r>
              <w:t>Tắc ruột</w:t>
            </w:r>
          </w:p>
        </w:tc>
        <w:tc>
          <w:tcPr>
            <w:tcW w:w="5670" w:type="dxa"/>
          </w:tcPr>
          <w:p w:rsidR="00147A2F" w:rsidRDefault="00147A2F" w:rsidP="00F003DA"/>
        </w:tc>
      </w:tr>
      <w:tr w:rsidR="003929A2" w:rsidTr="00105C2F">
        <w:tc>
          <w:tcPr>
            <w:tcW w:w="1368" w:type="dxa"/>
          </w:tcPr>
          <w:p w:rsidR="003929A2" w:rsidRPr="00E55B81" w:rsidRDefault="003929A2" w:rsidP="00F003DA">
            <w:pPr>
              <w:rPr>
                <w:b/>
              </w:rPr>
            </w:pPr>
            <w:r>
              <w:rPr>
                <w:b/>
              </w:rPr>
              <w:t>Nhiễm trùng</w:t>
            </w:r>
          </w:p>
        </w:tc>
        <w:tc>
          <w:tcPr>
            <w:tcW w:w="1890" w:type="dxa"/>
          </w:tcPr>
          <w:p w:rsidR="003929A2" w:rsidRPr="00E55B81" w:rsidRDefault="003929A2" w:rsidP="00F003DA">
            <w:pPr>
              <w:rPr>
                <w:b/>
              </w:rPr>
            </w:pPr>
            <w:r>
              <w:t>Áp xe túi thừa</w:t>
            </w:r>
          </w:p>
        </w:tc>
        <w:tc>
          <w:tcPr>
            <w:tcW w:w="5670" w:type="dxa"/>
          </w:tcPr>
          <w:p w:rsidR="003929A2" w:rsidRDefault="003929A2" w:rsidP="00F003DA"/>
        </w:tc>
      </w:tr>
    </w:tbl>
    <w:p w:rsidR="00CF51AA" w:rsidRDefault="00BE062C" w:rsidP="00CF51AA">
      <w:r>
        <w:t>Viêm túi thừ</w:t>
      </w:r>
      <w:r w:rsidR="00AB0840">
        <w:t>a có dày thà</w:t>
      </w:r>
      <w:r>
        <w:t>nh ĐT, thêm vào PỨ viêm nên gây hẹp, TR</w:t>
      </w:r>
    </w:p>
    <w:p w:rsidR="00FA6B79" w:rsidRDefault="00FA6B79" w:rsidP="00CF51AA">
      <w:r>
        <w:t>Siêu âm thấy áp xe cần phải coi: bên trong khối có gì, vỏ bao rõ ko, xung quanh là gì, cách thành bụng bao nhiêu.</w:t>
      </w:r>
    </w:p>
    <w:p w:rsidR="00FA6B79" w:rsidRDefault="00FA6B79" w:rsidP="00CF51AA"/>
    <w:sectPr w:rsidR="00FA6B79" w:rsidSect="00040088">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BC9" w:rsidRDefault="00A61BC9" w:rsidP="005C396E">
      <w:pPr>
        <w:spacing w:after="0" w:line="240" w:lineRule="auto"/>
      </w:pPr>
      <w:r>
        <w:separator/>
      </w:r>
    </w:p>
  </w:endnote>
  <w:endnote w:type="continuationSeparator" w:id="0">
    <w:p w:rsidR="00A61BC9" w:rsidRDefault="00A61BC9" w:rsidP="005C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6E" w:rsidRDefault="005C39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6E" w:rsidRDefault="005C39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6E" w:rsidRDefault="005C39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BC9" w:rsidRDefault="00A61BC9" w:rsidP="005C396E">
      <w:pPr>
        <w:spacing w:after="0" w:line="240" w:lineRule="auto"/>
      </w:pPr>
      <w:r>
        <w:separator/>
      </w:r>
    </w:p>
  </w:footnote>
  <w:footnote w:type="continuationSeparator" w:id="0">
    <w:p w:rsidR="00A61BC9" w:rsidRDefault="00A61BC9" w:rsidP="005C39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6E" w:rsidRDefault="005C39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71141"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6E" w:rsidRDefault="005C39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71142"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6E" w:rsidRDefault="005C39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71140"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7700"/>
    <w:multiLevelType w:val="hybridMultilevel"/>
    <w:tmpl w:val="0970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E61B2"/>
    <w:multiLevelType w:val="hybridMultilevel"/>
    <w:tmpl w:val="480EC0E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677F0"/>
    <w:multiLevelType w:val="hybridMultilevel"/>
    <w:tmpl w:val="23725864"/>
    <w:lvl w:ilvl="0" w:tplc="2116AC3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2C1D6B"/>
    <w:multiLevelType w:val="hybridMultilevel"/>
    <w:tmpl w:val="7CD22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C01DA"/>
    <w:multiLevelType w:val="hybridMultilevel"/>
    <w:tmpl w:val="83BAD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13E68"/>
    <w:multiLevelType w:val="hybridMultilevel"/>
    <w:tmpl w:val="DEEA3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5D32279"/>
    <w:multiLevelType w:val="hybridMultilevel"/>
    <w:tmpl w:val="FAA2E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8C77413"/>
    <w:multiLevelType w:val="hybridMultilevel"/>
    <w:tmpl w:val="FAA2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176E60"/>
    <w:multiLevelType w:val="hybridMultilevel"/>
    <w:tmpl w:val="AC829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8"/>
  </w:num>
  <w:num w:numId="5">
    <w:abstractNumId w:val="1"/>
  </w:num>
  <w:num w:numId="6">
    <w:abstractNumId w:val="7"/>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003DA"/>
    <w:rsid w:val="00040088"/>
    <w:rsid w:val="00105C2F"/>
    <w:rsid w:val="00147A2F"/>
    <w:rsid w:val="001A4C79"/>
    <w:rsid w:val="002D30A2"/>
    <w:rsid w:val="00323574"/>
    <w:rsid w:val="003929A2"/>
    <w:rsid w:val="005C396E"/>
    <w:rsid w:val="008D2944"/>
    <w:rsid w:val="009303C0"/>
    <w:rsid w:val="009814CC"/>
    <w:rsid w:val="00A61BC9"/>
    <w:rsid w:val="00AB0840"/>
    <w:rsid w:val="00AE424B"/>
    <w:rsid w:val="00B04451"/>
    <w:rsid w:val="00B92610"/>
    <w:rsid w:val="00BE062C"/>
    <w:rsid w:val="00CF51AA"/>
    <w:rsid w:val="00DB2B32"/>
    <w:rsid w:val="00E55B81"/>
    <w:rsid w:val="00EB6152"/>
    <w:rsid w:val="00EC32DD"/>
    <w:rsid w:val="00F003DA"/>
    <w:rsid w:val="00F06016"/>
    <w:rsid w:val="00FA6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3DA"/>
  </w:style>
  <w:style w:type="paragraph" w:styleId="Heading1">
    <w:name w:val="heading 1"/>
    <w:basedOn w:val="Normal"/>
    <w:next w:val="Normal"/>
    <w:link w:val="Heading1Char"/>
    <w:uiPriority w:val="9"/>
    <w:qFormat/>
    <w:rsid w:val="003929A2"/>
    <w:pPr>
      <w:keepNext/>
      <w:keepLines/>
      <w:spacing w:before="24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C32D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3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003DA"/>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003DA"/>
    <w:pPr>
      <w:ind w:left="720"/>
      <w:contextualSpacing/>
    </w:pPr>
  </w:style>
  <w:style w:type="paragraph" w:styleId="BalloonText">
    <w:name w:val="Balloon Text"/>
    <w:basedOn w:val="Normal"/>
    <w:link w:val="BalloonTextChar"/>
    <w:uiPriority w:val="99"/>
    <w:semiHidden/>
    <w:unhideWhenUsed/>
    <w:rsid w:val="00F00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DA"/>
    <w:rPr>
      <w:rFonts w:ascii="Tahoma" w:hAnsi="Tahoma" w:cs="Tahoma"/>
      <w:sz w:val="16"/>
      <w:szCs w:val="16"/>
    </w:rPr>
  </w:style>
  <w:style w:type="table" w:styleId="TableGrid">
    <w:name w:val="Table Grid"/>
    <w:basedOn w:val="TableNormal"/>
    <w:uiPriority w:val="39"/>
    <w:rsid w:val="001A4C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929A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C32DD"/>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5C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96E"/>
  </w:style>
  <w:style w:type="paragraph" w:styleId="Footer">
    <w:name w:val="footer"/>
    <w:basedOn w:val="Normal"/>
    <w:link w:val="FooterChar"/>
    <w:uiPriority w:val="99"/>
    <w:unhideWhenUsed/>
    <w:rsid w:val="005C3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9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8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11</cp:revision>
  <dcterms:created xsi:type="dcterms:W3CDTF">2016-10-23T10:17:00Z</dcterms:created>
  <dcterms:modified xsi:type="dcterms:W3CDTF">2017-10-02T03:55:00Z</dcterms:modified>
</cp:coreProperties>
</file>