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A60" w:rsidRDefault="005751BC" w:rsidP="00DE0BE9">
      <w:pPr>
        <w:pStyle w:val="Heading1"/>
      </w:pPr>
      <w:bookmarkStart w:id="0" w:name="_GoBack"/>
      <w:bookmarkEnd w:id="0"/>
      <w:r>
        <w:t>CHẨN ĐOÁN</w:t>
      </w:r>
    </w:p>
    <w:p w:rsidR="003F58BE" w:rsidRDefault="00F84B2E" w:rsidP="00DE0BE9">
      <w:r>
        <w:rPr>
          <w:color w:val="00B050"/>
        </w:rPr>
        <w:t>C</w:t>
      </w:r>
      <w:r w:rsidRPr="00F84B2E">
        <w:rPr>
          <w:color w:val="00B050"/>
        </w:rPr>
        <w:t>ần để ý tiền căn có sỏi mật, thủ thuật hoặc đặt stent đường mật</w:t>
      </w:r>
    </w:p>
    <w:tbl>
      <w:tblPr>
        <w:tblStyle w:val="TableGrid"/>
        <w:tblW w:w="0" w:type="auto"/>
        <w:tblLook w:val="06A0" w:firstRow="1" w:lastRow="0" w:firstColumn="1" w:lastColumn="0" w:noHBand="1" w:noVBand="1"/>
      </w:tblPr>
      <w:tblGrid>
        <w:gridCol w:w="1188"/>
        <w:gridCol w:w="2430"/>
        <w:gridCol w:w="3270"/>
      </w:tblGrid>
      <w:tr w:rsidR="007F5769" w:rsidTr="00F84B2E">
        <w:tc>
          <w:tcPr>
            <w:tcW w:w="1188" w:type="dxa"/>
          </w:tcPr>
          <w:p w:rsidR="007F5769" w:rsidRDefault="007F5769" w:rsidP="00F84B2E">
            <w:pPr>
              <w:jc w:val="center"/>
            </w:pPr>
          </w:p>
        </w:tc>
        <w:tc>
          <w:tcPr>
            <w:tcW w:w="2430" w:type="dxa"/>
            <w:shd w:val="clear" w:color="auto" w:fill="B6DDE8" w:themeFill="accent5" w:themeFillTint="66"/>
          </w:tcPr>
          <w:p w:rsidR="007F5769" w:rsidRPr="00F84B2E" w:rsidRDefault="007F5769" w:rsidP="00F84B2E">
            <w:pPr>
              <w:jc w:val="center"/>
            </w:pPr>
            <w:r w:rsidRPr="00F84B2E">
              <w:t>VTM</w:t>
            </w:r>
          </w:p>
        </w:tc>
        <w:tc>
          <w:tcPr>
            <w:tcW w:w="3270" w:type="dxa"/>
            <w:shd w:val="clear" w:color="auto" w:fill="B6DDE8" w:themeFill="accent5" w:themeFillTint="66"/>
          </w:tcPr>
          <w:p w:rsidR="007F5769" w:rsidRPr="00F84B2E" w:rsidRDefault="007F5769" w:rsidP="00F84B2E">
            <w:pPr>
              <w:jc w:val="center"/>
            </w:pPr>
            <w:r w:rsidRPr="00F84B2E">
              <w:t>VĐM</w:t>
            </w:r>
          </w:p>
        </w:tc>
      </w:tr>
      <w:tr w:rsidR="007F5769" w:rsidTr="00F84B2E">
        <w:tc>
          <w:tcPr>
            <w:tcW w:w="1188" w:type="dxa"/>
          </w:tcPr>
          <w:p w:rsidR="007F5769" w:rsidRPr="00F84B2E" w:rsidRDefault="007F5769" w:rsidP="00684DF7">
            <w:pPr>
              <w:rPr>
                <w:b/>
                <w:color w:val="31849B" w:themeColor="accent5" w:themeShade="BF"/>
              </w:rPr>
            </w:pPr>
            <w:r w:rsidRPr="00F84B2E">
              <w:rPr>
                <w:b/>
                <w:color w:val="31849B" w:themeColor="accent5" w:themeShade="BF"/>
              </w:rPr>
              <w:t>Dấu hiệu tại chỗ</w:t>
            </w:r>
          </w:p>
        </w:tc>
        <w:tc>
          <w:tcPr>
            <w:tcW w:w="2430" w:type="dxa"/>
          </w:tcPr>
          <w:p w:rsidR="007F5769" w:rsidRDefault="007F5769" w:rsidP="00684DF7">
            <w:r>
              <w:t>Murphy</w:t>
            </w:r>
          </w:p>
          <w:p w:rsidR="007F5769" w:rsidRDefault="007F5769" w:rsidP="00684DF7">
            <w:r>
              <w:t>Đau, đề kháng, khối HSP</w:t>
            </w:r>
          </w:p>
        </w:tc>
        <w:tc>
          <w:tcPr>
            <w:tcW w:w="3270" w:type="dxa"/>
          </w:tcPr>
          <w:p w:rsidR="007F5769" w:rsidRDefault="007F5769" w:rsidP="00684DF7">
            <w:r>
              <w:t>Vàng da tắc mật</w:t>
            </w:r>
          </w:p>
          <w:p w:rsidR="007F5769" w:rsidRDefault="007F5769" w:rsidP="007F5769">
            <w:pPr>
              <w:pStyle w:val="ListParagraph"/>
              <w:numPr>
                <w:ilvl w:val="0"/>
                <w:numId w:val="31"/>
              </w:numPr>
              <w:ind w:left="432" w:hanging="270"/>
            </w:pPr>
            <w:r>
              <w:t>Vàng da hay bili &gt;=2 mg/dl</w:t>
            </w:r>
          </w:p>
          <w:p w:rsidR="007F5769" w:rsidRDefault="007F5769" w:rsidP="007F5769">
            <w:pPr>
              <w:pStyle w:val="ListParagraph"/>
              <w:numPr>
                <w:ilvl w:val="0"/>
                <w:numId w:val="31"/>
              </w:numPr>
              <w:ind w:left="432" w:hanging="270"/>
            </w:pPr>
            <w:r>
              <w:t>ALP, GGT, AST, ALT &gt;1.5 STD</w:t>
            </w:r>
          </w:p>
          <w:p w:rsidR="00F84B2E" w:rsidRDefault="00F84B2E" w:rsidP="00F84B2E">
            <w:pPr>
              <w:pStyle w:val="ListParagraph"/>
              <w:ind w:left="432"/>
            </w:pPr>
            <w:r>
              <w:t>(abnormal liver function test)</w:t>
            </w:r>
          </w:p>
        </w:tc>
      </w:tr>
      <w:tr w:rsidR="007F5769" w:rsidTr="00F84B2E">
        <w:tc>
          <w:tcPr>
            <w:tcW w:w="1188" w:type="dxa"/>
          </w:tcPr>
          <w:p w:rsidR="007F5769" w:rsidRPr="00F84B2E" w:rsidRDefault="007F5769" w:rsidP="007F5769">
            <w:pPr>
              <w:rPr>
                <w:b/>
                <w:color w:val="31849B" w:themeColor="accent5" w:themeShade="BF"/>
              </w:rPr>
            </w:pPr>
            <w:r w:rsidRPr="00F84B2E">
              <w:rPr>
                <w:b/>
                <w:color w:val="31849B" w:themeColor="accent5" w:themeShade="BF"/>
              </w:rPr>
              <w:t>Dấu hiệu toàn thân</w:t>
            </w:r>
          </w:p>
        </w:tc>
        <w:tc>
          <w:tcPr>
            <w:tcW w:w="2430" w:type="dxa"/>
          </w:tcPr>
          <w:p w:rsidR="007F5769" w:rsidRDefault="007F5769" w:rsidP="007F5769">
            <w:r>
              <w:t>Sốt &gt;38</w:t>
            </w:r>
            <w:r w:rsidRPr="007F5769">
              <w:rPr>
                <w:vertAlign w:val="superscript"/>
              </w:rPr>
              <w:t>o</w:t>
            </w:r>
            <w:r>
              <w:t>C</w:t>
            </w:r>
          </w:p>
          <w:p w:rsidR="007F5769" w:rsidRDefault="007F5769" w:rsidP="007F5769">
            <w:r>
              <w:t>BC &lt;4 &gt;10</w:t>
            </w:r>
          </w:p>
          <w:p w:rsidR="007F5769" w:rsidRDefault="007F5769" w:rsidP="007F5769">
            <w:r>
              <w:t xml:space="preserve">CRP </w:t>
            </w:r>
            <m:oMath>
              <m:r>
                <w:rPr>
                  <w:rFonts w:ascii="Cambria Math" w:hAnsi="Cambria Math"/>
                </w:rPr>
                <m:t>≥</m:t>
              </m:r>
            </m:oMath>
            <w:r>
              <w:rPr>
                <w:rFonts w:eastAsiaTheme="minorEastAsia"/>
              </w:rPr>
              <w:t>3 mg/dl</w:t>
            </w:r>
          </w:p>
        </w:tc>
        <w:tc>
          <w:tcPr>
            <w:tcW w:w="3270" w:type="dxa"/>
          </w:tcPr>
          <w:p w:rsidR="007F5769" w:rsidRDefault="007F5769" w:rsidP="00684DF7">
            <w:r>
              <w:t>Sốt/ lạnh run</w:t>
            </w:r>
          </w:p>
          <w:p w:rsidR="007F5769" w:rsidRDefault="007F5769" w:rsidP="007F5769">
            <w:r>
              <w:t xml:space="preserve">BC </w:t>
            </w:r>
          </w:p>
          <w:p w:rsidR="007F5769" w:rsidRDefault="007F5769" w:rsidP="007F5769">
            <w:r>
              <w:t xml:space="preserve">CRP </w:t>
            </w:r>
            <m:oMath>
              <m:r>
                <w:rPr>
                  <w:rFonts w:ascii="Cambria Math" w:hAnsi="Cambria Math"/>
                </w:rPr>
                <m:t>≥</m:t>
              </m:r>
            </m:oMath>
            <w:r>
              <w:rPr>
                <w:rFonts w:eastAsiaTheme="minorEastAsia"/>
              </w:rPr>
              <w:t>1 mg/dl</w:t>
            </w:r>
          </w:p>
        </w:tc>
      </w:tr>
      <w:tr w:rsidR="007F5769" w:rsidTr="00F84B2E">
        <w:tc>
          <w:tcPr>
            <w:tcW w:w="1188" w:type="dxa"/>
          </w:tcPr>
          <w:p w:rsidR="007F5769" w:rsidRPr="00F84B2E" w:rsidRDefault="007F5769" w:rsidP="00684DF7">
            <w:pPr>
              <w:rPr>
                <w:b/>
                <w:color w:val="31849B" w:themeColor="accent5" w:themeShade="BF"/>
              </w:rPr>
            </w:pPr>
            <w:r w:rsidRPr="00F84B2E">
              <w:rPr>
                <w:b/>
                <w:color w:val="31849B" w:themeColor="accent5" w:themeShade="BF"/>
              </w:rPr>
              <w:t>Hình ảnh học</w:t>
            </w:r>
          </w:p>
        </w:tc>
        <w:tc>
          <w:tcPr>
            <w:tcW w:w="2430" w:type="dxa"/>
          </w:tcPr>
          <w:p w:rsidR="007F5769" w:rsidRDefault="007F5769" w:rsidP="00684DF7">
            <w:r>
              <w:t>SA, CT scan</w:t>
            </w:r>
          </w:p>
        </w:tc>
        <w:tc>
          <w:tcPr>
            <w:tcW w:w="3270" w:type="dxa"/>
          </w:tcPr>
          <w:p w:rsidR="007F5769" w:rsidRDefault="007F5769" w:rsidP="00684DF7">
            <w:r>
              <w:t>Gián tiếp: giãn đường mật</w:t>
            </w:r>
          </w:p>
          <w:p w:rsidR="007F5769" w:rsidRDefault="007F5769" w:rsidP="00684DF7">
            <w:r>
              <w:t>Trực tiếp: thấy nguyên nhân gây giãn (sỏi</w:t>
            </w:r>
            <w:r w:rsidR="006E6393">
              <w:t>, hẹp, stent</w:t>
            </w:r>
            <w:r>
              <w:t>)</w:t>
            </w:r>
          </w:p>
        </w:tc>
      </w:tr>
    </w:tbl>
    <w:p w:rsidR="00684DF7" w:rsidRDefault="00684DF7" w:rsidP="00684DF7">
      <w:r w:rsidRPr="00155FA0">
        <w:rPr>
          <w:highlight w:val="yellow"/>
        </w:rPr>
        <w:t>Khi nghi ngời VTM mà chưa chẩn đoán đc, thì khám lại BN sau 6-12h</w:t>
      </w:r>
    </w:p>
    <w:p w:rsidR="00CC7D2A" w:rsidRDefault="00684DF7" w:rsidP="00684DF7">
      <w:r w:rsidRPr="00155FA0">
        <w:rPr>
          <w:highlight w:val="yellow"/>
        </w:rPr>
        <w:t xml:space="preserve">Khi chẩn đoán đc rồi thì đánh giá độ nặng ngay khi chẩn đoán, </w:t>
      </w:r>
      <w:r>
        <w:rPr>
          <w:highlight w:val="yellow"/>
        </w:rPr>
        <w:t>rồ</w:t>
      </w:r>
      <w:r w:rsidR="00CC7D2A">
        <w:rPr>
          <w:highlight w:val="yellow"/>
        </w:rPr>
        <w:t>i 6h, 12h, 24h, 48h lă</w:t>
      </w:r>
      <w:r>
        <w:rPr>
          <w:highlight w:val="yellow"/>
        </w:rPr>
        <w:t xml:space="preserve">p lại phân độ </w:t>
      </w:r>
      <w:r w:rsidR="00CC7D2A">
        <w:rPr>
          <w:highlight w:val="yellow"/>
        </w:rPr>
        <w:t>nặng</w:t>
      </w:r>
      <w:r w:rsidR="00CC7D2A">
        <w:t xml:space="preserve">. Công thức máu chỉ làm lại sau 12-24h </w:t>
      </w:r>
    </w:p>
    <w:p w:rsidR="00E00238" w:rsidRDefault="00E00238" w:rsidP="00684DF7">
      <w:r>
        <w:t>Tiêu chuẩn chẩn đoán theo Tokyo guidelines 2013 có độ nhạy 87%, độ đặc hiệu 77%</w:t>
      </w:r>
    </w:p>
    <w:p w:rsidR="005B686A" w:rsidRPr="007F776C" w:rsidRDefault="00E00238" w:rsidP="00E00238">
      <w:pPr>
        <w:pStyle w:val="ListParagraph"/>
        <w:numPr>
          <w:ilvl w:val="0"/>
          <w:numId w:val="27"/>
        </w:numPr>
        <w:ind w:left="360"/>
      </w:pPr>
      <w:r>
        <w:t>P</w:t>
      </w:r>
      <w:r w:rsidR="005B686A">
        <w:t>hân bạc màu cho thấy tình trạng tắc mật lâu dài. Không chờ dấu hiệu này trong trong nhiễm trùng đường mật do sỏi</w:t>
      </w:r>
    </w:p>
    <w:p w:rsidR="005B686A" w:rsidRDefault="005B686A" w:rsidP="00E00238">
      <w:pPr>
        <w:pStyle w:val="ListParagraph"/>
        <w:numPr>
          <w:ilvl w:val="0"/>
          <w:numId w:val="27"/>
        </w:numPr>
        <w:ind w:left="360"/>
      </w:pPr>
      <w:r>
        <w:t>Tam chứng Charcot: độ đăc hiệu rất cao nhưng độ nhạy thấp</w:t>
      </w:r>
      <w:r w:rsidR="00F84B2E">
        <w:t xml:space="preserve"> (chỉ gặp trong 50% NTĐM)</w:t>
      </w:r>
      <w:r>
        <w:t>. Việc có hay không có tam chứng Charcot không phản ánh độ nặng của NTĐM.</w:t>
      </w:r>
    </w:p>
    <w:p w:rsidR="006609AC" w:rsidRDefault="006609AC" w:rsidP="006609AC">
      <w:pPr>
        <w:pStyle w:val="ListParagraph"/>
        <w:ind w:left="360"/>
      </w:pPr>
      <w:r>
        <w:t>Ngũ chứng Reynold: Charcot + tụt huyết áp + rối loạn tri giác (dấu hiệu Reynolds và Dargan)</w:t>
      </w:r>
    </w:p>
    <w:p w:rsidR="005B686A" w:rsidRPr="009626A5" w:rsidRDefault="005B686A" w:rsidP="00E00238">
      <w:pPr>
        <w:pStyle w:val="ListParagraph"/>
        <w:numPr>
          <w:ilvl w:val="0"/>
          <w:numId w:val="27"/>
        </w:numPr>
        <w:ind w:left="360"/>
      </w:pPr>
      <w:r>
        <w:t>B</w:t>
      </w:r>
      <w:r w:rsidR="00F84B2E">
        <w:t>N</w:t>
      </w:r>
      <w:r>
        <w:t xml:space="preserve"> có </w:t>
      </w:r>
      <w:r w:rsidR="00E00238">
        <w:t>NTĐM</w:t>
      </w:r>
      <w:r>
        <w:t xml:space="preserve"> kèm đi cầu ra máu: nghi IBD (bệnh viêm ruột) kèm với viêm đường mật xơ hóa nguyên phát. ERCP có hình ảnh chuỗi hạt do đường mật chỗ hẹp, chỗ dãn.</w:t>
      </w:r>
    </w:p>
    <w:p w:rsidR="00865158" w:rsidRDefault="00865158" w:rsidP="00E00238">
      <w:pPr>
        <w:pStyle w:val="ListParagraph"/>
        <w:numPr>
          <w:ilvl w:val="0"/>
          <w:numId w:val="27"/>
        </w:numPr>
        <w:ind w:left="360"/>
      </w:pPr>
      <w:r>
        <w:t>Bilirubin 2-2.5 mg/dl: vàng da dưới lâm sàng</w:t>
      </w:r>
    </w:p>
    <w:p w:rsidR="005B686A" w:rsidRDefault="001D2CE4" w:rsidP="00E00238">
      <w:pPr>
        <w:pStyle w:val="ListParagraph"/>
        <w:numPr>
          <w:ilvl w:val="0"/>
          <w:numId w:val="27"/>
        </w:numPr>
        <w:ind w:left="360"/>
      </w:pPr>
      <w:r>
        <w:t xml:space="preserve">Khi tắc mật AST, ALT tăng nhanh sau đó giảm trong vòng 24-72h dù chưa hết tắc mật. </w:t>
      </w:r>
      <w:r w:rsidR="006609AC">
        <w:t xml:space="preserve">Còn </w:t>
      </w:r>
      <w:r>
        <w:t>GGT, phosphatase kiềm tăng sau nhưng kéo dài hơn</w:t>
      </w:r>
      <w:r w:rsidR="00F56459">
        <w:t xml:space="preserve">. </w:t>
      </w:r>
      <w:r w:rsidR="00E00238">
        <w:t>Các c</w:t>
      </w:r>
      <w:r w:rsidR="00F56459">
        <w:t xml:space="preserve">hất này bán hủy 7 ngày nên vẫn còn cao sau khi hết tắc mật 1 tuần. GGT nữ bình thường </w:t>
      </w:r>
      <m:oMath>
        <m:r>
          <w:rPr>
            <w:rFonts w:ascii="Cambria Math" w:hAnsi="Cambria Math"/>
          </w:rPr>
          <m:t>≤</m:t>
        </m:r>
      </m:oMath>
      <w:r w:rsidR="00F56459">
        <w:t xml:space="preserve">30 U/L, nam </w:t>
      </w:r>
      <m:oMath>
        <m:r>
          <w:rPr>
            <w:rFonts w:ascii="Cambria Math" w:hAnsi="Cambria Math"/>
          </w:rPr>
          <m:t>≤</m:t>
        </m:r>
      </m:oMath>
      <w:r w:rsidR="00F56459">
        <w:t>50 U/L</w:t>
      </w:r>
      <w:r w:rsidR="00E00238">
        <w:br/>
        <w:t>Còn nếu AST, ALT tăng rất cao thì coi chừng NTĐM</w:t>
      </w:r>
      <w:r w:rsidR="005B686A">
        <w:t xml:space="preserve"> kéo dài có thể</w:t>
      </w:r>
      <w:r w:rsidR="00E00238">
        <w:t xml:space="preserve"> gây vi áp xe trong gan</w:t>
      </w:r>
      <w:r w:rsidR="005B686A">
        <w:t>.</w:t>
      </w:r>
    </w:p>
    <w:p w:rsidR="005B686A" w:rsidRDefault="005B686A" w:rsidP="00E00238">
      <w:pPr>
        <w:pStyle w:val="ListParagraph"/>
        <w:numPr>
          <w:ilvl w:val="0"/>
          <w:numId w:val="27"/>
        </w:numPr>
        <w:ind w:left="360"/>
      </w:pPr>
      <w:r>
        <w:t>CT có cản quang: giúp chẩn đoán NTĐM: quá trình viêm quanh ống mật lan tới vùng quanh tĩnh mạch cửa gây giảm dòng máu tĩnh mạch cửa và tăng dòng máu động mạch bù trừ</w:t>
      </w:r>
      <w:r>
        <w:sym w:font="Wingdings" w:char="F0E0"/>
      </w:r>
      <w:r>
        <w:t xml:space="preserve"> vùng tăng đậm độ nhu mô gan không đồng nhất (inhomogeneous hepatic parenchymal enhancement) ở thì động mạch, biến mất ở thì tĩnh mạch cửa và equilibrium phases.</w:t>
      </w:r>
    </w:p>
    <w:p w:rsidR="00865158" w:rsidRDefault="00865158" w:rsidP="00E00238">
      <w:pPr>
        <w:pStyle w:val="ListParagraph"/>
        <w:numPr>
          <w:ilvl w:val="0"/>
          <w:numId w:val="27"/>
        </w:numPr>
        <w:ind w:left="360"/>
      </w:pPr>
      <w:r>
        <w:t xml:space="preserve">MRCP: </w:t>
      </w:r>
      <w:r w:rsidRPr="00C3239C">
        <w:rPr>
          <w:color w:val="FF0000"/>
        </w:rPr>
        <w:t>T1 thì dịch màu đen, T2 thì dịch màu trắng</w:t>
      </w:r>
      <w:r>
        <w:t>. Muốn biết T1 hay T2 thì coi dịch não tủy. Đường mật thấy rõ ở T2</w:t>
      </w:r>
    </w:p>
    <w:p w:rsidR="00865158" w:rsidRDefault="00865158" w:rsidP="00E00238">
      <w:pPr>
        <w:pStyle w:val="ListParagraph"/>
        <w:numPr>
          <w:ilvl w:val="0"/>
          <w:numId w:val="27"/>
        </w:numPr>
        <w:ind w:left="360"/>
      </w:pPr>
      <w:r>
        <w:t>XQ đường mật trong mổ và ERCP thì cản quang có màu đen khi lên hình. ERCP là tiêm thuốc từ dưới lên, XQ thì từ trên xuống</w:t>
      </w:r>
      <w:r w:rsidR="006609AC">
        <w:t>. XQ đường mật trong mổ phải pha loãng thuốc cản quang, ko thôi nó sẽ che mờ luôn sỏi</w:t>
      </w:r>
    </w:p>
    <w:p w:rsidR="00865158" w:rsidRPr="005B686A" w:rsidRDefault="00865158" w:rsidP="00E00238">
      <w:pPr>
        <w:pStyle w:val="ListParagraph"/>
        <w:numPr>
          <w:ilvl w:val="0"/>
          <w:numId w:val="27"/>
        </w:numPr>
        <w:ind w:left="360"/>
      </w:pPr>
      <w:r>
        <w:t>Khả năng phát hiện sỏi OMC: siêu âm &lt;CT &lt; ERCP, XQ đường mật trong mổ &lt; SA trong mổ &lt; MRCP</w:t>
      </w:r>
    </w:p>
    <w:p w:rsidR="005751BC" w:rsidRDefault="005751BC" w:rsidP="00DE0BE9">
      <w:pPr>
        <w:pStyle w:val="Heading1"/>
      </w:pPr>
      <w:r>
        <w:t>PHÂN ĐỘ</w:t>
      </w:r>
    </w:p>
    <w:p w:rsidR="00F56459" w:rsidRDefault="00F56459" w:rsidP="00F56459">
      <w:r>
        <w:t>Độ 3: giống VTM cấp</w:t>
      </w:r>
    </w:p>
    <w:p w:rsidR="00F56459" w:rsidRDefault="00F56459" w:rsidP="00F56459">
      <w:r>
        <w:t xml:space="preserve">Độ 2: Có </w:t>
      </w:r>
      <w:r w:rsidRPr="00C45ABF">
        <w:rPr>
          <w:highlight w:val="cyan"/>
        </w:rPr>
        <w:t>2 trong 5</w:t>
      </w:r>
      <w:r>
        <w:t xml:space="preserve"> tiêu chuẩn sau. AAHHH</w:t>
      </w:r>
    </w:p>
    <w:p w:rsidR="00F56459" w:rsidRDefault="00F56459" w:rsidP="00F56459">
      <w:pPr>
        <w:pStyle w:val="ListParagraph"/>
        <w:numPr>
          <w:ilvl w:val="0"/>
          <w:numId w:val="26"/>
        </w:numPr>
      </w:pPr>
      <w:r>
        <w:t>Abnormal WBC &gt;12k, &lt;4k</w:t>
      </w:r>
    </w:p>
    <w:p w:rsidR="00F56459" w:rsidRPr="00F56459" w:rsidRDefault="00F56459" w:rsidP="00F56459">
      <w:pPr>
        <w:pStyle w:val="ListParagraph"/>
        <w:numPr>
          <w:ilvl w:val="0"/>
          <w:numId w:val="26"/>
        </w:numPr>
        <w:rPr>
          <w:rFonts w:eastAsiaTheme="minorEastAsia"/>
        </w:rPr>
      </w:pPr>
      <w:r>
        <w:t xml:space="preserve">Age </w:t>
      </w:r>
      <m:oMath>
        <m:r>
          <w:rPr>
            <w:rFonts w:ascii="Cambria Math" w:hAnsi="Cambria Math"/>
          </w:rPr>
          <m:t>≥</m:t>
        </m:r>
      </m:oMath>
      <w:r w:rsidRPr="00F56459">
        <w:rPr>
          <w:rFonts w:eastAsiaTheme="minorEastAsia"/>
        </w:rPr>
        <w:t>75</w:t>
      </w:r>
    </w:p>
    <w:p w:rsidR="00F56459" w:rsidRPr="00F56459" w:rsidRDefault="00F56459" w:rsidP="00F56459">
      <w:pPr>
        <w:pStyle w:val="ListParagraph"/>
        <w:numPr>
          <w:ilvl w:val="0"/>
          <w:numId w:val="26"/>
        </w:numPr>
        <w:rPr>
          <w:rFonts w:eastAsiaTheme="minorEastAsia"/>
        </w:rPr>
      </w:pPr>
      <w:r w:rsidRPr="00F56459">
        <w:rPr>
          <w:rFonts w:eastAsiaTheme="minorEastAsia"/>
        </w:rPr>
        <w:t xml:space="preserve">High fever </w:t>
      </w:r>
      <m:oMath>
        <m:r>
          <w:rPr>
            <w:rFonts w:ascii="Cambria Math" w:hAnsi="Cambria Math"/>
          </w:rPr>
          <m:t>≥</m:t>
        </m:r>
      </m:oMath>
      <w:r w:rsidRPr="00F56459">
        <w:rPr>
          <w:rFonts w:eastAsiaTheme="minorEastAsia"/>
        </w:rPr>
        <w:t>39</w:t>
      </w:r>
    </w:p>
    <w:p w:rsidR="00F56459" w:rsidRPr="00F56459" w:rsidRDefault="00F56459" w:rsidP="00F56459">
      <w:pPr>
        <w:pStyle w:val="ListParagraph"/>
        <w:numPr>
          <w:ilvl w:val="0"/>
          <w:numId w:val="26"/>
        </w:numPr>
        <w:rPr>
          <w:rFonts w:eastAsiaTheme="minorEastAsia"/>
        </w:rPr>
      </w:pPr>
      <w:r w:rsidRPr="00F56459">
        <w:rPr>
          <w:rFonts w:eastAsiaTheme="minorEastAsia"/>
        </w:rPr>
        <w:t xml:space="preserve">Hyperbilirubin </w:t>
      </w:r>
      <m:oMath>
        <m:r>
          <w:rPr>
            <w:rFonts w:ascii="Cambria Math" w:hAnsi="Cambria Math"/>
          </w:rPr>
          <m:t>≥</m:t>
        </m:r>
      </m:oMath>
      <w:r w:rsidRPr="00F56459">
        <w:rPr>
          <w:rFonts w:eastAsiaTheme="minorEastAsia"/>
        </w:rPr>
        <w:t>5 mg/dl</w:t>
      </w:r>
    </w:p>
    <w:p w:rsidR="005B686A" w:rsidRPr="005B686A" w:rsidRDefault="00F56459" w:rsidP="00DE0BE9">
      <w:pPr>
        <w:pStyle w:val="ListParagraph"/>
        <w:numPr>
          <w:ilvl w:val="0"/>
          <w:numId w:val="26"/>
        </w:numPr>
      </w:pPr>
      <w:r w:rsidRPr="00F56459">
        <w:rPr>
          <w:rFonts w:eastAsiaTheme="minorEastAsia"/>
        </w:rPr>
        <w:lastRenderedPageBreak/>
        <w:t>Hypoalbumin &lt;STD x 0.7</w:t>
      </w:r>
    </w:p>
    <w:p w:rsidR="005751BC" w:rsidRDefault="005751BC" w:rsidP="00DE0BE9">
      <w:pPr>
        <w:pStyle w:val="Heading1"/>
      </w:pPr>
      <w:r>
        <w:t>ĐIỀU TRỊ</w:t>
      </w:r>
    </w:p>
    <w:p w:rsidR="005B686A" w:rsidRDefault="005B686A" w:rsidP="00DE0BE9">
      <w:r>
        <w:t>2 yếu tố quan trọng nhất trong điều trị: dẫn lưu đường mật và kháng sinh thích hợp.</w:t>
      </w:r>
    </w:p>
    <w:p w:rsidR="003F58BE" w:rsidRPr="005B686A" w:rsidRDefault="003F58BE" w:rsidP="00DE0BE9">
      <w:r w:rsidRPr="003F58BE">
        <w:rPr>
          <w:rFonts w:ascii="Calibri" w:eastAsia="Calibri" w:hAnsi="Calibri" w:cs="Times New Roman"/>
          <w:highlight w:val="yellow"/>
        </w:rPr>
        <w:t xml:space="preserve">Độ 1: </w:t>
      </w:r>
      <w:r w:rsidR="00684DF7" w:rsidRPr="00E823A6">
        <w:rPr>
          <w:rFonts w:ascii="Calibri" w:eastAsia="Calibri" w:hAnsi="Calibri" w:cs="Times New Roman"/>
          <w:highlight w:val="yellow"/>
        </w:rPr>
        <w:t xml:space="preserve">Lúc 6h, 12h, đánh giá lại chuyển độ nặng thì phải đổi </w:t>
      </w:r>
      <w:r w:rsidR="00F84B2E">
        <w:rPr>
          <w:rFonts w:ascii="Calibri" w:eastAsia="Calibri" w:hAnsi="Calibri" w:cs="Times New Roman"/>
          <w:highlight w:val="yellow"/>
        </w:rPr>
        <w:t>cá</w:t>
      </w:r>
      <w:r w:rsidR="00684DF7" w:rsidRPr="00E823A6">
        <w:rPr>
          <w:rFonts w:ascii="Calibri" w:eastAsia="Calibri" w:hAnsi="Calibri" w:cs="Times New Roman"/>
          <w:highlight w:val="yellow"/>
        </w:rPr>
        <w:t>ch xử trí ngay.</w:t>
      </w:r>
      <w:r w:rsidR="00684DF7">
        <w:rPr>
          <w:rFonts w:ascii="Calibri" w:eastAsia="Calibri" w:hAnsi="Calibri" w:cs="Times New Roman"/>
        </w:rPr>
        <w:t xml:space="preserve"> </w:t>
      </w:r>
      <w:r w:rsidR="00684DF7">
        <w:rPr>
          <w:rFonts w:ascii="Calibri" w:eastAsia="Calibri" w:hAnsi="Calibri" w:cs="Times New Roman"/>
          <w:highlight w:val="yellow"/>
        </w:rPr>
        <w:t>Còn</w:t>
      </w:r>
      <w:r w:rsidR="00684DF7" w:rsidRPr="00155FA0">
        <w:rPr>
          <w:rFonts w:ascii="Calibri" w:eastAsia="Calibri" w:hAnsi="Calibri" w:cs="Times New Roman"/>
          <w:highlight w:val="yellow"/>
        </w:rPr>
        <w:t xml:space="preserve"> nếu sau 24h bảo tồn, ko đáp ứng thì </w:t>
      </w:r>
      <w:r w:rsidR="00F84B2E" w:rsidRPr="00F84B2E">
        <w:rPr>
          <w:rFonts w:ascii="Calibri" w:eastAsia="Calibri" w:hAnsi="Calibri" w:cs="Times New Roman"/>
          <w:highlight w:val="yellow"/>
        </w:rPr>
        <w:t>dẫn lưu/mổ</w:t>
      </w:r>
    </w:p>
    <w:p w:rsidR="005751BC" w:rsidRDefault="005751BC" w:rsidP="00C53DF6">
      <w:pPr>
        <w:pStyle w:val="Heading3"/>
        <w:numPr>
          <w:ilvl w:val="0"/>
          <w:numId w:val="28"/>
        </w:numPr>
      </w:pPr>
      <w:r>
        <w:t>LƯU ĐỒ ĐIỀU TRỊ</w:t>
      </w:r>
    </w:p>
    <w:p w:rsidR="005B686A" w:rsidRDefault="005B686A" w:rsidP="00DE0BE9">
      <w:r w:rsidRPr="005B686A">
        <w:rPr>
          <w:noProof/>
        </w:rPr>
        <w:drawing>
          <wp:inline distT="0" distB="0" distL="0" distR="0" wp14:anchorId="79D496BA" wp14:editId="6BA7553A">
            <wp:extent cx="4973320" cy="3432915"/>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73320" cy="3432915"/>
                    </a:xfrm>
                    <a:prstGeom prst="rect">
                      <a:avLst/>
                    </a:prstGeom>
                    <a:noFill/>
                    <a:ln w="9525">
                      <a:noFill/>
                      <a:miter lim="800000"/>
                      <a:headEnd/>
                      <a:tailEnd/>
                    </a:ln>
                  </pic:spPr>
                </pic:pic>
              </a:graphicData>
            </a:graphic>
          </wp:inline>
        </w:drawing>
      </w:r>
    </w:p>
    <w:p w:rsidR="00B416B1" w:rsidRDefault="00B416B1" w:rsidP="00C53DF6">
      <w:pPr>
        <w:pStyle w:val="Heading3"/>
        <w:numPr>
          <w:ilvl w:val="0"/>
          <w:numId w:val="28"/>
        </w:numPr>
      </w:pPr>
      <w:r>
        <w:t>CÁC PHƯƠNG PHÁP LẤY SỎI MẬT</w:t>
      </w:r>
      <w:r w:rsidR="00EB7194">
        <w:t xml:space="preserve"> (coi file phác đồ mổ)</w:t>
      </w:r>
    </w:p>
    <w:p w:rsidR="00B416B1" w:rsidRDefault="00B416B1" w:rsidP="00DE0BE9">
      <w:pPr>
        <w:pStyle w:val="Heading4"/>
      </w:pPr>
      <w:r>
        <w:t>SỎI ỐNG MẬT CHỦ</w:t>
      </w:r>
    </w:p>
    <w:p w:rsidR="00C53DF6" w:rsidRDefault="00C53DF6" w:rsidP="00C53DF6">
      <w:r w:rsidRPr="00C53DF6">
        <w:rPr>
          <w:highlight w:val="cyan"/>
        </w:rPr>
        <w:t>Sỏi OMC ko triệu chứng chỉ mổ khi sỏi &gt;1 cm</w:t>
      </w:r>
    </w:p>
    <w:p w:rsidR="00F5519E" w:rsidRDefault="00F5519E" w:rsidP="00DE0BE9">
      <w:pPr>
        <w:pStyle w:val="ListParagraph"/>
        <w:numPr>
          <w:ilvl w:val="0"/>
          <w:numId w:val="23"/>
        </w:numPr>
      </w:pPr>
      <w:r>
        <w:t>Biến chứng ERCP</w:t>
      </w:r>
    </w:p>
    <w:p w:rsidR="00F5519E" w:rsidRDefault="00F5519E" w:rsidP="00F5519E">
      <w:pPr>
        <w:pStyle w:val="ListParagraph"/>
      </w:pPr>
      <w:r>
        <w:t>◦ Viêm tụy cấp: 3%</w:t>
      </w:r>
    </w:p>
    <w:p w:rsidR="00F5519E" w:rsidRDefault="00F5519E" w:rsidP="00F5519E">
      <w:pPr>
        <w:pStyle w:val="ListParagraph"/>
      </w:pPr>
      <w:r>
        <w:t>◦ Chảy máu: 2%</w:t>
      </w:r>
    </w:p>
    <w:p w:rsidR="00F5519E" w:rsidRDefault="00F5519E" w:rsidP="00F5519E">
      <w:pPr>
        <w:pStyle w:val="ListParagraph"/>
      </w:pPr>
      <w:r>
        <w:t>◦ Thủng tá tràng: 1%</w:t>
      </w:r>
    </w:p>
    <w:p w:rsidR="00F5519E" w:rsidRDefault="00F5519E" w:rsidP="00F5519E">
      <w:pPr>
        <w:pStyle w:val="ListParagraph"/>
      </w:pPr>
      <w:r>
        <w:t>◦ Viêm đường mật ngược dòng: do chưa dẫn lưu đường mật tốt</w:t>
      </w:r>
    </w:p>
    <w:p w:rsidR="00F5519E" w:rsidRDefault="00F5519E" w:rsidP="00F5519E">
      <w:pPr>
        <w:pStyle w:val="ListParagraph"/>
      </w:pPr>
      <w:r>
        <w:t>◦ Kẹt rọ</w:t>
      </w:r>
    </w:p>
    <w:p w:rsidR="00B416B1" w:rsidRDefault="00B416B1" w:rsidP="00DE0BE9">
      <w:pPr>
        <w:pStyle w:val="ListParagraph"/>
        <w:numPr>
          <w:ilvl w:val="0"/>
          <w:numId w:val="23"/>
        </w:numPr>
      </w:pPr>
      <w:r>
        <w:t>Các trường hợp ko làm ERCP đượ</w:t>
      </w:r>
      <w:r w:rsidR="00DE0BE9">
        <w:t xml:space="preserve">c (nhớ từ dạ dày </w:t>
      </w:r>
      <w:r w:rsidR="00DE0BE9">
        <w:sym w:font="Wingdings" w:char="F0E0"/>
      </w:r>
      <w:r w:rsidR="00DE0BE9">
        <w:t xml:space="preserve"> tá tràng </w:t>
      </w:r>
      <w:r w:rsidR="00DE0BE9">
        <w:sym w:font="Wingdings" w:char="F0E0"/>
      </w:r>
      <w:r w:rsidR="00DE0BE9">
        <w:t xml:space="preserve"> OMC </w:t>
      </w:r>
      <w:r w:rsidR="00DE0BE9">
        <w:sym w:font="Wingdings" w:char="F0E0"/>
      </w:r>
      <w:r w:rsidR="00DE0BE9">
        <w:t xml:space="preserve"> lên đến gan)</w:t>
      </w:r>
    </w:p>
    <w:p w:rsidR="00B416B1" w:rsidRDefault="00B416B1" w:rsidP="00DE0BE9">
      <w:pPr>
        <w:pStyle w:val="ListParagraph"/>
        <w:numPr>
          <w:ilvl w:val="0"/>
          <w:numId w:val="13"/>
        </w:numPr>
      </w:pPr>
      <w:r>
        <w:t>Đã cắt dạ dày, nối dạ dày hỗng tràng</w:t>
      </w:r>
    </w:p>
    <w:p w:rsidR="00B416B1" w:rsidRDefault="00B416B1" w:rsidP="00DE0BE9">
      <w:pPr>
        <w:pStyle w:val="ListParagraph"/>
        <w:numPr>
          <w:ilvl w:val="0"/>
          <w:numId w:val="13"/>
        </w:numPr>
      </w:pPr>
      <w:r>
        <w:t>Túi thừa tá tràng</w:t>
      </w:r>
    </w:p>
    <w:p w:rsidR="00B416B1" w:rsidRDefault="00B416B1" w:rsidP="00DE0BE9">
      <w:pPr>
        <w:pStyle w:val="ListParagraph"/>
        <w:numPr>
          <w:ilvl w:val="0"/>
          <w:numId w:val="13"/>
        </w:numPr>
      </w:pPr>
      <w:r>
        <w:t>Sỏi quá lớn</w:t>
      </w:r>
      <w:r w:rsidR="00DE0BE9">
        <w:t>, quá nhiều</w:t>
      </w:r>
    </w:p>
    <w:p w:rsidR="00B416B1" w:rsidRDefault="00B416B1" w:rsidP="00DE0BE9">
      <w:pPr>
        <w:pStyle w:val="ListParagraph"/>
        <w:numPr>
          <w:ilvl w:val="0"/>
          <w:numId w:val="13"/>
        </w:numPr>
      </w:pPr>
      <w:r>
        <w:t>Sỏi gan</w:t>
      </w:r>
    </w:p>
    <w:p w:rsidR="00B416B1" w:rsidRDefault="00B416B1" w:rsidP="00DE0BE9">
      <w:pPr>
        <w:pStyle w:val="ListParagraph"/>
        <w:numPr>
          <w:ilvl w:val="0"/>
          <w:numId w:val="23"/>
        </w:numPr>
      </w:pPr>
      <w:r>
        <w:t>Chỉ định mở OMC lấy sỏi</w:t>
      </w:r>
    </w:p>
    <w:p w:rsidR="00B416B1" w:rsidRDefault="00B416B1" w:rsidP="00DE0BE9">
      <w:pPr>
        <w:pStyle w:val="ListParagraph"/>
        <w:numPr>
          <w:ilvl w:val="0"/>
          <w:numId w:val="14"/>
        </w:numPr>
      </w:pPr>
      <w:r>
        <w:t>ERCP thất bại</w:t>
      </w:r>
    </w:p>
    <w:p w:rsidR="00B416B1" w:rsidRDefault="00B416B1" w:rsidP="00DE0BE9">
      <w:pPr>
        <w:pStyle w:val="ListParagraph"/>
        <w:numPr>
          <w:ilvl w:val="0"/>
          <w:numId w:val="14"/>
        </w:numPr>
      </w:pPr>
      <w:r>
        <w:t>Sỏi to, nhiều</w:t>
      </w:r>
    </w:p>
    <w:p w:rsidR="00B416B1" w:rsidRDefault="00B416B1" w:rsidP="00DE0BE9">
      <w:pPr>
        <w:pStyle w:val="ListParagraph"/>
        <w:numPr>
          <w:ilvl w:val="0"/>
          <w:numId w:val="14"/>
        </w:numPr>
      </w:pPr>
      <w:r>
        <w:t>Có hẹp đường mật</w:t>
      </w:r>
    </w:p>
    <w:p w:rsidR="00B416B1" w:rsidRDefault="00B416B1" w:rsidP="00DE0BE9">
      <w:pPr>
        <w:pStyle w:val="ListParagraph"/>
        <w:numPr>
          <w:ilvl w:val="0"/>
          <w:numId w:val="23"/>
        </w:numPr>
      </w:pPr>
      <w:r>
        <w:t>Chỉ định mở OMC + nối mật ruộ</w:t>
      </w:r>
      <w:r w:rsidR="00DE0BE9">
        <w:t xml:space="preserve">t: </w:t>
      </w:r>
      <w:r>
        <w:t>Khi có tắc đoạn cuối OMC</w:t>
      </w:r>
      <w:r w:rsidR="00F5519E">
        <w:br/>
        <w:t>Nhược diểm: nhiễm trùng ngược dòng</w:t>
      </w:r>
    </w:p>
    <w:p w:rsidR="00E31B48" w:rsidRDefault="00E31B48" w:rsidP="00F5519E">
      <w:pPr>
        <w:pStyle w:val="ListParagraph"/>
        <w:numPr>
          <w:ilvl w:val="0"/>
          <w:numId w:val="23"/>
        </w:numPr>
      </w:pPr>
      <w:r>
        <w:t>Biến chứng Kehr</w:t>
      </w:r>
    </w:p>
    <w:p w:rsidR="00E31B48" w:rsidRDefault="00E31B48" w:rsidP="00E31B48">
      <w:pPr>
        <w:pStyle w:val="ListParagraph"/>
      </w:pPr>
      <w:r>
        <w:lastRenderedPageBreak/>
        <w:t xml:space="preserve">Kehr gập góc </w:t>
      </w:r>
      <w:r>
        <w:sym w:font="Wingdings" w:char="F0E0"/>
      </w:r>
      <w:r>
        <w:t xml:space="preserve"> VĐM lại</w:t>
      </w:r>
    </w:p>
    <w:p w:rsidR="00E31B48" w:rsidRDefault="00E31B48" w:rsidP="00E31B48">
      <w:pPr>
        <w:pStyle w:val="ListParagraph"/>
      </w:pPr>
      <w:r>
        <w:t>Tụt Kerh: rò mật ít thì thôi chứ VPM là phải mổ lại</w:t>
      </w:r>
    </w:p>
    <w:p w:rsidR="00287389" w:rsidRDefault="006E18ED" w:rsidP="00B76C75">
      <w:pPr>
        <w:pStyle w:val="ListParagraph"/>
      </w:pPr>
      <w:r>
        <w:t>Đường hầm ko lành: phải đặt ống dẫn lưu vào chỗ tụ dịch</w:t>
      </w:r>
    </w:p>
    <w:p w:rsidR="005751BC" w:rsidRDefault="005751BC" w:rsidP="00C53DF6">
      <w:pPr>
        <w:pStyle w:val="Heading3"/>
        <w:numPr>
          <w:ilvl w:val="0"/>
          <w:numId w:val="28"/>
        </w:numPr>
      </w:pPr>
      <w:r>
        <w:t>DẪN LƯU</w:t>
      </w:r>
    </w:p>
    <w:p w:rsidR="005B686A" w:rsidRDefault="005B686A" w:rsidP="00DE0BE9">
      <w:r>
        <w:t>Dẫn lưu đường mật: 3 cách: bằng nội soi, chọc xuyên gan qua da và bằng phẫu thuật.</w:t>
      </w:r>
    </w:p>
    <w:p w:rsidR="005B686A" w:rsidRDefault="005B686A" w:rsidP="00DE0BE9">
      <w:pPr>
        <w:pStyle w:val="ListParagraph"/>
        <w:numPr>
          <w:ilvl w:val="0"/>
          <w:numId w:val="5"/>
        </w:numPr>
      </w:pPr>
      <w:r>
        <w:t>Nội soi: ưu tiên số 1 cho nhiễm trùng đường mật cấp, bất kể nguyên nhân lành tính hay ác tính.</w:t>
      </w:r>
    </w:p>
    <w:p w:rsidR="005B686A" w:rsidRDefault="005B686A" w:rsidP="00DE0BE9">
      <w:r>
        <w:t>Dẫn lưu mật: 2 kĩ thuật sau hiệu quả tương đương nhau:</w:t>
      </w:r>
    </w:p>
    <w:p w:rsidR="005B686A" w:rsidRDefault="005B686A" w:rsidP="00DE0BE9">
      <w:pPr>
        <w:pStyle w:val="ListParagraph"/>
        <w:numPr>
          <w:ilvl w:val="0"/>
          <w:numId w:val="8"/>
        </w:numPr>
      </w:pPr>
      <w:r>
        <w:t>Endoscopic naso-biliary drainage (ENBD): dẫn lưu ngoài; không nên dùng trong các t rường hợp bn ko hợp tác, có thể tự rút ống thông ở mũi ra, hoặc các trường hợp cấu trúc mũi bất thường làm đặt ống khó khăn.</w:t>
      </w:r>
    </w:p>
    <w:p w:rsidR="005B686A" w:rsidRDefault="005B686A" w:rsidP="00DE0BE9">
      <w:pPr>
        <w:pStyle w:val="ListParagraph"/>
        <w:numPr>
          <w:ilvl w:val="0"/>
          <w:numId w:val="8"/>
        </w:numPr>
      </w:pPr>
      <w:r>
        <w:t>Endoscopic biliary stening (EBS): dẫn lưu trong.</w:t>
      </w:r>
    </w:p>
    <w:p w:rsidR="005B686A" w:rsidRDefault="005B686A" w:rsidP="00DE0BE9">
      <w:r>
        <w:t>Endoscopic sphincterotomy (EST): chỉ đinh tùy tình trạng bệnh nhân và kỹ thuật của phẫu thuật viên. EST sau đó lấy sỏi mà không dẫn lưu mật có thể được chỉ định như một phương  pháp ở bệnh nhân nhiễm trùng đường mật do sỏi. bất lợi: có thể gây chảy máu, nhất là ở bệnh nhân độ III có kèm rối loạn đông máu; gây viêm tụy cấp. Ưu điểm: vừa dẫn lưu mật, vừa điều trị nguyên nhân là sỏi trong một lần nội soi, rút ngắn thời gian nằm viện</w:t>
      </w:r>
    </w:p>
    <w:p w:rsidR="005B686A" w:rsidRDefault="005B686A" w:rsidP="00DE0BE9">
      <w:r>
        <w:t xml:space="preserve">Endoscopic papillary balloon dilation (EPBD): được dùng thay cho EST để lấy sỏi ống mật chủ. Ưu điểm tương tự EST. nghiên cứu cho thấy EPBD </w:t>
      </w:r>
      <w:r w:rsidRPr="00C3239C">
        <w:rPr>
          <w:color w:val="FF0000"/>
        </w:rPr>
        <w:t>lấy sỏi kém hiệu quả hơn</w:t>
      </w:r>
      <w:r>
        <w:t xml:space="preserve">, cần tán sỏi cơ học nhiều hơn nguy cơ </w:t>
      </w:r>
      <w:r w:rsidRPr="00223D8F">
        <w:rPr>
          <w:color w:val="FF0000"/>
        </w:rPr>
        <w:t>viêm tụy cấp cao hơn</w:t>
      </w:r>
      <w:r>
        <w:t>, nhưng ít gây chảy máu  hơn. Do đó, nó có lợi thế trong trường hợ</w:t>
      </w:r>
      <w:r w:rsidR="00C53DF6">
        <w:t>p rối</w:t>
      </w:r>
      <w:r>
        <w:t xml:space="preserve"> loạn đông máu, sỏi mật nhỏ; và nên tránh trong trường hợp viêm tụy cấp do sỏi mật.</w:t>
      </w:r>
    </w:p>
    <w:p w:rsidR="005B686A" w:rsidRDefault="005B686A" w:rsidP="00DE0BE9">
      <w:r>
        <w:t>Các kỹ thuật đặc biệt: single balloon enteroscopy (SBE) và double balloon enteroscopy (DBE), ultrasonography guided biliary drainage: khi thay đổi cấu trúc đường ruột làm nội soi bình thường  ko tiếp cận được (roux-en-Y): chỉ dùng  khi phẫu thuật viên có kinh nghiệm.</w:t>
      </w:r>
    </w:p>
    <w:p w:rsidR="005B686A" w:rsidRDefault="005B686A" w:rsidP="00DE0BE9">
      <w:r>
        <w:rPr>
          <w:noProof/>
        </w:rPr>
        <w:drawing>
          <wp:inline distT="0" distB="0" distL="0" distR="0" wp14:anchorId="3CC30530" wp14:editId="20AADC34">
            <wp:extent cx="2708824" cy="2775947"/>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878" cy="2774977"/>
                    </a:xfrm>
                    <a:prstGeom prst="rect">
                      <a:avLst/>
                    </a:prstGeom>
                    <a:noFill/>
                    <a:ln>
                      <a:noFill/>
                    </a:ln>
                  </pic:spPr>
                </pic:pic>
              </a:graphicData>
            </a:graphic>
          </wp:inline>
        </w:drawing>
      </w:r>
      <w:r>
        <w:rPr>
          <w:noProof/>
        </w:rPr>
        <w:drawing>
          <wp:inline distT="0" distB="0" distL="0" distR="0" wp14:anchorId="6E4E81BA" wp14:editId="54D3B0C8">
            <wp:extent cx="2756950" cy="2636296"/>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4299" t="5131" r="10280" b="5188"/>
                    <a:stretch/>
                  </pic:blipFill>
                  <pic:spPr bwMode="auto">
                    <a:xfrm>
                      <a:off x="0" y="0"/>
                      <a:ext cx="2759100" cy="2638352"/>
                    </a:xfrm>
                    <a:prstGeom prst="rect">
                      <a:avLst/>
                    </a:prstGeom>
                    <a:noFill/>
                    <a:ln>
                      <a:noFill/>
                    </a:ln>
                    <a:extLst>
                      <a:ext uri="{53640926-AAD7-44D8-BBD7-CCE9431645EC}">
                        <a14:shadowObscured xmlns:a14="http://schemas.microsoft.com/office/drawing/2010/main"/>
                      </a:ext>
                    </a:extLst>
                  </pic:spPr>
                </pic:pic>
              </a:graphicData>
            </a:graphic>
          </wp:inline>
        </w:drawing>
      </w:r>
    </w:p>
    <w:p w:rsidR="005B686A" w:rsidRDefault="005B686A" w:rsidP="00DE0BE9">
      <w:pPr>
        <w:pStyle w:val="ListParagraph"/>
        <w:numPr>
          <w:ilvl w:val="0"/>
          <w:numId w:val="5"/>
        </w:numPr>
      </w:pPr>
      <w:r>
        <w:t>Xuyên gan qua da (PTCD: percutaneous transhepatic cholangial drainage):</w:t>
      </w:r>
    </w:p>
    <w:p w:rsidR="005B686A" w:rsidRDefault="005B686A" w:rsidP="00DE0BE9">
      <w:r>
        <w:t>ưu tiên số 2 do các biến chứng có thể của nó như chảy máu trong phúc mạc, viêm phúc mạc mật, và nằm viện kéo dài; tuy nhiên được dùng trong một số trường  hợp:</w:t>
      </w:r>
    </w:p>
    <w:p w:rsidR="005B686A" w:rsidRDefault="005B686A" w:rsidP="00DE0BE9">
      <w:pPr>
        <w:pStyle w:val="ListParagraph"/>
        <w:numPr>
          <w:ilvl w:val="0"/>
          <w:numId w:val="6"/>
        </w:numPr>
      </w:pPr>
      <w:r>
        <w:t>ở bn không thể tiếp cận nhú tá tràng bằng nội soi được: tắc tá tràng, thay đổi cấu trúc giải phẫu (bn đã được pt Whipple, nối Roux-en-Y</w:t>
      </w:r>
      <w:r w:rsidR="00C53DF6">
        <w:t>)</w:t>
      </w:r>
    </w:p>
    <w:p w:rsidR="005B686A" w:rsidRDefault="005B686A" w:rsidP="00DE0BE9">
      <w:pPr>
        <w:pStyle w:val="ListParagraph"/>
        <w:numPr>
          <w:ilvl w:val="0"/>
          <w:numId w:val="6"/>
        </w:numPr>
      </w:pPr>
      <w:r>
        <w:t>bệnh viện không có kỹ thuật nội soi</w:t>
      </w:r>
    </w:p>
    <w:p w:rsidR="005B686A" w:rsidRDefault="005B686A" w:rsidP="00DE0BE9">
      <w:pPr>
        <w:pStyle w:val="ListParagraph"/>
        <w:numPr>
          <w:ilvl w:val="0"/>
          <w:numId w:val="6"/>
        </w:numPr>
      </w:pPr>
      <w:r>
        <w:t>nội soi thất bại</w:t>
      </w:r>
    </w:p>
    <w:p w:rsidR="005B686A" w:rsidRDefault="005B686A" w:rsidP="00DE0BE9">
      <w:r>
        <w:t>chống chỉ định tương đối: rối loạn đông máu; nhưng nếu không có phương pháp nào khác thì PTCD vẫn có thể làm.</w:t>
      </w:r>
    </w:p>
    <w:p w:rsidR="005B686A" w:rsidRDefault="005B686A" w:rsidP="00DE0BE9">
      <w:r>
        <w:lastRenderedPageBreak/>
        <w:t>Cách làm: dưới hướng dẫn siêu âm, dùng kim 18-22G chọc qua da vào đường mật trong gan (kim nhỏ khi đường mật trong gan ko giãn), rồi đặt catheter vào. Tỉ lệ thành công: 86% khi đường mật dãn; 63% khi đường mật không giãn.</w:t>
      </w:r>
    </w:p>
    <w:p w:rsidR="008D44A9" w:rsidRDefault="008D44A9" w:rsidP="00DE0BE9">
      <w:r>
        <w:t>U gây tắc mật luôn thì lấy mật dẫn lưu từ PTBD ra uống</w:t>
      </w:r>
    </w:p>
    <w:p w:rsidR="005B686A" w:rsidRDefault="005B686A" w:rsidP="00DE0BE9">
      <w:pPr>
        <w:pStyle w:val="ListParagraph"/>
        <w:numPr>
          <w:ilvl w:val="0"/>
          <w:numId w:val="5"/>
        </w:numPr>
      </w:pPr>
      <w:r>
        <w:t>Phẫu thuật: tử vong cao nhất.</w:t>
      </w:r>
    </w:p>
    <w:p w:rsidR="005B686A" w:rsidRDefault="005B686A" w:rsidP="00DE0BE9">
      <w:r>
        <w:t>Làm trong một số trường hợp nhiễm trùng đường mật do K làm tắc mật: tắc mật kèm tắc tá tràng, phẫu thuật nối vị tràng và đường mật – hỗng tràng.</w:t>
      </w:r>
    </w:p>
    <w:p w:rsidR="00AA5B1E" w:rsidRDefault="00AA5B1E" w:rsidP="00AA5B1E">
      <w:pPr>
        <w:pStyle w:val="Heading1"/>
      </w:pPr>
      <w:r>
        <w:t>Biến chứng của viêm đường mật</w:t>
      </w:r>
    </w:p>
    <w:p w:rsidR="00AA5B1E" w:rsidRDefault="00AA5B1E" w:rsidP="00AA5B1E">
      <w:pPr>
        <w:pStyle w:val="ListParagraph"/>
        <w:numPr>
          <w:ilvl w:val="0"/>
          <w:numId w:val="30"/>
        </w:numPr>
      </w:pPr>
      <w:r>
        <w:t>Áp xe đường mật: gan to, đau, rung gan, ấn kẽ sườn (+)</w:t>
      </w:r>
    </w:p>
    <w:p w:rsidR="00AA5B1E" w:rsidRDefault="00AA5B1E" w:rsidP="00AA5B1E">
      <w:pPr>
        <w:pStyle w:val="ListParagraph"/>
        <w:numPr>
          <w:ilvl w:val="0"/>
          <w:numId w:val="30"/>
        </w:numPr>
      </w:pPr>
      <w:r>
        <w:t>Viêm đường mật mủ: sốt cao 39, 40</w:t>
      </w:r>
      <w:r w:rsidRPr="00AA5B1E">
        <w:rPr>
          <w:vertAlign w:val="superscript"/>
        </w:rPr>
        <w:t>o</w:t>
      </w:r>
      <w:r>
        <w:t>C, đề kháng hạ sườn (P)</w:t>
      </w:r>
    </w:p>
    <w:p w:rsidR="00223D8F" w:rsidRPr="00223D8F" w:rsidRDefault="00AA5B1E" w:rsidP="00AA5B1E">
      <w:pPr>
        <w:pStyle w:val="ListParagraph"/>
        <w:numPr>
          <w:ilvl w:val="0"/>
          <w:numId w:val="30"/>
        </w:numPr>
        <w:rPr>
          <w:color w:val="FF0000"/>
        </w:rPr>
      </w:pPr>
      <w:r>
        <w:t xml:space="preserve">Viêm tụy cấp: ói dữ dội, amylase, lipase </w:t>
      </w:r>
      <w:r w:rsidR="0093640B">
        <w:t>r</w:t>
      </w:r>
      <w:r>
        <w:t xml:space="preserve">ất cao, </w:t>
      </w:r>
      <w:r w:rsidRPr="00223D8F">
        <w:rPr>
          <w:color w:val="FF0000"/>
        </w:rPr>
        <w:t>bili &gt;3 mg/d</w:t>
      </w:r>
      <w:r w:rsidR="00223D8F">
        <w:rPr>
          <w:color w:val="FF0000"/>
        </w:rPr>
        <w:t>l</w:t>
      </w:r>
    </w:p>
    <w:p w:rsidR="00AA5B1E" w:rsidRDefault="00223D8F" w:rsidP="00AA5B1E">
      <w:pPr>
        <w:pStyle w:val="ListParagraph"/>
        <w:numPr>
          <w:ilvl w:val="0"/>
          <w:numId w:val="30"/>
        </w:numPr>
      </w:pPr>
      <w:r>
        <w:t>Viêm PM mật, thấm mật PM</w:t>
      </w:r>
    </w:p>
    <w:p w:rsidR="00AA5B1E" w:rsidRDefault="00AA5B1E" w:rsidP="00AA5B1E">
      <w:pPr>
        <w:pStyle w:val="ListParagraph"/>
        <w:numPr>
          <w:ilvl w:val="0"/>
          <w:numId w:val="30"/>
        </w:numPr>
      </w:pPr>
      <w:r>
        <w:t>RL đông máu: thử TQ, TCK. Do yếu tố 7 có thời gian bán hủy ngắn nhất nên TQ sẽ giảm đâu tiên</w:t>
      </w:r>
    </w:p>
    <w:p w:rsidR="00AA5B1E" w:rsidRDefault="00AA5B1E" w:rsidP="00AA5B1E">
      <w:pPr>
        <w:pStyle w:val="ListParagraph"/>
        <w:numPr>
          <w:ilvl w:val="0"/>
          <w:numId w:val="30"/>
        </w:numPr>
      </w:pPr>
      <w:r>
        <w:t>Nhiễm trùng huyết: ngũ chứng Reynolds</w:t>
      </w:r>
    </w:p>
    <w:p w:rsidR="005751BC" w:rsidRPr="005751BC" w:rsidRDefault="005751BC" w:rsidP="00DE0BE9">
      <w:pPr>
        <w:pStyle w:val="Heading1"/>
      </w:pPr>
      <w:r>
        <w:t>LINH TINH</w:t>
      </w:r>
    </w:p>
    <w:p w:rsidR="005751BC" w:rsidRDefault="005751BC" w:rsidP="00DE0BE9">
      <w:r>
        <w:t>Sỏi sắc tố: chứa &lt; 30% cholesterol</w:t>
      </w:r>
    </w:p>
    <w:p w:rsidR="005751BC" w:rsidRDefault="005751BC" w:rsidP="00DE0BE9">
      <w:pPr>
        <w:pStyle w:val="ListParagraph"/>
        <w:numPr>
          <w:ilvl w:val="0"/>
          <w:numId w:val="1"/>
        </w:numPr>
      </w:pPr>
      <w:r>
        <w:t>Sỏ</w:t>
      </w:r>
      <w:r w:rsidR="0093640B">
        <w:t>i đen: chứ</w:t>
      </w:r>
      <w:r>
        <w:t>a calcium bilirubinate, thường gặp trong bệ</w:t>
      </w:r>
      <w:r w:rsidR="0093640B">
        <w:t xml:space="preserve">nh </w:t>
      </w:r>
      <w:r>
        <w:t>tán huyết, thường thấy trong túi mật</w:t>
      </w:r>
    </w:p>
    <w:p w:rsidR="00A26A60" w:rsidRDefault="005751BC" w:rsidP="00DE0BE9">
      <w:pPr>
        <w:pStyle w:val="ListParagraph"/>
        <w:numPr>
          <w:ilvl w:val="0"/>
          <w:numId w:val="1"/>
        </w:numPr>
      </w:pPr>
      <w:r>
        <w:t>Sỏi nâu: thường thấy trong đường mậ</w:t>
      </w:r>
      <w:r w:rsidR="0093640B">
        <w:t xml:space="preserve">t, </w:t>
      </w:r>
      <w:r>
        <w:t>lớn hơn và mềm hơn sỏi đen; kết hợp với nhiễm trùng.</w:t>
      </w:r>
    </w:p>
    <w:p w:rsidR="005B686A" w:rsidRDefault="005B686A" w:rsidP="00C53DF6">
      <w:r>
        <w:t>Bệnh sinh của NTĐM cần 2 yếu tố: phát triển vi trùng trong ống mật và tăng áp lực trong đường mật đẩy vi trùng và độc tố của nó vào máu và hệ bạch huyết.</w:t>
      </w:r>
    </w:p>
    <w:p w:rsidR="00DB517D" w:rsidRDefault="00DB517D" w:rsidP="00DE0BE9"/>
    <w:p w:rsidR="003F58BE" w:rsidRDefault="003F58BE" w:rsidP="00DE0BE9"/>
    <w:p w:rsidR="006979E7" w:rsidRDefault="006979E7" w:rsidP="00DE0BE9"/>
    <w:p w:rsidR="00285AEA" w:rsidRDefault="00285AEA" w:rsidP="00DE0BE9"/>
    <w:sectPr w:rsidR="00285AEA" w:rsidSect="00684DF7">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76" w:rsidRDefault="00960376" w:rsidP="00960E4A">
      <w:r>
        <w:separator/>
      </w:r>
    </w:p>
  </w:endnote>
  <w:endnote w:type="continuationSeparator" w:id="0">
    <w:p w:rsidR="00960376" w:rsidRDefault="00960376" w:rsidP="0096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76" w:rsidRDefault="00960376" w:rsidP="00960E4A">
      <w:r>
        <w:separator/>
      </w:r>
    </w:p>
  </w:footnote>
  <w:footnote w:type="continuationSeparator" w:id="0">
    <w:p w:rsidR="00960376" w:rsidRDefault="00960376" w:rsidP="00960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3860"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3861"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E4A" w:rsidRDefault="00960E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3859"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456"/>
    <w:multiLevelType w:val="hybridMultilevel"/>
    <w:tmpl w:val="CE2C003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2318C"/>
    <w:multiLevelType w:val="hybridMultilevel"/>
    <w:tmpl w:val="EBE2E00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C687E"/>
    <w:multiLevelType w:val="hybridMultilevel"/>
    <w:tmpl w:val="FE8C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87AB3"/>
    <w:multiLevelType w:val="hybridMultilevel"/>
    <w:tmpl w:val="0A18968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54DA1"/>
    <w:multiLevelType w:val="hybridMultilevel"/>
    <w:tmpl w:val="CF10266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A041B"/>
    <w:multiLevelType w:val="hybridMultilevel"/>
    <w:tmpl w:val="5DDAFFC0"/>
    <w:lvl w:ilvl="0" w:tplc="C204B2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EAE3DC2"/>
    <w:multiLevelType w:val="hybridMultilevel"/>
    <w:tmpl w:val="FEF82488"/>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594F99"/>
    <w:multiLevelType w:val="hybridMultilevel"/>
    <w:tmpl w:val="C6FE916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2C6038"/>
    <w:multiLevelType w:val="hybridMultilevel"/>
    <w:tmpl w:val="FF3A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316D0C"/>
    <w:multiLevelType w:val="hybridMultilevel"/>
    <w:tmpl w:val="011A8D34"/>
    <w:lvl w:ilvl="0" w:tplc="807C9782">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36091"/>
    <w:multiLevelType w:val="hybridMultilevel"/>
    <w:tmpl w:val="B6BE2BA4"/>
    <w:lvl w:ilvl="0" w:tplc="0C06B2E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222E0"/>
    <w:multiLevelType w:val="hybridMultilevel"/>
    <w:tmpl w:val="2A8C9FE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2728E"/>
    <w:multiLevelType w:val="hybridMultilevel"/>
    <w:tmpl w:val="0A42F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7042B4"/>
    <w:multiLevelType w:val="hybridMultilevel"/>
    <w:tmpl w:val="866E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C7E06"/>
    <w:multiLevelType w:val="hybridMultilevel"/>
    <w:tmpl w:val="F300C9EA"/>
    <w:lvl w:ilvl="0" w:tplc="9CC4A602">
      <w:start w:val="1"/>
      <w:numFmt w:val="bullet"/>
      <w:lvlText w:val="-"/>
      <w:lvlJc w:val="left"/>
      <w:pPr>
        <w:tabs>
          <w:tab w:val="num" w:pos="720"/>
        </w:tabs>
        <w:ind w:left="720" w:hanging="360"/>
      </w:pPr>
      <w:rPr>
        <w:rFonts w:ascii="Times New Roman" w:hAnsi="Times New Roman" w:hint="default"/>
      </w:rPr>
    </w:lvl>
    <w:lvl w:ilvl="1" w:tplc="2AB86218" w:tentative="1">
      <w:start w:val="1"/>
      <w:numFmt w:val="bullet"/>
      <w:lvlText w:val="-"/>
      <w:lvlJc w:val="left"/>
      <w:pPr>
        <w:tabs>
          <w:tab w:val="num" w:pos="1440"/>
        </w:tabs>
        <w:ind w:left="1440" w:hanging="360"/>
      </w:pPr>
      <w:rPr>
        <w:rFonts w:ascii="Times New Roman" w:hAnsi="Times New Roman" w:hint="default"/>
      </w:rPr>
    </w:lvl>
    <w:lvl w:ilvl="2" w:tplc="BD38BF10" w:tentative="1">
      <w:start w:val="1"/>
      <w:numFmt w:val="bullet"/>
      <w:lvlText w:val="-"/>
      <w:lvlJc w:val="left"/>
      <w:pPr>
        <w:tabs>
          <w:tab w:val="num" w:pos="2160"/>
        </w:tabs>
        <w:ind w:left="2160" w:hanging="360"/>
      </w:pPr>
      <w:rPr>
        <w:rFonts w:ascii="Times New Roman" w:hAnsi="Times New Roman" w:hint="default"/>
      </w:rPr>
    </w:lvl>
    <w:lvl w:ilvl="3" w:tplc="6AAA7622" w:tentative="1">
      <w:start w:val="1"/>
      <w:numFmt w:val="bullet"/>
      <w:lvlText w:val="-"/>
      <w:lvlJc w:val="left"/>
      <w:pPr>
        <w:tabs>
          <w:tab w:val="num" w:pos="2880"/>
        </w:tabs>
        <w:ind w:left="2880" w:hanging="360"/>
      </w:pPr>
      <w:rPr>
        <w:rFonts w:ascii="Times New Roman" w:hAnsi="Times New Roman" w:hint="default"/>
      </w:rPr>
    </w:lvl>
    <w:lvl w:ilvl="4" w:tplc="97D2B760" w:tentative="1">
      <w:start w:val="1"/>
      <w:numFmt w:val="bullet"/>
      <w:lvlText w:val="-"/>
      <w:lvlJc w:val="left"/>
      <w:pPr>
        <w:tabs>
          <w:tab w:val="num" w:pos="3600"/>
        </w:tabs>
        <w:ind w:left="3600" w:hanging="360"/>
      </w:pPr>
      <w:rPr>
        <w:rFonts w:ascii="Times New Roman" w:hAnsi="Times New Roman" w:hint="default"/>
      </w:rPr>
    </w:lvl>
    <w:lvl w:ilvl="5" w:tplc="71EE33D2" w:tentative="1">
      <w:start w:val="1"/>
      <w:numFmt w:val="bullet"/>
      <w:lvlText w:val="-"/>
      <w:lvlJc w:val="left"/>
      <w:pPr>
        <w:tabs>
          <w:tab w:val="num" w:pos="4320"/>
        </w:tabs>
        <w:ind w:left="4320" w:hanging="360"/>
      </w:pPr>
      <w:rPr>
        <w:rFonts w:ascii="Times New Roman" w:hAnsi="Times New Roman" w:hint="default"/>
      </w:rPr>
    </w:lvl>
    <w:lvl w:ilvl="6" w:tplc="7F3CC630" w:tentative="1">
      <w:start w:val="1"/>
      <w:numFmt w:val="bullet"/>
      <w:lvlText w:val="-"/>
      <w:lvlJc w:val="left"/>
      <w:pPr>
        <w:tabs>
          <w:tab w:val="num" w:pos="5040"/>
        </w:tabs>
        <w:ind w:left="5040" w:hanging="360"/>
      </w:pPr>
      <w:rPr>
        <w:rFonts w:ascii="Times New Roman" w:hAnsi="Times New Roman" w:hint="default"/>
      </w:rPr>
    </w:lvl>
    <w:lvl w:ilvl="7" w:tplc="C8BA24BA" w:tentative="1">
      <w:start w:val="1"/>
      <w:numFmt w:val="bullet"/>
      <w:lvlText w:val="-"/>
      <w:lvlJc w:val="left"/>
      <w:pPr>
        <w:tabs>
          <w:tab w:val="num" w:pos="5760"/>
        </w:tabs>
        <w:ind w:left="5760" w:hanging="360"/>
      </w:pPr>
      <w:rPr>
        <w:rFonts w:ascii="Times New Roman" w:hAnsi="Times New Roman" w:hint="default"/>
      </w:rPr>
    </w:lvl>
    <w:lvl w:ilvl="8" w:tplc="4DB22E1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7DD2380"/>
    <w:multiLevelType w:val="hybridMultilevel"/>
    <w:tmpl w:val="ED7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33C8F"/>
    <w:multiLevelType w:val="hybridMultilevel"/>
    <w:tmpl w:val="F7C0029E"/>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596C"/>
    <w:multiLevelType w:val="hybridMultilevel"/>
    <w:tmpl w:val="A0FC8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824CD"/>
    <w:multiLevelType w:val="hybridMultilevel"/>
    <w:tmpl w:val="CEB4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BE0773"/>
    <w:multiLevelType w:val="hybridMultilevel"/>
    <w:tmpl w:val="7D84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426A18"/>
    <w:multiLevelType w:val="hybridMultilevel"/>
    <w:tmpl w:val="F1DC4B4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4593C"/>
    <w:multiLevelType w:val="hybridMultilevel"/>
    <w:tmpl w:val="57327880"/>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A477CA"/>
    <w:multiLevelType w:val="hybridMultilevel"/>
    <w:tmpl w:val="8EF24CFC"/>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FB796A"/>
    <w:multiLevelType w:val="hybridMultilevel"/>
    <w:tmpl w:val="5816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51174"/>
    <w:multiLevelType w:val="hybridMultilevel"/>
    <w:tmpl w:val="A59A8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7220D"/>
    <w:multiLevelType w:val="hybridMultilevel"/>
    <w:tmpl w:val="1E248E18"/>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C22B71"/>
    <w:multiLevelType w:val="hybridMultilevel"/>
    <w:tmpl w:val="73AE4F0E"/>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3219C"/>
    <w:multiLevelType w:val="hybridMultilevel"/>
    <w:tmpl w:val="1C101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4D4A93"/>
    <w:multiLevelType w:val="hybridMultilevel"/>
    <w:tmpl w:val="5850531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FD5818"/>
    <w:multiLevelType w:val="hybridMultilevel"/>
    <w:tmpl w:val="14C65B8A"/>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EB7C46"/>
    <w:multiLevelType w:val="hybridMultilevel"/>
    <w:tmpl w:val="317A6CB4"/>
    <w:lvl w:ilvl="0" w:tplc="0C06B2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6"/>
  </w:num>
  <w:num w:numId="4">
    <w:abstractNumId w:val="13"/>
  </w:num>
  <w:num w:numId="5">
    <w:abstractNumId w:val="9"/>
  </w:num>
  <w:num w:numId="6">
    <w:abstractNumId w:val="7"/>
  </w:num>
  <w:num w:numId="7">
    <w:abstractNumId w:val="14"/>
  </w:num>
  <w:num w:numId="8">
    <w:abstractNumId w:val="21"/>
  </w:num>
  <w:num w:numId="9">
    <w:abstractNumId w:val="10"/>
  </w:num>
  <w:num w:numId="10">
    <w:abstractNumId w:val="2"/>
  </w:num>
  <w:num w:numId="11">
    <w:abstractNumId w:val="15"/>
  </w:num>
  <w:num w:numId="12">
    <w:abstractNumId w:val="30"/>
  </w:num>
  <w:num w:numId="13">
    <w:abstractNumId w:val="4"/>
  </w:num>
  <w:num w:numId="14">
    <w:abstractNumId w:val="29"/>
  </w:num>
  <w:num w:numId="15">
    <w:abstractNumId w:val="23"/>
  </w:num>
  <w:num w:numId="16">
    <w:abstractNumId w:val="11"/>
  </w:num>
  <w:num w:numId="17">
    <w:abstractNumId w:val="22"/>
  </w:num>
  <w:num w:numId="18">
    <w:abstractNumId w:val="19"/>
  </w:num>
  <w:num w:numId="19">
    <w:abstractNumId w:val="1"/>
  </w:num>
  <w:num w:numId="20">
    <w:abstractNumId w:val="18"/>
  </w:num>
  <w:num w:numId="21">
    <w:abstractNumId w:val="3"/>
  </w:num>
  <w:num w:numId="22">
    <w:abstractNumId w:val="28"/>
  </w:num>
  <w:num w:numId="23">
    <w:abstractNumId w:val="8"/>
  </w:num>
  <w:num w:numId="24">
    <w:abstractNumId w:val="24"/>
  </w:num>
  <w:num w:numId="25">
    <w:abstractNumId w:val="12"/>
  </w:num>
  <w:num w:numId="26">
    <w:abstractNumId w:val="20"/>
  </w:num>
  <w:num w:numId="27">
    <w:abstractNumId w:val="0"/>
  </w:num>
  <w:num w:numId="28">
    <w:abstractNumId w:val="27"/>
  </w:num>
  <w:num w:numId="29">
    <w:abstractNumId w:val="5"/>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A245C"/>
    <w:rsid w:val="00012CE2"/>
    <w:rsid w:val="00142CFD"/>
    <w:rsid w:val="001C21A1"/>
    <w:rsid w:val="001D2CE4"/>
    <w:rsid w:val="00223D8F"/>
    <w:rsid w:val="00270E94"/>
    <w:rsid w:val="00285AEA"/>
    <w:rsid w:val="00287389"/>
    <w:rsid w:val="002B49D0"/>
    <w:rsid w:val="0031757C"/>
    <w:rsid w:val="003F58BE"/>
    <w:rsid w:val="0046576A"/>
    <w:rsid w:val="005537C2"/>
    <w:rsid w:val="005751BC"/>
    <w:rsid w:val="00577E5D"/>
    <w:rsid w:val="005B686A"/>
    <w:rsid w:val="005E21B0"/>
    <w:rsid w:val="005E234A"/>
    <w:rsid w:val="00614945"/>
    <w:rsid w:val="006358BC"/>
    <w:rsid w:val="006609AC"/>
    <w:rsid w:val="00684DF7"/>
    <w:rsid w:val="006979E7"/>
    <w:rsid w:val="006E18ED"/>
    <w:rsid w:val="006E2BB2"/>
    <w:rsid w:val="006E6393"/>
    <w:rsid w:val="00743656"/>
    <w:rsid w:val="007F5769"/>
    <w:rsid w:val="007F776C"/>
    <w:rsid w:val="00847B30"/>
    <w:rsid w:val="00853898"/>
    <w:rsid w:val="00855C35"/>
    <w:rsid w:val="00865158"/>
    <w:rsid w:val="008707B9"/>
    <w:rsid w:val="008C357D"/>
    <w:rsid w:val="008D44A9"/>
    <w:rsid w:val="0093640B"/>
    <w:rsid w:val="00956251"/>
    <w:rsid w:val="00960376"/>
    <w:rsid w:val="00960E4A"/>
    <w:rsid w:val="009626A5"/>
    <w:rsid w:val="009B3949"/>
    <w:rsid w:val="00A060D5"/>
    <w:rsid w:val="00A26A60"/>
    <w:rsid w:val="00A35C00"/>
    <w:rsid w:val="00A57CF6"/>
    <w:rsid w:val="00AA5B1E"/>
    <w:rsid w:val="00B416B1"/>
    <w:rsid w:val="00B76C75"/>
    <w:rsid w:val="00BC4861"/>
    <w:rsid w:val="00BE0D12"/>
    <w:rsid w:val="00C3239C"/>
    <w:rsid w:val="00C35348"/>
    <w:rsid w:val="00C45ABF"/>
    <w:rsid w:val="00C53DF6"/>
    <w:rsid w:val="00CA245C"/>
    <w:rsid w:val="00CC7D2A"/>
    <w:rsid w:val="00D04956"/>
    <w:rsid w:val="00D8674F"/>
    <w:rsid w:val="00DB517D"/>
    <w:rsid w:val="00DE0BE9"/>
    <w:rsid w:val="00DF1EA1"/>
    <w:rsid w:val="00DF35B2"/>
    <w:rsid w:val="00E00238"/>
    <w:rsid w:val="00E31B48"/>
    <w:rsid w:val="00E61E28"/>
    <w:rsid w:val="00E75AC2"/>
    <w:rsid w:val="00EB7194"/>
    <w:rsid w:val="00EE77A1"/>
    <w:rsid w:val="00F5519E"/>
    <w:rsid w:val="00F56459"/>
    <w:rsid w:val="00F67316"/>
    <w:rsid w:val="00F84B2E"/>
    <w:rsid w:val="00FD1FFA"/>
    <w:rsid w:val="00FF48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459"/>
    <w:pPr>
      <w:spacing w:after="0" w:line="240" w:lineRule="auto"/>
    </w:pPr>
  </w:style>
  <w:style w:type="paragraph" w:styleId="Heading1">
    <w:name w:val="heading 1"/>
    <w:basedOn w:val="Normal"/>
    <w:next w:val="Normal"/>
    <w:link w:val="Heading1Char"/>
    <w:uiPriority w:val="9"/>
    <w:qFormat/>
    <w:rsid w:val="007F7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1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16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16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45C"/>
    <w:rPr>
      <w:rFonts w:ascii="Tahoma" w:hAnsi="Tahoma" w:cs="Tahoma"/>
      <w:sz w:val="16"/>
      <w:szCs w:val="16"/>
    </w:rPr>
  </w:style>
  <w:style w:type="character" w:customStyle="1" w:styleId="BalloonTextChar">
    <w:name w:val="Balloon Text Char"/>
    <w:basedOn w:val="DefaultParagraphFont"/>
    <w:link w:val="BalloonText"/>
    <w:uiPriority w:val="99"/>
    <w:semiHidden/>
    <w:rsid w:val="00CA245C"/>
    <w:rPr>
      <w:rFonts w:ascii="Tahoma" w:hAnsi="Tahoma" w:cs="Tahoma"/>
      <w:sz w:val="16"/>
      <w:szCs w:val="16"/>
    </w:rPr>
  </w:style>
  <w:style w:type="paragraph" w:styleId="Title">
    <w:name w:val="Title"/>
    <w:basedOn w:val="Normal"/>
    <w:next w:val="Normal"/>
    <w:link w:val="TitleChar"/>
    <w:uiPriority w:val="10"/>
    <w:qFormat/>
    <w:rsid w:val="007F7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7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7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776C"/>
    <w:pPr>
      <w:ind w:left="720"/>
      <w:contextualSpacing/>
    </w:pPr>
  </w:style>
  <w:style w:type="character" w:customStyle="1" w:styleId="Heading2Char">
    <w:name w:val="Heading 2 Char"/>
    <w:basedOn w:val="DefaultParagraphFont"/>
    <w:link w:val="Heading2"/>
    <w:uiPriority w:val="9"/>
    <w:rsid w:val="00B41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16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416B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55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5519E"/>
    <w:rPr>
      <w:color w:val="808080"/>
    </w:rPr>
  </w:style>
  <w:style w:type="table" w:styleId="MediumShading1">
    <w:name w:val="Medium Shading 1"/>
    <w:basedOn w:val="TableNormal"/>
    <w:uiPriority w:val="63"/>
    <w:rsid w:val="00F84B2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60E4A"/>
    <w:pPr>
      <w:tabs>
        <w:tab w:val="center" w:pos="4680"/>
        <w:tab w:val="right" w:pos="9360"/>
      </w:tabs>
    </w:pPr>
  </w:style>
  <w:style w:type="character" w:customStyle="1" w:styleId="HeaderChar">
    <w:name w:val="Header Char"/>
    <w:basedOn w:val="DefaultParagraphFont"/>
    <w:link w:val="Header"/>
    <w:uiPriority w:val="99"/>
    <w:rsid w:val="00960E4A"/>
  </w:style>
  <w:style w:type="paragraph" w:styleId="Footer">
    <w:name w:val="footer"/>
    <w:basedOn w:val="Normal"/>
    <w:link w:val="FooterChar"/>
    <w:uiPriority w:val="99"/>
    <w:unhideWhenUsed/>
    <w:rsid w:val="00960E4A"/>
    <w:pPr>
      <w:tabs>
        <w:tab w:val="center" w:pos="4680"/>
        <w:tab w:val="right" w:pos="9360"/>
      </w:tabs>
    </w:pPr>
  </w:style>
  <w:style w:type="character" w:customStyle="1" w:styleId="FooterChar">
    <w:name w:val="Footer Char"/>
    <w:basedOn w:val="DefaultParagraphFont"/>
    <w:link w:val="Footer"/>
    <w:uiPriority w:val="99"/>
    <w:rsid w:val="00960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22</cp:revision>
  <dcterms:created xsi:type="dcterms:W3CDTF">2016-10-02T12:08:00Z</dcterms:created>
  <dcterms:modified xsi:type="dcterms:W3CDTF">2017-10-02T03:54:00Z</dcterms:modified>
</cp:coreProperties>
</file>