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074C1" w14:textId="77777777" w:rsidR="00535813" w:rsidRPr="00535813" w:rsidRDefault="00535813" w:rsidP="00535813">
      <w:pPr>
        <w:spacing w:line="360" w:lineRule="auto"/>
        <w:jc w:val="center"/>
        <w:rPr>
          <w:sz w:val="44"/>
          <w:szCs w:val="44"/>
        </w:rPr>
      </w:pPr>
      <w:bookmarkStart w:id="0" w:name="_GoBack"/>
      <w:bookmarkEnd w:id="0"/>
      <w:r w:rsidRPr="00535813">
        <w:rPr>
          <w:sz w:val="44"/>
          <w:szCs w:val="44"/>
        </w:rPr>
        <w:t>BƯỚU BÀNG QUANG</w:t>
      </w:r>
    </w:p>
    <w:p w14:paraId="634BE11C" w14:textId="77777777" w:rsidR="00535813" w:rsidRDefault="00535813" w:rsidP="00535813">
      <w:pPr>
        <w:spacing w:line="360" w:lineRule="auto"/>
        <w:jc w:val="both"/>
        <w:rPr>
          <w:sz w:val="26"/>
          <w:szCs w:val="26"/>
        </w:rPr>
      </w:pPr>
    </w:p>
    <w:p w14:paraId="7107D692" w14:textId="77777777" w:rsidR="00535813" w:rsidRPr="00F5480E" w:rsidRDefault="00535813" w:rsidP="00535813">
      <w:pPr>
        <w:spacing w:line="360" w:lineRule="auto"/>
        <w:jc w:val="center"/>
        <w:rPr>
          <w:sz w:val="32"/>
        </w:rPr>
      </w:pPr>
      <w:r w:rsidRPr="00F5480E">
        <w:rPr>
          <w:sz w:val="32"/>
        </w:rPr>
        <w:t xml:space="preserve">ĐẠI CƯƠNG </w:t>
      </w:r>
      <w:proofErr w:type="gramStart"/>
      <w:r w:rsidRPr="00F5480E">
        <w:rPr>
          <w:sz w:val="32"/>
        </w:rPr>
        <w:t>VỀ  BƯỚU</w:t>
      </w:r>
      <w:proofErr w:type="gramEnd"/>
      <w:r w:rsidRPr="00F5480E">
        <w:rPr>
          <w:sz w:val="32"/>
        </w:rPr>
        <w:t xml:space="preserve"> BÀNG QUANG TẠI VIỆT NAM</w:t>
      </w:r>
    </w:p>
    <w:p w14:paraId="54BF925A" w14:textId="77777777" w:rsidR="00535813" w:rsidRDefault="00535813" w:rsidP="00535813">
      <w:pPr>
        <w:spacing w:line="360" w:lineRule="auto"/>
        <w:ind w:left="1080"/>
        <w:jc w:val="both"/>
      </w:pPr>
    </w:p>
    <w:p w14:paraId="545E7583" w14:textId="77777777" w:rsidR="00535813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loại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ung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gặp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hoạt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động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ngày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sĩ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Niệu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khoa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Tuy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nhiên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nước</w:t>
      </w:r>
      <w:proofErr w:type="spellEnd"/>
      <w:r w:rsidRPr="00A24404">
        <w:rPr>
          <w:sz w:val="26"/>
          <w:szCs w:val="26"/>
        </w:rPr>
        <w:t xml:space="preserve"> ta, </w:t>
      </w:r>
      <w:proofErr w:type="spellStart"/>
      <w:r w:rsidRPr="00A24404">
        <w:rPr>
          <w:sz w:val="26"/>
          <w:szCs w:val="26"/>
        </w:rPr>
        <w:t>loại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này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đã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từ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vị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trí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đầu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thế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kỷ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thứ</w:t>
      </w:r>
      <w:proofErr w:type="spellEnd"/>
      <w:r w:rsidRPr="00A24404">
        <w:rPr>
          <w:sz w:val="26"/>
          <w:szCs w:val="26"/>
        </w:rPr>
        <w:t xml:space="preserve"> 20 </w:t>
      </w:r>
      <w:proofErr w:type="spellStart"/>
      <w:r w:rsidRPr="00A24404">
        <w:rPr>
          <w:sz w:val="26"/>
          <w:szCs w:val="26"/>
        </w:rPr>
        <w:t>tụt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xuống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thứ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hai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sau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ung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tuyến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tiền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liệt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khi</w:t>
      </w:r>
      <w:proofErr w:type="spellEnd"/>
      <w:r w:rsidRPr="00A24404">
        <w:rPr>
          <w:sz w:val="26"/>
          <w:szCs w:val="26"/>
        </w:rPr>
        <w:t xml:space="preserve"> qua </w:t>
      </w:r>
      <w:proofErr w:type="spellStart"/>
      <w:r w:rsidRPr="00A24404">
        <w:rPr>
          <w:sz w:val="26"/>
          <w:szCs w:val="26"/>
        </w:rPr>
        <w:t>thế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kỷ</w:t>
      </w:r>
      <w:proofErr w:type="spellEnd"/>
      <w:r w:rsidRPr="00A24404">
        <w:rPr>
          <w:sz w:val="26"/>
          <w:szCs w:val="26"/>
        </w:rPr>
        <w:t xml:space="preserve"> 21 do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cố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tầm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soát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Số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lượng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mỗi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năm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khoảng</w:t>
      </w:r>
      <w:proofErr w:type="spellEnd"/>
      <w:r w:rsidRPr="00A24404">
        <w:rPr>
          <w:sz w:val="26"/>
          <w:szCs w:val="26"/>
        </w:rPr>
        <w:t xml:space="preserve"> 2000. </w:t>
      </w:r>
      <w:proofErr w:type="spellStart"/>
      <w:r w:rsidRPr="00A24404">
        <w:rPr>
          <w:sz w:val="26"/>
          <w:szCs w:val="26"/>
        </w:rPr>
        <w:t>Tỷ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lệ</w:t>
      </w:r>
      <w:proofErr w:type="spellEnd"/>
      <w:r w:rsidRPr="00A24404">
        <w:rPr>
          <w:sz w:val="26"/>
          <w:szCs w:val="26"/>
        </w:rPr>
        <w:t xml:space="preserve"> Nam/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proofErr w:type="gramStart"/>
      <w:r w:rsidRPr="00A24404">
        <w:rPr>
          <w:sz w:val="26"/>
          <w:szCs w:val="26"/>
        </w:rPr>
        <w:t>cũng</w:t>
      </w:r>
      <w:proofErr w:type="spellEnd"/>
      <w:r w:rsidRPr="00A24404">
        <w:rPr>
          <w:sz w:val="26"/>
          <w:szCs w:val="26"/>
        </w:rPr>
        <w:t xml:space="preserve">  </w:t>
      </w:r>
      <w:proofErr w:type="spellStart"/>
      <w:r w:rsidRPr="00A24404">
        <w:rPr>
          <w:sz w:val="26"/>
          <w:szCs w:val="26"/>
        </w:rPr>
        <w:t>thay</w:t>
      </w:r>
      <w:proofErr w:type="spellEnd"/>
      <w:proofErr w:type="gram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đổi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từ</w:t>
      </w:r>
      <w:proofErr w:type="spellEnd"/>
      <w:r w:rsidRPr="00A24404">
        <w:rPr>
          <w:sz w:val="26"/>
          <w:szCs w:val="26"/>
        </w:rPr>
        <w:t xml:space="preserve"> 1.2/1 </w:t>
      </w:r>
      <w:proofErr w:type="spellStart"/>
      <w:r w:rsidRPr="00A24404">
        <w:rPr>
          <w:sz w:val="26"/>
          <w:szCs w:val="26"/>
        </w:rPr>
        <w:t>lên</w:t>
      </w:r>
      <w:proofErr w:type="spellEnd"/>
      <w:r w:rsidRPr="00A24404">
        <w:rPr>
          <w:sz w:val="26"/>
          <w:szCs w:val="26"/>
        </w:rPr>
        <w:t xml:space="preserve"> 3.5/1.</w:t>
      </w:r>
    </w:p>
    <w:p w14:paraId="46CF153B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</w:p>
    <w:p w14:paraId="116E4ED4" w14:textId="77777777" w:rsidR="00535813" w:rsidRPr="00A24404" w:rsidRDefault="00535813" w:rsidP="00535813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>NGUYÊN NHÂN</w:t>
      </w:r>
    </w:p>
    <w:p w14:paraId="4FD2DF0D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Lý</w:t>
      </w:r>
      <w:proofErr w:type="spellEnd"/>
      <w:r w:rsidRPr="00A24404">
        <w:rPr>
          <w:sz w:val="26"/>
          <w:szCs w:val="26"/>
        </w:rPr>
        <w:t xml:space="preserve"> do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sự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thay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đổi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nhưng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chúng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tôi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dự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đoán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do:</w:t>
      </w:r>
    </w:p>
    <w:p w14:paraId="67C3CCDD" w14:textId="77777777" w:rsidR="00535813" w:rsidRPr="00A24404" w:rsidRDefault="00535813" w:rsidP="00535813">
      <w:pPr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Hút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: </w:t>
      </w:r>
      <w:proofErr w:type="spellStart"/>
      <w:r w:rsidRPr="00A24404">
        <w:rPr>
          <w:sz w:val="26"/>
          <w:szCs w:val="26"/>
        </w:rPr>
        <w:t>Tại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Việt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nam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giới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hút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như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phương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tây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nếu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muốn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nói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hiếm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Nhưng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đó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ngày</w:t>
      </w:r>
      <w:proofErr w:type="spellEnd"/>
      <w:r w:rsidRPr="00A24404">
        <w:rPr>
          <w:sz w:val="26"/>
          <w:szCs w:val="26"/>
        </w:rPr>
        <w:t xml:space="preserve"> nay.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quá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khứ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phụ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Việt</w:t>
      </w:r>
      <w:proofErr w:type="spellEnd"/>
      <w:r w:rsidRPr="00A24404">
        <w:rPr>
          <w:sz w:val="26"/>
          <w:szCs w:val="26"/>
        </w:rPr>
        <w:t xml:space="preserve"> Nam </w:t>
      </w:r>
      <w:proofErr w:type="spellStart"/>
      <w:r w:rsidRPr="00A24404">
        <w:rPr>
          <w:sz w:val="26"/>
          <w:szCs w:val="26"/>
        </w:rPr>
        <w:t>hút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khá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phổ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sinh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hoạt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lao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động</w:t>
      </w:r>
      <w:proofErr w:type="spellEnd"/>
      <w:r w:rsidRPr="00A24404">
        <w:rPr>
          <w:sz w:val="26"/>
          <w:szCs w:val="26"/>
        </w:rPr>
        <w:t xml:space="preserve">; </w:t>
      </w:r>
      <w:proofErr w:type="spellStart"/>
      <w:r w:rsidRPr="00A24404">
        <w:rPr>
          <w:sz w:val="26"/>
          <w:szCs w:val="26"/>
        </w:rPr>
        <w:t>cả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phụ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bình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quý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tộc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Họ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hút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lào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Cẩm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Lệ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rê</w:t>
      </w:r>
      <w:proofErr w:type="spellEnd"/>
      <w:r w:rsidRPr="00A24404">
        <w:rPr>
          <w:sz w:val="26"/>
          <w:szCs w:val="26"/>
        </w:rPr>
        <w:t xml:space="preserve">, v.v. </w:t>
      </w:r>
      <w:proofErr w:type="spellStart"/>
      <w:r w:rsidRPr="00A24404">
        <w:rPr>
          <w:sz w:val="26"/>
          <w:szCs w:val="26"/>
        </w:rPr>
        <w:t>Điều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tỷ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lệ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ung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ở 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gần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với</w:t>
      </w:r>
      <w:proofErr w:type="spellEnd"/>
      <w:r w:rsidRPr="00A24404">
        <w:rPr>
          <w:sz w:val="26"/>
          <w:szCs w:val="26"/>
        </w:rPr>
        <w:t xml:space="preserve"> ở </w:t>
      </w:r>
      <w:proofErr w:type="spellStart"/>
      <w:r w:rsidRPr="00A24404">
        <w:rPr>
          <w:sz w:val="26"/>
          <w:szCs w:val="26"/>
        </w:rPr>
        <w:t>nam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quá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khứ</w:t>
      </w:r>
      <w:proofErr w:type="spellEnd"/>
      <w:r w:rsidRPr="00A24404">
        <w:rPr>
          <w:sz w:val="26"/>
          <w:szCs w:val="26"/>
        </w:rPr>
        <w:t>.</w:t>
      </w:r>
    </w:p>
    <w:p w14:paraId="5D971DA3" w14:textId="77777777" w:rsidR="00535813" w:rsidRPr="00A24404" w:rsidRDefault="00535813" w:rsidP="00535813">
      <w:pPr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nhuộm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nghiệp</w:t>
      </w:r>
      <w:proofErr w:type="spellEnd"/>
      <w:r w:rsidRPr="00A24404">
        <w:rPr>
          <w:sz w:val="26"/>
          <w:szCs w:val="26"/>
        </w:rPr>
        <w:t xml:space="preserve">: Aniline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vải</w:t>
      </w:r>
      <w:proofErr w:type="spellEnd"/>
      <w:r w:rsidRPr="00A24404">
        <w:rPr>
          <w:sz w:val="26"/>
          <w:szCs w:val="26"/>
        </w:rPr>
        <w:t xml:space="preserve"> satin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phụ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ngày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xưa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ưa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chuộng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đặc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biệt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mặt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lãnh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Mỹ</w:t>
      </w:r>
      <w:proofErr w:type="spellEnd"/>
      <w:r w:rsidRPr="00A24404">
        <w:rPr>
          <w:sz w:val="26"/>
          <w:szCs w:val="26"/>
        </w:rPr>
        <w:t xml:space="preserve"> A </w:t>
      </w:r>
      <w:proofErr w:type="spellStart"/>
      <w:r w:rsidRPr="00A24404">
        <w:rPr>
          <w:sz w:val="26"/>
          <w:szCs w:val="26"/>
        </w:rPr>
        <w:t>nổi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tiếng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thời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Sau</w:t>
      </w:r>
      <w:proofErr w:type="spellEnd"/>
      <w:r w:rsidRPr="00A24404">
        <w:rPr>
          <w:sz w:val="26"/>
          <w:szCs w:val="26"/>
        </w:rPr>
        <w:t xml:space="preserve"> 1975, </w:t>
      </w:r>
      <w:proofErr w:type="spellStart"/>
      <w:r w:rsidRPr="00A24404">
        <w:rPr>
          <w:sz w:val="26"/>
          <w:szCs w:val="26"/>
        </w:rPr>
        <w:t>loại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hóa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này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đã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cấm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sản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xuất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trữ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sử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dụng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đốt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hoặc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thải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xuống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nước</w:t>
      </w:r>
      <w:proofErr w:type="spellEnd"/>
      <w:r w:rsidRPr="00A24404">
        <w:rPr>
          <w:sz w:val="26"/>
          <w:szCs w:val="26"/>
        </w:rPr>
        <w:t xml:space="preserve"> do </w:t>
      </w:r>
      <w:proofErr w:type="spellStart"/>
      <w:r w:rsidRPr="00A24404">
        <w:rPr>
          <w:sz w:val="26"/>
          <w:szCs w:val="26"/>
        </w:rPr>
        <w:t>độc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tính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niêm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>.</w:t>
      </w:r>
    </w:p>
    <w:p w14:paraId="0958F0E0" w14:textId="77777777" w:rsidR="00535813" w:rsidRPr="00A24404" w:rsidRDefault="00535813" w:rsidP="00535813">
      <w:pPr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xí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nghiệp</w:t>
      </w:r>
      <w:proofErr w:type="spellEnd"/>
      <w:r w:rsidRPr="00A24404">
        <w:rPr>
          <w:sz w:val="26"/>
          <w:szCs w:val="26"/>
        </w:rPr>
        <w:t xml:space="preserve"> may </w:t>
      </w:r>
      <w:proofErr w:type="spellStart"/>
      <w:r w:rsidRPr="00A24404">
        <w:rPr>
          <w:sz w:val="26"/>
          <w:szCs w:val="26"/>
        </w:rPr>
        <w:t>mặc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mài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các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chủ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yếu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phụ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cũng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phải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xuyên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tiếp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xúc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với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màu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vốn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benzene,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xem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hóa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gây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đổi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niêm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Năm</w:t>
      </w:r>
      <w:proofErr w:type="spellEnd"/>
      <w:r w:rsidRPr="00A24404">
        <w:rPr>
          <w:sz w:val="26"/>
          <w:szCs w:val="26"/>
        </w:rPr>
        <w:t xml:space="preserve"> 1984, </w:t>
      </w:r>
      <w:proofErr w:type="spellStart"/>
      <w:r w:rsidRPr="00A24404">
        <w:rPr>
          <w:sz w:val="26"/>
          <w:szCs w:val="26"/>
        </w:rPr>
        <w:t>chúng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tôi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đã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hành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nghiên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cứu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về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sự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đổi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nước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tiểu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xí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nghiệp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dệt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Phú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Thủ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Đức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mài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Thủ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Dầu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Một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Nước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tiểu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thập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trước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sau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vào</w:t>
      </w:r>
      <w:proofErr w:type="spellEnd"/>
      <w:r w:rsidRPr="00A24404">
        <w:rPr>
          <w:sz w:val="26"/>
          <w:szCs w:val="26"/>
        </w:rPr>
        <w:t xml:space="preserve"> ca </w:t>
      </w:r>
      <w:proofErr w:type="spellStart"/>
      <w:r w:rsidRPr="00A24404">
        <w:rPr>
          <w:sz w:val="26"/>
          <w:szCs w:val="26"/>
        </w:rPr>
        <w:t>để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khảo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sát</w:t>
      </w:r>
      <w:proofErr w:type="spellEnd"/>
      <w:r w:rsidRPr="00A24404">
        <w:rPr>
          <w:sz w:val="26"/>
          <w:szCs w:val="26"/>
        </w:rPr>
        <w:t xml:space="preserve"> so </w:t>
      </w:r>
      <w:proofErr w:type="spellStart"/>
      <w:r w:rsidRPr="00A24404">
        <w:rPr>
          <w:sz w:val="26"/>
          <w:szCs w:val="26"/>
        </w:rPr>
        <w:t>sánh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đổi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sinh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hóa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Chất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thơm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hiện</w:t>
      </w:r>
      <w:proofErr w:type="spellEnd"/>
      <w:r w:rsidRPr="00A24404">
        <w:rPr>
          <w:sz w:val="26"/>
          <w:szCs w:val="26"/>
        </w:rPr>
        <w:t xml:space="preserve"> qua </w:t>
      </w:r>
      <w:proofErr w:type="spellStart"/>
      <w:r w:rsidRPr="00A24404">
        <w:rPr>
          <w:sz w:val="26"/>
          <w:szCs w:val="26"/>
        </w:rPr>
        <w:t>phản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ứng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huỳnh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với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cực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tím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phổ</w:t>
      </w:r>
      <w:proofErr w:type="spellEnd"/>
      <w:r w:rsidRPr="00A24404">
        <w:rPr>
          <w:sz w:val="26"/>
          <w:szCs w:val="26"/>
        </w:rPr>
        <w:t xml:space="preserve"> 270. </w:t>
      </w:r>
      <w:proofErr w:type="spellStart"/>
      <w:r w:rsidRPr="00A24404">
        <w:rPr>
          <w:sz w:val="26"/>
          <w:szCs w:val="26"/>
        </w:rPr>
        <w:t>Kết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quả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ngờ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vì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màu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thải</w:t>
      </w:r>
      <w:proofErr w:type="spellEnd"/>
      <w:r w:rsidRPr="00A24404">
        <w:rPr>
          <w:sz w:val="26"/>
          <w:szCs w:val="26"/>
        </w:rPr>
        <w:t xml:space="preserve"> qua </w:t>
      </w:r>
      <w:proofErr w:type="spellStart"/>
      <w:r w:rsidRPr="00A24404">
        <w:rPr>
          <w:sz w:val="26"/>
          <w:szCs w:val="26"/>
        </w:rPr>
        <w:t>đường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tiểu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với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lastRenderedPageBreak/>
        <w:t>nồng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độ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cao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hẳn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Thâm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niên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cũng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đồng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với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đổi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nói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trên</w:t>
      </w:r>
      <w:proofErr w:type="spellEnd"/>
      <w:r w:rsidRPr="00A24404">
        <w:rPr>
          <w:sz w:val="26"/>
          <w:szCs w:val="26"/>
        </w:rPr>
        <w:t>:</w:t>
      </w:r>
    </w:p>
    <w:p w14:paraId="341D821D" w14:textId="77777777" w:rsidR="00535813" w:rsidRPr="00A24404" w:rsidRDefault="00535813" w:rsidP="00535813">
      <w:pPr>
        <w:spacing w:line="360" w:lineRule="auto"/>
        <w:ind w:left="1080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0A0" w:firstRow="1" w:lastRow="0" w:firstColumn="1" w:lastColumn="0" w:noHBand="0" w:noVBand="0"/>
      </w:tblPr>
      <w:tblGrid>
        <w:gridCol w:w="2946"/>
        <w:gridCol w:w="2955"/>
        <w:gridCol w:w="2955"/>
      </w:tblGrid>
      <w:tr w:rsidR="00535813" w:rsidRPr="00562A0A" w14:paraId="13DF12BB" w14:textId="77777777" w:rsidTr="009C647E">
        <w:tc>
          <w:tcPr>
            <w:tcW w:w="2946" w:type="dxa"/>
            <w:tcBorders>
              <w:bottom w:val="single" w:sz="6" w:space="0" w:color="008000"/>
            </w:tcBorders>
            <w:shd w:val="clear" w:color="auto" w:fill="auto"/>
          </w:tcPr>
          <w:p w14:paraId="6B1569F9" w14:textId="77777777" w:rsidR="00535813" w:rsidRPr="00562A0A" w:rsidRDefault="00535813" w:rsidP="00535813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55" w:type="dxa"/>
            <w:tcBorders>
              <w:bottom w:val="single" w:sz="6" w:space="0" w:color="008000"/>
            </w:tcBorders>
            <w:shd w:val="clear" w:color="auto" w:fill="auto"/>
          </w:tcPr>
          <w:p w14:paraId="2F8F74B0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62A0A">
              <w:rPr>
                <w:sz w:val="26"/>
                <w:szCs w:val="26"/>
              </w:rPr>
              <w:t>Công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nhân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Dệt</w:t>
            </w:r>
            <w:proofErr w:type="spellEnd"/>
          </w:p>
        </w:tc>
        <w:tc>
          <w:tcPr>
            <w:tcW w:w="2955" w:type="dxa"/>
            <w:tcBorders>
              <w:bottom w:val="single" w:sz="6" w:space="0" w:color="008000"/>
            </w:tcBorders>
            <w:shd w:val="clear" w:color="auto" w:fill="auto"/>
          </w:tcPr>
          <w:p w14:paraId="2D7C47E6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62A0A">
              <w:rPr>
                <w:sz w:val="26"/>
                <w:szCs w:val="26"/>
              </w:rPr>
              <w:t>Công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nhân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sơn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mài</w:t>
            </w:r>
            <w:proofErr w:type="spellEnd"/>
          </w:p>
        </w:tc>
      </w:tr>
      <w:tr w:rsidR="00535813" w:rsidRPr="00562A0A" w14:paraId="7DFA998D" w14:textId="77777777" w:rsidTr="009C647E">
        <w:tc>
          <w:tcPr>
            <w:tcW w:w="2946" w:type="dxa"/>
            <w:shd w:val="clear" w:color="auto" w:fill="auto"/>
          </w:tcPr>
          <w:p w14:paraId="6FDE510B" w14:textId="77777777" w:rsidR="00535813" w:rsidRPr="00562A0A" w:rsidRDefault="00535813" w:rsidP="00535813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562A0A">
              <w:rPr>
                <w:sz w:val="26"/>
                <w:szCs w:val="26"/>
              </w:rPr>
              <w:t>Số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lượng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2955" w:type="dxa"/>
            <w:shd w:val="clear" w:color="auto" w:fill="auto"/>
          </w:tcPr>
          <w:p w14:paraId="3ED80D48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260</w:t>
            </w:r>
          </w:p>
        </w:tc>
        <w:tc>
          <w:tcPr>
            <w:tcW w:w="2955" w:type="dxa"/>
            <w:shd w:val="clear" w:color="auto" w:fill="auto"/>
          </w:tcPr>
          <w:p w14:paraId="0182476C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259</w:t>
            </w:r>
          </w:p>
        </w:tc>
      </w:tr>
      <w:tr w:rsidR="00535813" w:rsidRPr="00562A0A" w14:paraId="45402914" w14:textId="77777777" w:rsidTr="009C647E">
        <w:tc>
          <w:tcPr>
            <w:tcW w:w="2946" w:type="dxa"/>
            <w:shd w:val="clear" w:color="auto" w:fill="auto"/>
          </w:tcPr>
          <w:p w14:paraId="11E1B395" w14:textId="77777777" w:rsidR="00535813" w:rsidRPr="00562A0A" w:rsidRDefault="00535813" w:rsidP="00535813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562A0A">
              <w:rPr>
                <w:sz w:val="26"/>
                <w:szCs w:val="26"/>
              </w:rPr>
              <w:t>Tế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bào</w:t>
            </w:r>
            <w:proofErr w:type="spellEnd"/>
            <w:r w:rsidRPr="00562A0A">
              <w:rPr>
                <w:sz w:val="26"/>
                <w:szCs w:val="26"/>
              </w:rPr>
              <w:t xml:space="preserve"> (+)</w:t>
            </w:r>
          </w:p>
        </w:tc>
        <w:tc>
          <w:tcPr>
            <w:tcW w:w="2955" w:type="dxa"/>
            <w:shd w:val="clear" w:color="auto" w:fill="auto"/>
          </w:tcPr>
          <w:p w14:paraId="1AB315CD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13,85%</w:t>
            </w:r>
          </w:p>
        </w:tc>
        <w:tc>
          <w:tcPr>
            <w:tcW w:w="2955" w:type="dxa"/>
            <w:shd w:val="clear" w:color="auto" w:fill="auto"/>
          </w:tcPr>
          <w:p w14:paraId="63581590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11,58%</w:t>
            </w:r>
          </w:p>
        </w:tc>
      </w:tr>
      <w:tr w:rsidR="00535813" w:rsidRPr="00562A0A" w14:paraId="057C7437" w14:textId="77777777" w:rsidTr="009C647E">
        <w:tc>
          <w:tcPr>
            <w:tcW w:w="2946" w:type="dxa"/>
            <w:shd w:val="clear" w:color="auto" w:fill="auto"/>
          </w:tcPr>
          <w:p w14:paraId="4974B018" w14:textId="77777777" w:rsidR="00535813" w:rsidRPr="00562A0A" w:rsidRDefault="00535813" w:rsidP="00535813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562A0A">
              <w:rPr>
                <w:sz w:val="26"/>
                <w:szCs w:val="26"/>
              </w:rPr>
              <w:t>Tinh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thể</w:t>
            </w:r>
            <w:proofErr w:type="spellEnd"/>
            <w:r w:rsidRPr="00562A0A">
              <w:rPr>
                <w:sz w:val="26"/>
                <w:szCs w:val="26"/>
              </w:rPr>
              <w:t xml:space="preserve"> (+)</w:t>
            </w:r>
          </w:p>
        </w:tc>
        <w:tc>
          <w:tcPr>
            <w:tcW w:w="2955" w:type="dxa"/>
            <w:shd w:val="clear" w:color="auto" w:fill="auto"/>
          </w:tcPr>
          <w:p w14:paraId="1C945BAB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16,54%</w:t>
            </w:r>
          </w:p>
        </w:tc>
        <w:tc>
          <w:tcPr>
            <w:tcW w:w="2955" w:type="dxa"/>
            <w:shd w:val="clear" w:color="auto" w:fill="auto"/>
          </w:tcPr>
          <w:p w14:paraId="028D6586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11,20%</w:t>
            </w:r>
          </w:p>
        </w:tc>
      </w:tr>
      <w:tr w:rsidR="00535813" w:rsidRPr="00562A0A" w14:paraId="23E35525" w14:textId="77777777" w:rsidTr="009C647E">
        <w:tc>
          <w:tcPr>
            <w:tcW w:w="2946" w:type="dxa"/>
            <w:shd w:val="clear" w:color="auto" w:fill="auto"/>
          </w:tcPr>
          <w:p w14:paraId="12830DBE" w14:textId="77777777" w:rsidR="00535813" w:rsidRPr="00562A0A" w:rsidRDefault="00535813" w:rsidP="00535813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562A0A">
              <w:rPr>
                <w:sz w:val="26"/>
                <w:szCs w:val="26"/>
              </w:rPr>
              <w:t>Huỳnh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quang</w:t>
            </w:r>
            <w:proofErr w:type="spellEnd"/>
            <w:r w:rsidRPr="00562A0A">
              <w:rPr>
                <w:sz w:val="26"/>
                <w:szCs w:val="26"/>
              </w:rPr>
              <w:t xml:space="preserve"> (+) </w:t>
            </w:r>
            <w:proofErr w:type="spellStart"/>
            <w:r w:rsidRPr="00562A0A">
              <w:rPr>
                <w:sz w:val="26"/>
                <w:szCs w:val="26"/>
              </w:rPr>
              <w:t>vào</w:t>
            </w:r>
            <w:proofErr w:type="spellEnd"/>
            <w:r w:rsidRPr="00562A0A">
              <w:rPr>
                <w:sz w:val="26"/>
                <w:szCs w:val="26"/>
              </w:rPr>
              <w:t xml:space="preserve"> ca</w:t>
            </w:r>
          </w:p>
        </w:tc>
        <w:tc>
          <w:tcPr>
            <w:tcW w:w="2955" w:type="dxa"/>
            <w:shd w:val="clear" w:color="auto" w:fill="auto"/>
          </w:tcPr>
          <w:p w14:paraId="48B2FF7D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6,32%</w:t>
            </w:r>
          </w:p>
        </w:tc>
        <w:tc>
          <w:tcPr>
            <w:tcW w:w="2955" w:type="dxa"/>
            <w:shd w:val="clear" w:color="auto" w:fill="auto"/>
          </w:tcPr>
          <w:p w14:paraId="16004853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5,41%</w:t>
            </w:r>
          </w:p>
        </w:tc>
      </w:tr>
      <w:tr w:rsidR="00535813" w:rsidRPr="00562A0A" w14:paraId="06BDAC01" w14:textId="77777777" w:rsidTr="009C647E">
        <w:tc>
          <w:tcPr>
            <w:tcW w:w="2946" w:type="dxa"/>
            <w:shd w:val="clear" w:color="auto" w:fill="auto"/>
          </w:tcPr>
          <w:p w14:paraId="634640BC" w14:textId="77777777" w:rsidR="00535813" w:rsidRPr="00562A0A" w:rsidRDefault="00535813" w:rsidP="00535813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562A0A">
              <w:rPr>
                <w:sz w:val="26"/>
                <w:szCs w:val="26"/>
              </w:rPr>
              <w:t>Huỳnh</w:t>
            </w:r>
            <w:proofErr w:type="spellEnd"/>
            <w:r w:rsidRPr="00562A0A">
              <w:rPr>
                <w:sz w:val="26"/>
                <w:szCs w:val="26"/>
              </w:rPr>
              <w:t xml:space="preserve"> </w:t>
            </w:r>
            <w:proofErr w:type="spellStart"/>
            <w:r w:rsidRPr="00562A0A">
              <w:rPr>
                <w:sz w:val="26"/>
                <w:szCs w:val="26"/>
              </w:rPr>
              <w:t>quang</w:t>
            </w:r>
            <w:proofErr w:type="spellEnd"/>
            <w:r w:rsidRPr="00562A0A">
              <w:rPr>
                <w:sz w:val="26"/>
                <w:szCs w:val="26"/>
              </w:rPr>
              <w:t xml:space="preserve"> (+) </w:t>
            </w:r>
            <w:proofErr w:type="spellStart"/>
            <w:r w:rsidRPr="00562A0A">
              <w:rPr>
                <w:sz w:val="26"/>
                <w:szCs w:val="26"/>
              </w:rPr>
              <w:t>ra</w:t>
            </w:r>
            <w:proofErr w:type="spellEnd"/>
            <w:r w:rsidRPr="00562A0A">
              <w:rPr>
                <w:sz w:val="26"/>
                <w:szCs w:val="26"/>
              </w:rPr>
              <w:t xml:space="preserve"> ca</w:t>
            </w:r>
          </w:p>
        </w:tc>
        <w:tc>
          <w:tcPr>
            <w:tcW w:w="2955" w:type="dxa"/>
            <w:shd w:val="clear" w:color="auto" w:fill="auto"/>
          </w:tcPr>
          <w:p w14:paraId="192E5367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28,85%</w:t>
            </w:r>
          </w:p>
        </w:tc>
        <w:tc>
          <w:tcPr>
            <w:tcW w:w="2955" w:type="dxa"/>
            <w:shd w:val="clear" w:color="auto" w:fill="auto"/>
          </w:tcPr>
          <w:p w14:paraId="21424780" w14:textId="77777777" w:rsidR="00535813" w:rsidRPr="00562A0A" w:rsidRDefault="00535813" w:rsidP="0053581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62A0A">
              <w:rPr>
                <w:sz w:val="26"/>
                <w:szCs w:val="26"/>
              </w:rPr>
              <w:t>15,57%</w:t>
            </w:r>
          </w:p>
        </w:tc>
      </w:tr>
    </w:tbl>
    <w:p w14:paraId="357C662D" w14:textId="77777777" w:rsidR="00535813" w:rsidRPr="00A24404" w:rsidRDefault="00535813" w:rsidP="00535813">
      <w:pPr>
        <w:spacing w:line="360" w:lineRule="auto"/>
        <w:ind w:left="360"/>
        <w:jc w:val="center"/>
        <w:rPr>
          <w:i/>
          <w:sz w:val="26"/>
          <w:szCs w:val="26"/>
        </w:rPr>
      </w:pPr>
    </w:p>
    <w:p w14:paraId="00688E97" w14:textId="77777777" w:rsidR="00535813" w:rsidRPr="00A24404" w:rsidRDefault="00535813" w:rsidP="00535813">
      <w:pPr>
        <w:spacing w:line="360" w:lineRule="auto"/>
        <w:ind w:left="360"/>
        <w:jc w:val="center"/>
        <w:rPr>
          <w:i/>
          <w:sz w:val="26"/>
          <w:szCs w:val="26"/>
        </w:rPr>
      </w:pPr>
      <w:proofErr w:type="spellStart"/>
      <w:r w:rsidRPr="00A24404">
        <w:rPr>
          <w:i/>
          <w:sz w:val="26"/>
          <w:szCs w:val="26"/>
        </w:rPr>
        <w:t>Bảng</w:t>
      </w:r>
      <w:proofErr w:type="spellEnd"/>
      <w:r w:rsidRPr="00A24404">
        <w:rPr>
          <w:i/>
          <w:sz w:val="26"/>
          <w:szCs w:val="26"/>
        </w:rPr>
        <w:t xml:space="preserve"> 1: </w:t>
      </w:r>
      <w:proofErr w:type="spellStart"/>
      <w:r w:rsidRPr="00A24404">
        <w:rPr>
          <w:i/>
          <w:sz w:val="26"/>
          <w:szCs w:val="26"/>
        </w:rPr>
        <w:t>Biến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đổi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nước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tiểu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của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công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nhân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sau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khi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tiếp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xúc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thuốc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màu</w:t>
      </w:r>
      <w:proofErr w:type="spellEnd"/>
    </w:p>
    <w:p w14:paraId="4632D9D9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</w:p>
    <w:p w14:paraId="27DC2D01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Công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xưởng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nhuộm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hít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trực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tiếp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nhuộm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phổi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mài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thấm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màu</w:t>
      </w:r>
      <w:proofErr w:type="spellEnd"/>
      <w:r w:rsidRPr="00A24404">
        <w:rPr>
          <w:sz w:val="26"/>
          <w:szCs w:val="26"/>
        </w:rPr>
        <w:t xml:space="preserve"> qua da </w:t>
      </w:r>
      <w:proofErr w:type="spellStart"/>
      <w:r w:rsidRPr="00A24404">
        <w:rPr>
          <w:sz w:val="26"/>
          <w:szCs w:val="26"/>
        </w:rPr>
        <w:t>khi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thao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tác</w:t>
      </w:r>
      <w:proofErr w:type="spellEnd"/>
      <w:r w:rsidRPr="00A24404">
        <w:rPr>
          <w:sz w:val="26"/>
          <w:szCs w:val="26"/>
        </w:rPr>
        <w:t>.</w:t>
      </w:r>
    </w:p>
    <w:p w14:paraId="44B7590D" w14:textId="77777777" w:rsidR="00535813" w:rsidRPr="00A24404" w:rsidRDefault="00535813" w:rsidP="00535813">
      <w:pPr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Thuốc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Đông</w:t>
      </w:r>
      <w:proofErr w:type="spellEnd"/>
      <w:r w:rsidRPr="00A24404">
        <w:rPr>
          <w:sz w:val="26"/>
          <w:szCs w:val="26"/>
        </w:rPr>
        <w:t xml:space="preserve"> Y, </w:t>
      </w:r>
      <w:proofErr w:type="spellStart"/>
      <w:r w:rsidRPr="00A24404">
        <w:rPr>
          <w:sz w:val="26"/>
          <w:szCs w:val="26"/>
        </w:rPr>
        <w:t>theo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số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nghiên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cứu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của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Đài</w:t>
      </w:r>
      <w:proofErr w:type="spellEnd"/>
      <w:r w:rsidRPr="00A24404">
        <w:rPr>
          <w:sz w:val="26"/>
          <w:szCs w:val="26"/>
        </w:rPr>
        <w:t xml:space="preserve"> loan, </w:t>
      </w:r>
      <w:proofErr w:type="spellStart"/>
      <w:r w:rsidRPr="00A24404">
        <w:rPr>
          <w:sz w:val="26"/>
          <w:szCs w:val="26"/>
        </w:rPr>
        <w:t>cũng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thể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góp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phần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gây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>.</w:t>
      </w:r>
    </w:p>
    <w:p w14:paraId="48E031D2" w14:textId="77777777" w:rsidR="00535813" w:rsidRDefault="00535813" w:rsidP="00535813">
      <w:pPr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tranh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chất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khai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hoang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rải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xuống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vùng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lãnh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thổ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Việt</w:t>
      </w:r>
      <w:proofErr w:type="spellEnd"/>
      <w:r w:rsidRPr="00A24404">
        <w:rPr>
          <w:sz w:val="26"/>
          <w:szCs w:val="26"/>
        </w:rPr>
        <w:t xml:space="preserve"> Nam </w:t>
      </w:r>
      <w:proofErr w:type="spellStart"/>
      <w:r w:rsidRPr="00A24404">
        <w:rPr>
          <w:sz w:val="26"/>
          <w:szCs w:val="26"/>
        </w:rPr>
        <w:t>cũng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nguyên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gây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tăng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tỷ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lệ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ung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</w:t>
      </w:r>
      <w:proofErr w:type="spellEnd"/>
      <w:r w:rsidRPr="00A24404">
        <w:rPr>
          <w:sz w:val="26"/>
          <w:szCs w:val="26"/>
        </w:rPr>
        <w:t>.</w:t>
      </w:r>
    </w:p>
    <w:p w14:paraId="5BE426EB" w14:textId="77777777" w:rsidR="00535813" w:rsidRPr="00A24404" w:rsidRDefault="00535813" w:rsidP="00535813">
      <w:pPr>
        <w:spacing w:line="360" w:lineRule="auto"/>
        <w:ind w:left="1440"/>
        <w:jc w:val="both"/>
        <w:rPr>
          <w:sz w:val="26"/>
          <w:szCs w:val="26"/>
        </w:rPr>
      </w:pPr>
    </w:p>
    <w:p w14:paraId="5AB5F935" w14:textId="77777777" w:rsidR="00535813" w:rsidRPr="00A24404" w:rsidRDefault="00535813" w:rsidP="00535813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 xml:space="preserve"> TƯ LIỆU VÀ PHƯƠNG PHÁP</w:t>
      </w:r>
    </w:p>
    <w:p w14:paraId="12265F6B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hai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thập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kỷ</w:t>
      </w:r>
      <w:proofErr w:type="spellEnd"/>
      <w:r w:rsidRPr="00A24404">
        <w:rPr>
          <w:sz w:val="26"/>
          <w:szCs w:val="26"/>
        </w:rPr>
        <w:t xml:space="preserve"> qua, </w:t>
      </w:r>
      <w:proofErr w:type="spellStart"/>
      <w:r w:rsidRPr="00A24404">
        <w:rPr>
          <w:sz w:val="26"/>
          <w:szCs w:val="26"/>
        </w:rPr>
        <w:t>số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lượng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nhập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viện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bệnh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viện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Bình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Dân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mỗi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năm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khoảng</w:t>
      </w:r>
      <w:proofErr w:type="spellEnd"/>
      <w:r w:rsidRPr="00A24404">
        <w:rPr>
          <w:sz w:val="26"/>
          <w:szCs w:val="26"/>
        </w:rPr>
        <w:t xml:space="preserve"> 111 </w:t>
      </w:r>
      <w:proofErr w:type="spellStart"/>
      <w:r w:rsidRPr="00A24404">
        <w:rPr>
          <w:sz w:val="26"/>
          <w:szCs w:val="26"/>
        </w:rPr>
        <w:t>đến</w:t>
      </w:r>
      <w:proofErr w:type="spellEnd"/>
      <w:r w:rsidRPr="00A24404">
        <w:rPr>
          <w:sz w:val="26"/>
          <w:szCs w:val="26"/>
        </w:rPr>
        <w:t xml:space="preserve"> 425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  <w:r w:rsidRPr="00A24404">
        <w:rPr>
          <w:sz w:val="26"/>
          <w:szCs w:val="26"/>
        </w:rPr>
        <w:t>.</w:t>
      </w:r>
    </w:p>
    <w:p w14:paraId="65273455" w14:textId="77777777" w:rsidR="00535813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r w:rsidRPr="00A24404">
        <w:rPr>
          <w:sz w:val="26"/>
          <w:szCs w:val="26"/>
        </w:rPr>
        <w:t xml:space="preserve">4282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từ</w:t>
      </w:r>
      <w:proofErr w:type="spellEnd"/>
      <w:r w:rsidRPr="00A24404">
        <w:rPr>
          <w:sz w:val="26"/>
          <w:szCs w:val="26"/>
        </w:rPr>
        <w:t xml:space="preserve"> 1992 </w:t>
      </w:r>
      <w:proofErr w:type="spellStart"/>
      <w:r w:rsidRPr="00A24404">
        <w:rPr>
          <w:sz w:val="26"/>
          <w:szCs w:val="26"/>
        </w:rPr>
        <w:t>đến</w:t>
      </w:r>
      <w:proofErr w:type="spellEnd"/>
      <w:r w:rsidRPr="00A24404">
        <w:rPr>
          <w:sz w:val="26"/>
          <w:szCs w:val="26"/>
        </w:rPr>
        <w:t xml:space="preserve"> 2009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khảo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sát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Các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yếu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tố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khảo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gồm</w:t>
      </w:r>
      <w:proofErr w:type="spellEnd"/>
      <w:r w:rsidRPr="00A24404">
        <w:rPr>
          <w:sz w:val="26"/>
          <w:szCs w:val="26"/>
        </w:rPr>
        <w:t xml:space="preserve">: </w:t>
      </w:r>
      <w:proofErr w:type="spellStart"/>
      <w:r w:rsidRPr="00A24404">
        <w:rPr>
          <w:sz w:val="26"/>
          <w:szCs w:val="26"/>
        </w:rPr>
        <w:t>giới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tuổi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giai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đoạn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độ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xâm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lấn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trị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liệu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kết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quả</w:t>
      </w:r>
      <w:proofErr w:type="spellEnd"/>
      <w:r w:rsidRPr="00A24404">
        <w:rPr>
          <w:sz w:val="26"/>
          <w:szCs w:val="26"/>
        </w:rPr>
        <w:t>.</w:t>
      </w:r>
    </w:p>
    <w:p w14:paraId="2C0F7E04" w14:textId="77777777" w:rsidR="00535813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</w:p>
    <w:p w14:paraId="696230D3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</w:p>
    <w:p w14:paraId="76F7F287" w14:textId="77777777" w:rsidR="00535813" w:rsidRPr="00A24404" w:rsidRDefault="00535813" w:rsidP="00535813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>KẾT QUẢ</w:t>
      </w:r>
    </w:p>
    <w:p w14:paraId="21202A1E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Có</w:t>
      </w:r>
      <w:proofErr w:type="spellEnd"/>
      <w:r w:rsidRPr="00A24404">
        <w:rPr>
          <w:sz w:val="26"/>
          <w:szCs w:val="26"/>
        </w:rPr>
        <w:t xml:space="preserve"> 3333 </w:t>
      </w:r>
      <w:proofErr w:type="spellStart"/>
      <w:r w:rsidRPr="00A24404">
        <w:rPr>
          <w:sz w:val="26"/>
          <w:szCs w:val="26"/>
        </w:rPr>
        <w:t>nam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949 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 xml:space="preserve"> (Nam/</w:t>
      </w:r>
      <w:proofErr w:type="spellStart"/>
      <w:r w:rsidRPr="00A24404">
        <w:rPr>
          <w:sz w:val="26"/>
          <w:szCs w:val="26"/>
        </w:rPr>
        <w:t>Nữ</w:t>
      </w:r>
      <w:proofErr w:type="spellEnd"/>
      <w:r w:rsidRPr="00A24404">
        <w:rPr>
          <w:sz w:val="26"/>
          <w:szCs w:val="26"/>
        </w:rPr>
        <w:t>= 3.51).</w:t>
      </w:r>
    </w:p>
    <w:p w14:paraId="69FC8B26" w14:textId="77777777" w:rsidR="00535813" w:rsidRPr="00A24404" w:rsidRDefault="00535813" w:rsidP="00535813">
      <w:pPr>
        <w:spacing w:line="360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40E0F174" wp14:editId="109BBECB">
            <wp:extent cx="5816600" cy="284480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proofErr w:type="spellStart"/>
      <w:r w:rsidRPr="00A24404">
        <w:rPr>
          <w:i/>
          <w:sz w:val="26"/>
          <w:szCs w:val="26"/>
        </w:rPr>
        <w:t>Biểu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đồ</w:t>
      </w:r>
      <w:proofErr w:type="spellEnd"/>
      <w:r w:rsidRPr="00A24404">
        <w:rPr>
          <w:i/>
          <w:sz w:val="26"/>
          <w:szCs w:val="26"/>
        </w:rPr>
        <w:t xml:space="preserve"> 1: </w:t>
      </w:r>
      <w:proofErr w:type="spellStart"/>
      <w:r w:rsidRPr="00A24404">
        <w:rPr>
          <w:i/>
          <w:sz w:val="26"/>
          <w:szCs w:val="26"/>
        </w:rPr>
        <w:t>Bướu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bàng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quang</w:t>
      </w:r>
      <w:proofErr w:type="spellEnd"/>
      <w:r w:rsidRPr="00A24404">
        <w:rPr>
          <w:i/>
          <w:sz w:val="26"/>
          <w:szCs w:val="26"/>
        </w:rPr>
        <w:t xml:space="preserve"> 10 </w:t>
      </w:r>
      <w:proofErr w:type="spellStart"/>
      <w:r w:rsidRPr="00A24404">
        <w:rPr>
          <w:i/>
          <w:sz w:val="26"/>
          <w:szCs w:val="26"/>
        </w:rPr>
        <w:t>năm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tại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bệnh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viện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Bình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Dân</w:t>
      </w:r>
      <w:proofErr w:type="spellEnd"/>
    </w:p>
    <w:p w14:paraId="1873313C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</w:p>
    <w:p w14:paraId="16348B03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thể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nông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chiếm</w:t>
      </w:r>
      <w:proofErr w:type="spellEnd"/>
      <w:r w:rsidRPr="00A24404">
        <w:rPr>
          <w:sz w:val="26"/>
          <w:szCs w:val="26"/>
        </w:rPr>
        <w:t xml:space="preserve"> 65%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xâm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lấn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chiếm</w:t>
      </w:r>
      <w:proofErr w:type="spellEnd"/>
      <w:r w:rsidRPr="00A24404">
        <w:rPr>
          <w:sz w:val="26"/>
          <w:szCs w:val="26"/>
        </w:rPr>
        <w:t xml:space="preserve"> 35%.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20 </w:t>
      </w:r>
      <w:proofErr w:type="spellStart"/>
      <w:r w:rsidRPr="00A24404">
        <w:rPr>
          <w:sz w:val="26"/>
          <w:szCs w:val="26"/>
        </w:rPr>
        <w:t>năm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số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chẩn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đoán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sớm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cải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thiện</w:t>
      </w:r>
      <w:proofErr w:type="spellEnd"/>
      <w:r w:rsidRPr="00A24404">
        <w:rPr>
          <w:sz w:val="26"/>
          <w:szCs w:val="26"/>
        </w:rPr>
        <w:t xml:space="preserve"> do </w:t>
      </w:r>
      <w:proofErr w:type="spellStart"/>
      <w:r w:rsidRPr="00A24404">
        <w:rPr>
          <w:sz w:val="26"/>
          <w:szCs w:val="26"/>
        </w:rPr>
        <w:t>tình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hình</w:t>
      </w:r>
      <w:proofErr w:type="spellEnd"/>
      <w:r w:rsidRPr="00A24404">
        <w:rPr>
          <w:sz w:val="26"/>
          <w:szCs w:val="26"/>
        </w:rPr>
        <w:t xml:space="preserve"> y </w:t>
      </w:r>
      <w:proofErr w:type="spellStart"/>
      <w:r w:rsidRPr="00A24404">
        <w:rPr>
          <w:sz w:val="26"/>
          <w:szCs w:val="26"/>
        </w:rPr>
        <w:t>tế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kinh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tế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Việt</w:t>
      </w:r>
      <w:proofErr w:type="spellEnd"/>
      <w:r w:rsidRPr="00A24404">
        <w:rPr>
          <w:sz w:val="26"/>
          <w:szCs w:val="26"/>
        </w:rPr>
        <w:t xml:space="preserve"> Nam </w:t>
      </w:r>
      <w:proofErr w:type="spellStart"/>
      <w:r w:rsidRPr="00A24404">
        <w:rPr>
          <w:sz w:val="26"/>
          <w:szCs w:val="26"/>
        </w:rPr>
        <w:t>phát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triển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Siêu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âm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sử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dụng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rộng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rãi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sĩ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khoa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hiện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bệnh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để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gửi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niệu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khoa</w:t>
      </w:r>
      <w:proofErr w:type="spellEnd"/>
      <w:r w:rsidRPr="00A24404">
        <w:rPr>
          <w:sz w:val="26"/>
          <w:szCs w:val="26"/>
        </w:rPr>
        <w:t>.</w:t>
      </w:r>
    </w:p>
    <w:p w14:paraId="78C5BF1D" w14:textId="77777777" w:rsidR="00535813" w:rsidRDefault="00535813" w:rsidP="00535813">
      <w:pPr>
        <w:spacing w:line="360" w:lineRule="auto"/>
        <w:ind w:left="360"/>
        <w:jc w:val="center"/>
        <w:rPr>
          <w:i/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41F32872" wp14:editId="286367D2">
            <wp:extent cx="5270500" cy="3263900"/>
            <wp:effectExtent l="0" t="0" r="0" b="0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proofErr w:type="spellStart"/>
      <w:r w:rsidRPr="00A24404">
        <w:rPr>
          <w:i/>
          <w:sz w:val="26"/>
          <w:szCs w:val="26"/>
        </w:rPr>
        <w:t>Biểu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đồ</w:t>
      </w:r>
      <w:proofErr w:type="spellEnd"/>
      <w:r w:rsidRPr="00A24404">
        <w:rPr>
          <w:i/>
          <w:sz w:val="26"/>
          <w:szCs w:val="26"/>
        </w:rPr>
        <w:t xml:space="preserve"> 2: </w:t>
      </w:r>
      <w:proofErr w:type="spellStart"/>
      <w:r w:rsidRPr="00A24404">
        <w:rPr>
          <w:i/>
          <w:sz w:val="26"/>
          <w:szCs w:val="26"/>
        </w:rPr>
        <w:t>Phân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bố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bướu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thể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nông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và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thể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xâm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lấn</w:t>
      </w:r>
      <w:proofErr w:type="spellEnd"/>
    </w:p>
    <w:p w14:paraId="5541B13F" w14:textId="77777777" w:rsidR="00535813" w:rsidRPr="00A24404" w:rsidRDefault="00535813" w:rsidP="00535813">
      <w:pPr>
        <w:spacing w:line="360" w:lineRule="auto"/>
        <w:ind w:left="360"/>
        <w:jc w:val="center"/>
        <w:rPr>
          <w:sz w:val="26"/>
          <w:szCs w:val="26"/>
        </w:rPr>
      </w:pPr>
    </w:p>
    <w:p w14:paraId="5439A583" w14:textId="77777777" w:rsidR="00535813" w:rsidRPr="00A24404" w:rsidRDefault="00535813" w:rsidP="00535813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>ĐIỀU TRỊ</w:t>
      </w:r>
    </w:p>
    <w:p w14:paraId="428F7472" w14:textId="77777777" w:rsidR="00535813" w:rsidRPr="00A24404" w:rsidRDefault="00535813" w:rsidP="00535813">
      <w:pPr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>BƯỚU THỂ NÔNG</w:t>
      </w:r>
    </w:p>
    <w:p w14:paraId="14731BCC" w14:textId="77777777" w:rsidR="00535813" w:rsidRPr="00A24404" w:rsidRDefault="00535813" w:rsidP="00535813">
      <w:pPr>
        <w:spacing w:line="360" w:lineRule="auto"/>
        <w:ind w:left="720" w:firstLine="72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Cắt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đốt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nội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soi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bơm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Mitomycine</w:t>
      </w:r>
      <w:proofErr w:type="spellEnd"/>
      <w:r w:rsidRPr="00A24404">
        <w:rPr>
          <w:sz w:val="26"/>
          <w:szCs w:val="26"/>
        </w:rPr>
        <w:t xml:space="preserve">, BCG, </w:t>
      </w:r>
      <w:proofErr w:type="spellStart"/>
      <w:r w:rsidRPr="00A24404">
        <w:rPr>
          <w:sz w:val="26"/>
          <w:szCs w:val="26"/>
        </w:rPr>
        <w:t>Doxorubicine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Bleomycine</w:t>
      </w:r>
      <w:proofErr w:type="spellEnd"/>
      <w:r w:rsidRPr="00A24404">
        <w:rPr>
          <w:sz w:val="26"/>
          <w:szCs w:val="26"/>
        </w:rPr>
        <w:t xml:space="preserve">: 2116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</w:p>
    <w:p w14:paraId="1EFE278B" w14:textId="77777777" w:rsidR="00535813" w:rsidRPr="00A24404" w:rsidRDefault="00535813" w:rsidP="00535813">
      <w:pPr>
        <w:spacing w:line="360" w:lineRule="auto"/>
        <w:ind w:left="720" w:firstLine="72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Cắt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bán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phần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:  678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</w:p>
    <w:p w14:paraId="173FCF73" w14:textId="77777777" w:rsidR="00535813" w:rsidRPr="00A24404" w:rsidRDefault="00535813" w:rsidP="00535813">
      <w:pPr>
        <w:numPr>
          <w:ilvl w:val="1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>BƯỚU XÂM LẤN</w:t>
      </w:r>
    </w:p>
    <w:p w14:paraId="06061AFD" w14:textId="77777777" w:rsidR="00535813" w:rsidRPr="00A24404" w:rsidRDefault="00535813" w:rsidP="00535813">
      <w:pPr>
        <w:spacing w:line="360" w:lineRule="auto"/>
        <w:ind w:left="1080" w:firstLine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Cắt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tận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gốc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hai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niệu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quản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ra</w:t>
      </w:r>
      <w:proofErr w:type="spellEnd"/>
      <w:r w:rsidRPr="00A24404">
        <w:rPr>
          <w:sz w:val="26"/>
          <w:szCs w:val="26"/>
        </w:rPr>
        <w:t xml:space="preserve"> da: 320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  <w:r w:rsidRPr="00A24404">
        <w:rPr>
          <w:sz w:val="26"/>
          <w:szCs w:val="26"/>
        </w:rPr>
        <w:t xml:space="preserve">; </w:t>
      </w:r>
      <w:proofErr w:type="spellStart"/>
      <w:r w:rsidRPr="00A24404">
        <w:rPr>
          <w:sz w:val="26"/>
          <w:szCs w:val="26"/>
        </w:rPr>
        <w:t>tạo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hình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túi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chứa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bằng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ruột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thay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thế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được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áp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dụng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ngày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: 398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  <w:r w:rsidRPr="00A24404">
        <w:rPr>
          <w:sz w:val="26"/>
          <w:szCs w:val="26"/>
        </w:rPr>
        <w:t xml:space="preserve">.  </w:t>
      </w:r>
    </w:p>
    <w:p w14:paraId="334615D5" w14:textId="77777777" w:rsidR="00535813" w:rsidRPr="00A24404" w:rsidRDefault="00535813" w:rsidP="00535813">
      <w:pPr>
        <w:spacing w:line="360" w:lineRule="auto"/>
        <w:ind w:left="720" w:firstLine="72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Cắt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tận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gốc</w:t>
      </w:r>
      <w:proofErr w:type="spellEnd"/>
      <w:r w:rsidRPr="00A24404">
        <w:rPr>
          <w:sz w:val="26"/>
          <w:szCs w:val="26"/>
        </w:rPr>
        <w:t xml:space="preserve"> qua </w:t>
      </w:r>
      <w:proofErr w:type="spellStart"/>
      <w:r w:rsidRPr="00A24404">
        <w:rPr>
          <w:sz w:val="26"/>
          <w:szCs w:val="26"/>
        </w:rPr>
        <w:t>nội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soi</w:t>
      </w:r>
      <w:proofErr w:type="spellEnd"/>
      <w:r w:rsidRPr="00A24404">
        <w:rPr>
          <w:sz w:val="26"/>
          <w:szCs w:val="26"/>
        </w:rPr>
        <w:t xml:space="preserve">: 24 </w:t>
      </w:r>
      <w:proofErr w:type="spellStart"/>
      <w:r w:rsidRPr="00A24404">
        <w:rPr>
          <w:sz w:val="26"/>
          <w:szCs w:val="26"/>
        </w:rPr>
        <w:t>trường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hợp</w:t>
      </w:r>
      <w:proofErr w:type="spellEnd"/>
      <w:r w:rsidRPr="00A24404">
        <w:rPr>
          <w:sz w:val="26"/>
          <w:szCs w:val="26"/>
        </w:rPr>
        <w:t>.</w:t>
      </w:r>
    </w:p>
    <w:p w14:paraId="22C04F84" w14:textId="77777777" w:rsidR="00535813" w:rsidRDefault="00535813" w:rsidP="00535813">
      <w:pPr>
        <w:spacing w:line="360" w:lineRule="auto"/>
        <w:ind w:left="720" w:firstLine="72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Tỷ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lệ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sử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dụng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ruột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proofErr w:type="gramStart"/>
      <w:r w:rsidRPr="00A24404">
        <w:rPr>
          <w:sz w:val="26"/>
          <w:szCs w:val="26"/>
        </w:rPr>
        <w:t>từ</w:t>
      </w:r>
      <w:proofErr w:type="spellEnd"/>
      <w:r w:rsidRPr="00A24404">
        <w:rPr>
          <w:sz w:val="26"/>
          <w:szCs w:val="26"/>
        </w:rPr>
        <w:t xml:space="preserve">  1</w:t>
      </w:r>
      <w:proofErr w:type="gramEnd"/>
      <w:r w:rsidRPr="00A24404">
        <w:rPr>
          <w:sz w:val="26"/>
          <w:szCs w:val="26"/>
        </w:rPr>
        <w:t xml:space="preserve">%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năm</w:t>
      </w:r>
      <w:proofErr w:type="spellEnd"/>
      <w:r w:rsidRPr="00A24404">
        <w:rPr>
          <w:sz w:val="26"/>
          <w:szCs w:val="26"/>
        </w:rPr>
        <w:t xml:space="preserve"> 1992 </w:t>
      </w:r>
      <w:proofErr w:type="spellStart"/>
      <w:r w:rsidRPr="00A24404">
        <w:rPr>
          <w:sz w:val="26"/>
          <w:szCs w:val="26"/>
        </w:rPr>
        <w:t>tăng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lên</w:t>
      </w:r>
      <w:proofErr w:type="spellEnd"/>
      <w:r w:rsidRPr="00A24404">
        <w:rPr>
          <w:sz w:val="26"/>
          <w:szCs w:val="26"/>
        </w:rPr>
        <w:t xml:space="preserve"> 11%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năm</w:t>
      </w:r>
      <w:proofErr w:type="spellEnd"/>
      <w:r w:rsidRPr="00A24404">
        <w:rPr>
          <w:sz w:val="26"/>
          <w:szCs w:val="26"/>
        </w:rPr>
        <w:t xml:space="preserve"> 2009.</w:t>
      </w:r>
    </w:p>
    <w:p w14:paraId="46B74B34" w14:textId="77777777" w:rsidR="00535813" w:rsidRDefault="00535813" w:rsidP="00535813">
      <w:pPr>
        <w:spacing w:line="360" w:lineRule="auto"/>
        <w:ind w:left="720" w:firstLine="720"/>
        <w:jc w:val="both"/>
        <w:rPr>
          <w:sz w:val="26"/>
          <w:szCs w:val="26"/>
        </w:rPr>
      </w:pPr>
    </w:p>
    <w:p w14:paraId="00CCD1FA" w14:textId="77777777" w:rsidR="00535813" w:rsidRDefault="00535813" w:rsidP="00535813">
      <w:pPr>
        <w:spacing w:line="360" w:lineRule="auto"/>
        <w:ind w:left="720" w:firstLine="720"/>
        <w:jc w:val="both"/>
        <w:rPr>
          <w:sz w:val="26"/>
          <w:szCs w:val="26"/>
        </w:rPr>
      </w:pPr>
    </w:p>
    <w:p w14:paraId="4CA00D41" w14:textId="77777777" w:rsidR="00535813" w:rsidRPr="00A24404" w:rsidRDefault="00535813" w:rsidP="00535813">
      <w:pPr>
        <w:spacing w:line="360" w:lineRule="auto"/>
        <w:ind w:left="720" w:firstLine="720"/>
        <w:jc w:val="both"/>
        <w:rPr>
          <w:sz w:val="26"/>
          <w:szCs w:val="26"/>
        </w:rPr>
      </w:pPr>
    </w:p>
    <w:p w14:paraId="3329619D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005F5E3" wp14:editId="5FB6F87A">
            <wp:extent cx="5041900" cy="2857500"/>
            <wp:effectExtent l="0" t="0" r="0" b="0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A24404">
        <w:rPr>
          <w:sz w:val="26"/>
          <w:szCs w:val="26"/>
        </w:rPr>
        <w:t xml:space="preserve"> </w:t>
      </w:r>
    </w:p>
    <w:p w14:paraId="559291A9" w14:textId="77777777" w:rsidR="00535813" w:rsidRPr="00A24404" w:rsidRDefault="00535813" w:rsidP="00535813">
      <w:pPr>
        <w:spacing w:line="360" w:lineRule="auto"/>
        <w:ind w:left="360"/>
        <w:jc w:val="center"/>
        <w:rPr>
          <w:i/>
          <w:sz w:val="26"/>
          <w:szCs w:val="26"/>
        </w:rPr>
      </w:pPr>
      <w:proofErr w:type="spellStart"/>
      <w:r w:rsidRPr="00A24404">
        <w:rPr>
          <w:i/>
          <w:sz w:val="26"/>
          <w:szCs w:val="26"/>
        </w:rPr>
        <w:t>Biểu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đồ</w:t>
      </w:r>
      <w:proofErr w:type="spellEnd"/>
      <w:r w:rsidRPr="00A24404">
        <w:rPr>
          <w:i/>
          <w:sz w:val="26"/>
          <w:szCs w:val="26"/>
        </w:rPr>
        <w:t xml:space="preserve"> 3: </w:t>
      </w:r>
      <w:proofErr w:type="spellStart"/>
      <w:r w:rsidRPr="00A24404">
        <w:rPr>
          <w:i/>
          <w:sz w:val="26"/>
          <w:szCs w:val="26"/>
        </w:rPr>
        <w:t>Điều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trị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bướu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bàng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quang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thể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xâm</w:t>
      </w:r>
      <w:proofErr w:type="spellEnd"/>
      <w:r w:rsidRPr="00A24404">
        <w:rPr>
          <w:i/>
          <w:sz w:val="26"/>
          <w:szCs w:val="26"/>
        </w:rPr>
        <w:t xml:space="preserve"> </w:t>
      </w:r>
      <w:proofErr w:type="spellStart"/>
      <w:r w:rsidRPr="00A24404">
        <w:rPr>
          <w:i/>
          <w:sz w:val="26"/>
          <w:szCs w:val="26"/>
        </w:rPr>
        <w:t>lấn</w:t>
      </w:r>
      <w:proofErr w:type="spellEnd"/>
    </w:p>
    <w:p w14:paraId="72EAE120" w14:textId="77777777" w:rsidR="00535813" w:rsidRPr="00A24404" w:rsidRDefault="00535813" w:rsidP="00535813">
      <w:pPr>
        <w:spacing w:line="360" w:lineRule="auto"/>
        <w:ind w:left="360"/>
        <w:jc w:val="both"/>
        <w:rPr>
          <w:sz w:val="26"/>
          <w:szCs w:val="26"/>
        </w:rPr>
      </w:pPr>
    </w:p>
    <w:p w14:paraId="37CB7592" w14:textId="77777777" w:rsidR="00535813" w:rsidRPr="00A24404" w:rsidRDefault="00535813" w:rsidP="00535813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>ĐIỀU TRỊ ĐA MÔ THỨC</w:t>
      </w:r>
    </w:p>
    <w:p w14:paraId="136A4014" w14:textId="77777777" w:rsidR="00535813" w:rsidRPr="00A24404" w:rsidRDefault="00535813" w:rsidP="00535813">
      <w:pPr>
        <w:spacing w:line="360" w:lineRule="auto"/>
        <w:ind w:left="720" w:firstLine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Hóa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trị</w:t>
      </w:r>
      <w:proofErr w:type="spellEnd"/>
      <w:r w:rsidRPr="00A24404">
        <w:rPr>
          <w:sz w:val="26"/>
          <w:szCs w:val="26"/>
        </w:rPr>
        <w:t xml:space="preserve">: </w:t>
      </w:r>
      <w:proofErr w:type="spellStart"/>
      <w:r w:rsidRPr="00A24404">
        <w:rPr>
          <w:sz w:val="26"/>
          <w:szCs w:val="26"/>
        </w:rPr>
        <w:t>Hóa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trị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tiền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phẫu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ít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sử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dụng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một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điểm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yếu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hóa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trị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sau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mổ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dùng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hơn</w:t>
      </w:r>
      <w:proofErr w:type="spellEnd"/>
      <w:r w:rsidRPr="00A24404">
        <w:rPr>
          <w:sz w:val="26"/>
          <w:szCs w:val="26"/>
        </w:rPr>
        <w:t xml:space="preserve">. </w:t>
      </w:r>
      <w:proofErr w:type="spellStart"/>
      <w:r w:rsidRPr="00A24404">
        <w:rPr>
          <w:sz w:val="26"/>
          <w:szCs w:val="26"/>
        </w:rPr>
        <w:t>Xạ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trị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thường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chỉ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có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mục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đích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trị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vớt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với</w:t>
      </w:r>
      <w:proofErr w:type="spellEnd"/>
      <w:r w:rsidRPr="00A24404">
        <w:rPr>
          <w:sz w:val="26"/>
          <w:szCs w:val="26"/>
        </w:rPr>
        <w:t xml:space="preserve"> EBRT, 3DRT.</w:t>
      </w:r>
    </w:p>
    <w:p w14:paraId="6E28F12A" w14:textId="77777777" w:rsidR="00535813" w:rsidRPr="00A24404" w:rsidRDefault="00535813" w:rsidP="00535813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A24404">
        <w:rPr>
          <w:sz w:val="26"/>
          <w:szCs w:val="26"/>
        </w:rPr>
        <w:t>KẾT LUẬN</w:t>
      </w:r>
    </w:p>
    <w:p w14:paraId="33B8D76A" w14:textId="77777777" w:rsidR="00535813" w:rsidRPr="00A24404" w:rsidRDefault="00535813" w:rsidP="00535813">
      <w:pPr>
        <w:spacing w:line="360" w:lineRule="auto"/>
        <w:ind w:left="360" w:firstLine="360"/>
        <w:jc w:val="both"/>
        <w:rPr>
          <w:sz w:val="26"/>
          <w:szCs w:val="26"/>
        </w:rPr>
      </w:pPr>
      <w:proofErr w:type="spellStart"/>
      <w:r w:rsidRPr="00A24404">
        <w:rPr>
          <w:sz w:val="26"/>
          <w:szCs w:val="26"/>
        </w:rPr>
        <w:t>Bướu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bàng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quang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vẫn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còn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vấn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đề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hoàn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cảnh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Việt</w:t>
      </w:r>
      <w:proofErr w:type="spellEnd"/>
      <w:r w:rsidRPr="00A24404">
        <w:rPr>
          <w:sz w:val="26"/>
          <w:szCs w:val="26"/>
        </w:rPr>
        <w:t xml:space="preserve"> Nam. </w:t>
      </w:r>
      <w:proofErr w:type="spellStart"/>
      <w:r w:rsidRPr="00A24404">
        <w:rPr>
          <w:sz w:val="26"/>
          <w:szCs w:val="26"/>
        </w:rPr>
        <w:t>Những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tiến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bộ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chẩn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đoán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phát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hiện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sớm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trị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trong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hai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mươi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năm</w:t>
      </w:r>
      <w:proofErr w:type="spellEnd"/>
      <w:r w:rsidRPr="00A24404">
        <w:rPr>
          <w:sz w:val="26"/>
          <w:szCs w:val="26"/>
        </w:rPr>
        <w:t xml:space="preserve"> qua </w:t>
      </w:r>
      <w:proofErr w:type="spellStart"/>
      <w:r w:rsidRPr="00A24404">
        <w:rPr>
          <w:sz w:val="26"/>
          <w:szCs w:val="26"/>
        </w:rPr>
        <w:t>đã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đem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lại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nhiều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cơ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hội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các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niệu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học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cứu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sống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bệnh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nhân</w:t>
      </w:r>
      <w:proofErr w:type="spellEnd"/>
      <w:r w:rsidRPr="00A24404">
        <w:rPr>
          <w:sz w:val="26"/>
          <w:szCs w:val="26"/>
        </w:rPr>
        <w:t xml:space="preserve">, </w:t>
      </w:r>
      <w:proofErr w:type="spellStart"/>
      <w:r w:rsidRPr="00A24404">
        <w:rPr>
          <w:sz w:val="26"/>
          <w:szCs w:val="26"/>
        </w:rPr>
        <w:t>kéo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dài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thời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gian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sống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và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tăng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chất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lượng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sống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cho</w:t>
      </w:r>
      <w:proofErr w:type="spellEnd"/>
      <w:r w:rsidRPr="00A24404">
        <w:rPr>
          <w:sz w:val="26"/>
          <w:szCs w:val="26"/>
        </w:rPr>
        <w:t xml:space="preserve"> </w:t>
      </w:r>
      <w:proofErr w:type="spellStart"/>
      <w:r w:rsidRPr="00A24404">
        <w:rPr>
          <w:sz w:val="26"/>
          <w:szCs w:val="26"/>
        </w:rPr>
        <w:t>họ</w:t>
      </w:r>
      <w:proofErr w:type="spellEnd"/>
      <w:r w:rsidRPr="00A24404">
        <w:rPr>
          <w:sz w:val="26"/>
          <w:szCs w:val="26"/>
        </w:rPr>
        <w:t>.</w:t>
      </w:r>
    </w:p>
    <w:p w14:paraId="552CBA6C" w14:textId="77777777" w:rsidR="008978CA" w:rsidRDefault="008978CA" w:rsidP="00535813">
      <w:pPr>
        <w:spacing w:line="360" w:lineRule="auto"/>
      </w:pPr>
    </w:p>
    <w:sectPr w:rsidR="008978CA" w:rsidSect="00F87340">
      <w:pgSz w:w="11900" w:h="16840"/>
      <w:pgMar w:top="1440" w:right="137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FC9"/>
    <w:multiLevelType w:val="hybridMultilevel"/>
    <w:tmpl w:val="E6528F86"/>
    <w:lvl w:ilvl="0" w:tplc="9EACA358">
      <w:start w:val="1"/>
      <w:numFmt w:val="upperLetter"/>
      <w:lvlText w:val="%1-"/>
      <w:lvlJc w:val="left"/>
      <w:pPr>
        <w:ind w:left="4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1034D30"/>
    <w:multiLevelType w:val="hybridMultilevel"/>
    <w:tmpl w:val="CC5EE708"/>
    <w:lvl w:ilvl="0" w:tplc="A56CCD7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13"/>
    <w:rsid w:val="00384664"/>
    <w:rsid w:val="00535813"/>
    <w:rsid w:val="008978CA"/>
    <w:rsid w:val="00DE6726"/>
    <w:rsid w:val="00F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6D27"/>
  <w14:defaultImageDpi w14:val="300"/>
  <w15:docId w15:val="{86C73EAD-D239-496E-9845-A1D0B8C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13"/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13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Macro-Enabled_Worksheet.xlsm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Macro-Enabled_Worksheet1.xlsm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Macro-Enabled_Worksheet2.xlsm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hPercent val="52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12700">
          <a:solidFill>
            <a:srgbClr val="000000"/>
          </a:solidFill>
          <a:prstDash val="solid"/>
        </a:ln>
      </c:spPr>
    </c:sideWall>
    <c:backWall>
      <c:thickness val="0"/>
      <c:spPr>
        <a:noFill/>
        <a:ln w="12700">
          <a:solidFill>
            <a:srgbClr val="00000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53293413173653"/>
          <c:y val="5.99520383693046E-2"/>
          <c:w val="0.84550898203592795"/>
          <c:h val="0.7362110311750600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Nam</c:v>
                </c:pt>
              </c:strCache>
            </c:strRef>
          </c:tx>
          <c:spPr>
            <a:solidFill>
              <a:srgbClr val="4F81BD"/>
            </a:solidFill>
            <a:ln w="12691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Sheet1!$B$1:$M$1</c:f>
              <c:numCache>
                <c:formatCode>General</c:formatCode>
                <c:ptCount val="12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Sheet1!$B$2:$M$2</c:f>
              <c:numCache>
                <c:formatCode>General</c:formatCode>
                <c:ptCount val="12"/>
                <c:pt idx="0">
                  <c:v>231</c:v>
                </c:pt>
                <c:pt idx="1">
                  <c:v>242</c:v>
                </c:pt>
                <c:pt idx="2">
                  <c:v>249</c:v>
                </c:pt>
                <c:pt idx="3">
                  <c:v>254</c:v>
                </c:pt>
                <c:pt idx="4">
                  <c:v>278</c:v>
                </c:pt>
                <c:pt idx="5">
                  <c:v>274</c:v>
                </c:pt>
                <c:pt idx="6">
                  <c:v>303</c:v>
                </c:pt>
                <c:pt idx="7">
                  <c:v>282</c:v>
                </c:pt>
                <c:pt idx="8">
                  <c:v>375</c:v>
                </c:pt>
                <c:pt idx="9">
                  <c:v>429</c:v>
                </c:pt>
                <c:pt idx="10">
                  <c:v>465</c:v>
                </c:pt>
                <c:pt idx="11">
                  <c:v>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BE-4BA8-BD1D-DC370E09632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Nữ</c:v>
                </c:pt>
              </c:strCache>
            </c:strRef>
          </c:tx>
          <c:spPr>
            <a:solidFill>
              <a:srgbClr val="C0504D"/>
            </a:solidFill>
            <a:ln w="12691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Sheet1!$B$1:$M$1</c:f>
              <c:numCache>
                <c:formatCode>General</c:formatCode>
                <c:ptCount val="12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Sheet1!$B$3:$M$3</c:f>
              <c:numCache>
                <c:formatCode>General</c:formatCode>
                <c:ptCount val="12"/>
                <c:pt idx="0">
                  <c:v>74</c:v>
                </c:pt>
                <c:pt idx="1">
                  <c:v>69</c:v>
                </c:pt>
                <c:pt idx="2">
                  <c:v>87</c:v>
                </c:pt>
                <c:pt idx="3">
                  <c:v>79</c:v>
                </c:pt>
                <c:pt idx="4">
                  <c:v>95</c:v>
                </c:pt>
                <c:pt idx="5">
                  <c:v>105</c:v>
                </c:pt>
                <c:pt idx="6">
                  <c:v>84</c:v>
                </c:pt>
                <c:pt idx="7">
                  <c:v>73</c:v>
                </c:pt>
                <c:pt idx="8">
                  <c:v>77</c:v>
                </c:pt>
                <c:pt idx="9">
                  <c:v>111</c:v>
                </c:pt>
                <c:pt idx="10">
                  <c:v>108</c:v>
                </c:pt>
                <c:pt idx="11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BE-4BA8-BD1D-DC370E096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104468936"/>
        <c:axId val="2104472168"/>
        <c:axId val="0"/>
      </c:bar3DChart>
      <c:catAx>
        <c:axId val="2104468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199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044721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04472168"/>
        <c:scaling>
          <c:orientation val="minMax"/>
        </c:scaling>
        <c:delete val="0"/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04468936"/>
        <c:crosses val="autoZero"/>
        <c:crossBetween val="between"/>
      </c:valAx>
      <c:spPr>
        <a:noFill/>
        <a:ln w="25382">
          <a:noFill/>
        </a:ln>
      </c:spPr>
    </c:plotArea>
    <c:legend>
      <c:legendPos val="r"/>
      <c:layout>
        <c:manualLayout>
          <c:xMode val="edge"/>
          <c:yMode val="edge"/>
          <c:x val="2.1505376344086E-3"/>
          <c:y val="0"/>
          <c:w val="0.103225806451613"/>
          <c:h val="0.20754716981132099"/>
        </c:manualLayout>
      </c:layout>
      <c:overlay val="0"/>
      <c:spPr>
        <a:noFill/>
        <a:ln w="3173">
          <a:solidFill>
            <a:srgbClr val="000000"/>
          </a:solidFill>
          <a:prstDash val="solid"/>
        </a:ln>
      </c:spPr>
      <c:txPr>
        <a:bodyPr/>
        <a:lstStyle/>
        <a:p>
          <a:pPr>
            <a:defRPr sz="1099" b="1" i="0" u="none" strike="noStrike" baseline="0">
              <a:solidFill>
                <a:schemeClr val="tx1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799" b="1" i="0" u="none" strike="noStrike" baseline="0">
          <a:solidFill>
            <a:schemeClr val="tx1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hPercent val="52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12700">
          <a:solidFill>
            <a:srgbClr val="000000"/>
          </a:solidFill>
          <a:prstDash val="solid"/>
        </a:ln>
      </c:spPr>
    </c:sideWall>
    <c:backWall>
      <c:thickness val="0"/>
      <c:spPr>
        <a:noFill/>
        <a:ln w="12700">
          <a:solidFill>
            <a:srgbClr val="000000"/>
          </a:solidFill>
          <a:prstDash val="solid"/>
        </a:ln>
      </c:spPr>
    </c:backWall>
    <c:plotArea>
      <c:layout>
        <c:manualLayout>
          <c:xMode val="edge"/>
          <c:yMode val="edge"/>
          <c:x val="7.2004051407450406E-2"/>
          <c:y val="0.212560488061418"/>
          <c:w val="0.92679834320694099"/>
          <c:h val="0.7602330507161879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Thể nông</c:v>
                </c:pt>
              </c:strCache>
            </c:strRef>
          </c:tx>
          <c:spPr>
            <a:solidFill>
              <a:srgbClr val="4F81BD"/>
            </a:solidFill>
            <a:ln w="12687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Sheet1!$B$1:$M$1</c:f>
              <c:numCache>
                <c:formatCode>General</c:formatCode>
                <c:ptCount val="12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Sheet1!$B$2:$M$2</c:f>
              <c:numCache>
                <c:formatCode>General</c:formatCode>
                <c:ptCount val="12"/>
                <c:pt idx="0">
                  <c:v>119</c:v>
                </c:pt>
                <c:pt idx="1">
                  <c:v>159</c:v>
                </c:pt>
                <c:pt idx="2">
                  <c:v>192</c:v>
                </c:pt>
                <c:pt idx="3">
                  <c:v>170</c:v>
                </c:pt>
                <c:pt idx="4">
                  <c:v>183</c:v>
                </c:pt>
                <c:pt idx="5">
                  <c:v>191</c:v>
                </c:pt>
                <c:pt idx="6">
                  <c:v>188</c:v>
                </c:pt>
                <c:pt idx="7">
                  <c:v>186</c:v>
                </c:pt>
                <c:pt idx="8">
                  <c:v>204</c:v>
                </c:pt>
                <c:pt idx="9">
                  <c:v>249</c:v>
                </c:pt>
                <c:pt idx="10">
                  <c:v>261</c:v>
                </c:pt>
                <c:pt idx="11">
                  <c:v>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EC-4DA5-8739-300B7488F67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Xâm lấn</c:v>
                </c:pt>
              </c:strCache>
            </c:strRef>
          </c:tx>
          <c:spPr>
            <a:solidFill>
              <a:srgbClr val="C0504D"/>
            </a:solidFill>
            <a:ln w="12687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Sheet1!$B$1:$M$1</c:f>
              <c:numCache>
                <c:formatCode>General</c:formatCode>
                <c:ptCount val="12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Sheet1!$B$3:$M$3</c:f>
              <c:numCache>
                <c:formatCode>General</c:formatCode>
                <c:ptCount val="12"/>
                <c:pt idx="0">
                  <c:v>83</c:v>
                </c:pt>
                <c:pt idx="1">
                  <c:v>81</c:v>
                </c:pt>
                <c:pt idx="2">
                  <c:v>76</c:v>
                </c:pt>
                <c:pt idx="3">
                  <c:v>94</c:v>
                </c:pt>
                <c:pt idx="4">
                  <c:v>103</c:v>
                </c:pt>
                <c:pt idx="5">
                  <c:v>84</c:v>
                </c:pt>
                <c:pt idx="6">
                  <c:v>95</c:v>
                </c:pt>
                <c:pt idx="7">
                  <c:v>93</c:v>
                </c:pt>
                <c:pt idx="8">
                  <c:v>90</c:v>
                </c:pt>
                <c:pt idx="9">
                  <c:v>130</c:v>
                </c:pt>
                <c:pt idx="10">
                  <c:v>111</c:v>
                </c:pt>
                <c:pt idx="11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EC-4DA5-8739-300B7488F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102810504"/>
        <c:axId val="2102813816"/>
        <c:axId val="0"/>
      </c:bar3DChart>
      <c:catAx>
        <c:axId val="2102810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2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199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028138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02813816"/>
        <c:scaling>
          <c:orientation val="minMax"/>
        </c:scaling>
        <c:delete val="0"/>
        <c:axPos val="l"/>
        <c:majorGridlines>
          <c:spPr>
            <a:ln w="3172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02810504"/>
        <c:crosses val="autoZero"/>
        <c:crossBetween val="between"/>
      </c:valAx>
      <c:spPr>
        <a:noFill/>
        <a:ln w="25374">
          <a:noFill/>
        </a:ln>
      </c:spPr>
    </c:plotArea>
    <c:legend>
      <c:legendPos val="r"/>
      <c:layout>
        <c:manualLayout>
          <c:xMode val="edge"/>
          <c:yMode val="edge"/>
          <c:x val="4.7393364928909904E-3"/>
          <c:y val="0"/>
          <c:w val="0.17772511848341199"/>
          <c:h val="0.17073170731707299"/>
        </c:manualLayout>
      </c:layout>
      <c:overlay val="0"/>
      <c:spPr>
        <a:noFill/>
        <a:ln w="3172">
          <a:solidFill>
            <a:srgbClr val="000000"/>
          </a:solidFill>
          <a:prstDash val="solid"/>
        </a:ln>
      </c:spPr>
      <c:txPr>
        <a:bodyPr/>
        <a:lstStyle/>
        <a:p>
          <a:pPr>
            <a:defRPr sz="1199" b="1" i="0" u="none" strike="noStrike" baseline="0">
              <a:solidFill>
                <a:schemeClr val="tx1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798" b="1" i="0" u="none" strike="noStrike" baseline="0">
          <a:solidFill>
            <a:schemeClr val="tx1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hPercent val="52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12700">
          <a:solidFill>
            <a:srgbClr val="000000"/>
          </a:solidFill>
          <a:prstDash val="solid"/>
        </a:ln>
      </c:spPr>
    </c:sideWall>
    <c:backWall>
      <c:thickness val="0"/>
      <c:spPr>
        <a:noFill/>
        <a:ln w="12700">
          <a:solidFill>
            <a:srgbClr val="000000"/>
          </a:solidFill>
          <a:prstDash val="solid"/>
        </a:ln>
      </c:spPr>
    </c:backWall>
    <c:plotArea>
      <c:layout>
        <c:manualLayout>
          <c:xMode val="edge"/>
          <c:yMode val="edge"/>
          <c:x val="7.2004051407450406E-2"/>
          <c:y val="0.212560488061418"/>
          <c:w val="0.92679834320694099"/>
          <c:h val="0.7602330507161879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Cắt bàng quang</c:v>
                </c:pt>
              </c:strCache>
            </c:strRef>
          </c:tx>
          <c:spPr>
            <a:solidFill>
              <a:srgbClr val="4F81BD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Sheet1!$B$1:$M$1</c:f>
              <c:numCache>
                <c:formatCode>General</c:formatCode>
                <c:ptCount val="12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Sheet1!$B$2:$M$2</c:f>
              <c:numCache>
                <c:formatCode>General</c:formatCode>
                <c:ptCount val="12"/>
                <c:pt idx="0">
                  <c:v>83</c:v>
                </c:pt>
                <c:pt idx="1">
                  <c:v>81</c:v>
                </c:pt>
                <c:pt idx="2">
                  <c:v>76</c:v>
                </c:pt>
                <c:pt idx="3">
                  <c:v>94</c:v>
                </c:pt>
                <c:pt idx="4">
                  <c:v>103</c:v>
                </c:pt>
                <c:pt idx="5">
                  <c:v>84</c:v>
                </c:pt>
                <c:pt idx="6">
                  <c:v>95</c:v>
                </c:pt>
                <c:pt idx="7">
                  <c:v>93</c:v>
                </c:pt>
                <c:pt idx="8">
                  <c:v>90</c:v>
                </c:pt>
                <c:pt idx="9">
                  <c:v>130</c:v>
                </c:pt>
                <c:pt idx="10">
                  <c:v>111</c:v>
                </c:pt>
                <c:pt idx="11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B1-4A00-8216-839B1967637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Tạo hình ruột</c:v>
                </c:pt>
              </c:strCache>
            </c:strRef>
          </c:tx>
          <c:spPr>
            <a:solidFill>
              <a:srgbClr val="C0504D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Sheet1!$B$1:$M$1</c:f>
              <c:numCache>
                <c:formatCode>General</c:formatCode>
                <c:ptCount val="12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Sheet1!$B$3:$M$3</c:f>
              <c:numCache>
                <c:formatCode>General</c:formatCode>
                <c:ptCount val="12"/>
                <c:pt idx="0">
                  <c:v>24</c:v>
                </c:pt>
                <c:pt idx="1">
                  <c:v>16</c:v>
                </c:pt>
                <c:pt idx="2">
                  <c:v>14</c:v>
                </c:pt>
                <c:pt idx="3">
                  <c:v>18</c:v>
                </c:pt>
                <c:pt idx="4">
                  <c:v>20</c:v>
                </c:pt>
                <c:pt idx="5">
                  <c:v>14</c:v>
                </c:pt>
                <c:pt idx="6">
                  <c:v>18</c:v>
                </c:pt>
                <c:pt idx="7">
                  <c:v>19</c:v>
                </c:pt>
                <c:pt idx="8">
                  <c:v>25</c:v>
                </c:pt>
                <c:pt idx="9">
                  <c:v>30</c:v>
                </c:pt>
                <c:pt idx="10">
                  <c:v>23</c:v>
                </c:pt>
                <c:pt idx="1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B1-4A00-8216-839B19676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104257912"/>
        <c:axId val="2104261144"/>
        <c:axId val="0"/>
      </c:bar3DChart>
      <c:catAx>
        <c:axId val="2104257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200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0426114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0426114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0425791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egendEntry>
        <c:idx val="0"/>
        <c:txPr>
          <a:bodyPr/>
          <a:lstStyle/>
          <a:p>
            <a:pPr>
              <a:defRPr sz="1200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sz="1200" b="1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</c:legendEntry>
      <c:layout>
        <c:manualLayout>
          <c:xMode val="edge"/>
          <c:yMode val="edge"/>
          <c:x val="0"/>
          <c:y val="0"/>
          <c:w val="0.34405940594059398"/>
          <c:h val="0.1728971962616820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655" b="1" i="0" u="none" strike="noStrike" baseline="0">
              <a:solidFill>
                <a:schemeClr val="tx1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800" b="1" i="0" u="none" strike="noStrike" baseline="0">
          <a:solidFill>
            <a:schemeClr val="tx1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DO</dc:creator>
  <cp:keywords/>
  <dc:description/>
  <cp:lastModifiedBy>Phan Vu Hong Hai</cp:lastModifiedBy>
  <cp:revision>2</cp:revision>
  <dcterms:created xsi:type="dcterms:W3CDTF">2015-04-21T03:59:00Z</dcterms:created>
  <dcterms:modified xsi:type="dcterms:W3CDTF">2019-08-31T13:56:00Z</dcterms:modified>
</cp:coreProperties>
</file>