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5C" w:rsidRPr="00C22B5C" w:rsidRDefault="00C22B5C">
      <w:pPr>
        <w:rPr>
          <w:color w:val="C00000"/>
        </w:rPr>
      </w:pPr>
      <w:bookmarkStart w:id="0" w:name="_GoBack"/>
      <w:bookmarkEnd w:id="0"/>
      <w:r w:rsidRPr="00C22B5C">
        <w:rPr>
          <w:color w:val="C00000"/>
        </w:rPr>
        <w:t>BN 40w nhập viện vì đau bụng mà khám chưa chuyển dạ. Sản A khởi phát Foley, sau 3h, gò 2l/p, CTC 2cm, xóa 70%</w:t>
      </w:r>
      <w:r w:rsidR="00875435">
        <w:rPr>
          <w:color w:val="C00000"/>
        </w:rPr>
        <w:t>. Đẩy xuống phòng sanh, khám lại CTC 3 cm, xóa 60, gò 1l/p. Sau 7h, CTC ko mở thêm</w:t>
      </w:r>
    </w:p>
    <w:p w:rsidR="00875435" w:rsidRDefault="00875435" w:rsidP="00875435">
      <w:pPr>
        <w:pStyle w:val="Heading2"/>
        <w:ind w:left="0" w:firstLine="0"/>
      </w:pPr>
      <w:r>
        <w:t>Bệnh án</w:t>
      </w:r>
    </w:p>
    <w:p w:rsidR="00F67A97" w:rsidRDefault="00967DAB" w:rsidP="00875435">
      <w:pPr>
        <w:pStyle w:val="ListParagraph"/>
        <w:numPr>
          <w:ilvl w:val="0"/>
          <w:numId w:val="10"/>
        </w:numPr>
      </w:pPr>
      <w:r>
        <w:t>3 tháng là 13w</w:t>
      </w:r>
    </w:p>
    <w:p w:rsidR="00967DAB" w:rsidRDefault="00967DAB" w:rsidP="00875435">
      <w:pPr>
        <w:pStyle w:val="ListParagraph"/>
        <w:numPr>
          <w:ilvl w:val="0"/>
          <w:numId w:val="10"/>
        </w:numPr>
      </w:pPr>
      <w:r>
        <w:t>Tất cả CLS phải ghi ngày, nơi thực hiện</w:t>
      </w:r>
    </w:p>
    <w:p w:rsidR="00967DAB" w:rsidRPr="001A2D4F" w:rsidRDefault="00967DAB" w:rsidP="00875435">
      <w:pPr>
        <w:pStyle w:val="ListParagraph"/>
        <w:numPr>
          <w:ilvl w:val="0"/>
          <w:numId w:val="10"/>
        </w:numPr>
        <w:rPr>
          <w:highlight w:val="yellow"/>
        </w:rPr>
      </w:pPr>
      <w:r w:rsidRPr="001A2D4F">
        <w:rPr>
          <w:highlight w:val="yellow"/>
        </w:rPr>
        <w:t>Bệnh sử thai quá ngày, phải thêm đoạn: lần khám gần đây nhất có đo NST ko, siêu âm ối ko, dặn bao lâu tái khám (3 ngày)</w:t>
      </w:r>
    </w:p>
    <w:p w:rsidR="00967DAB" w:rsidRDefault="00967DAB" w:rsidP="00875435">
      <w:pPr>
        <w:pStyle w:val="ListParagraph"/>
        <w:numPr>
          <w:ilvl w:val="0"/>
          <w:numId w:val="10"/>
        </w:numPr>
      </w:pPr>
      <w:r>
        <w:t>Tình trạng lúc NV: ghi những thông tin nào đặc biệt hoặc khác phần khám của mình thôi: cơn gò, CTC</w:t>
      </w:r>
    </w:p>
    <w:p w:rsidR="00875435" w:rsidRDefault="00875435" w:rsidP="00875435">
      <w:pPr>
        <w:pStyle w:val="ListParagraph"/>
        <w:numPr>
          <w:ilvl w:val="0"/>
          <w:numId w:val="10"/>
        </w:numPr>
      </w:pPr>
      <w:r>
        <w:t>Chẩn đoán vài chuyển dạ chưa: độ xóa quan trọng hơn mở, tại BN đang đặt Foley đương nhiên CTC phải mở hơn bt rồi</w:t>
      </w:r>
    </w:p>
    <w:p w:rsidR="00875435" w:rsidRDefault="00875435" w:rsidP="00875435">
      <w:pPr>
        <w:pStyle w:val="ListParagraph"/>
        <w:numPr>
          <w:ilvl w:val="0"/>
          <w:numId w:val="10"/>
        </w:numPr>
      </w:pPr>
      <w:r>
        <w:t>Xử trí ca này là tăng co, phá ối</w:t>
      </w:r>
    </w:p>
    <w:p w:rsidR="00875435" w:rsidRDefault="00875435" w:rsidP="00875435">
      <w:pPr>
        <w:pStyle w:val="ListParagraph"/>
        <w:numPr>
          <w:ilvl w:val="0"/>
          <w:numId w:val="10"/>
        </w:numPr>
      </w:pPr>
      <w:r>
        <w:t>Diễn tiến sanh của ca này: + là thuận lợi, - là ko</w:t>
      </w:r>
    </w:p>
    <w:p w:rsidR="00875435" w:rsidRDefault="00875435" w:rsidP="00875435">
      <w:pPr>
        <w:pStyle w:val="ListParagraph"/>
        <w:numPr>
          <w:ilvl w:val="1"/>
          <w:numId w:val="10"/>
        </w:numPr>
      </w:pPr>
      <w:r>
        <w:t>Thai 40w chưa CD: -</w:t>
      </w:r>
    </w:p>
    <w:p w:rsidR="00875435" w:rsidRDefault="00875435" w:rsidP="00875435">
      <w:pPr>
        <w:pStyle w:val="ListParagraph"/>
        <w:numPr>
          <w:ilvl w:val="1"/>
          <w:numId w:val="10"/>
        </w:numPr>
      </w:pPr>
      <w:r>
        <w:t>Foley 3h mà vào CD rồi: + (bình thường Foley khởi phát CD mất gần 24h)</w:t>
      </w:r>
    </w:p>
    <w:p w:rsidR="00875435" w:rsidRDefault="00875435" w:rsidP="00875435">
      <w:pPr>
        <w:pStyle w:val="ListParagraph"/>
        <w:numPr>
          <w:ilvl w:val="1"/>
          <w:numId w:val="10"/>
        </w:numPr>
      </w:pPr>
      <w:r>
        <w:t>CD 7h mà CTC ko đổi: -</w:t>
      </w:r>
    </w:p>
    <w:p w:rsidR="00875435" w:rsidRDefault="00875435" w:rsidP="00875435">
      <w:pPr>
        <w:pStyle w:val="ListParagraph"/>
        <w:numPr>
          <w:ilvl w:val="0"/>
          <w:numId w:val="10"/>
        </w:numPr>
      </w:pPr>
      <w:r>
        <w:t>Thai 40w chưa CD theo đúng protocol là lóc ối, 3 ngày sau tái khám. Nhưng ở Từ Dũ là khởi phát CD hết</w:t>
      </w:r>
    </w:p>
    <w:p w:rsidR="00C22B5C" w:rsidRDefault="00C22B5C" w:rsidP="00875435">
      <w:pPr>
        <w:pStyle w:val="Heading2"/>
        <w:ind w:left="0" w:firstLine="0"/>
      </w:pPr>
      <w:r>
        <w:t>Đọc SA TCN 3</w:t>
      </w:r>
    </w:p>
    <w:p w:rsidR="00C22B5C" w:rsidRDefault="00C22B5C" w:rsidP="00875435">
      <w:pPr>
        <w:pStyle w:val="ListParagraph"/>
        <w:numPr>
          <w:ilvl w:val="0"/>
          <w:numId w:val="11"/>
        </w:numPr>
      </w:pPr>
      <w:r>
        <w:t>Cầm tờ SA TCN 3 đọc thì phải tính tuổi thai đựa vào ngày SA, đừng tin tuổi thai trên tờ SA</w:t>
      </w:r>
    </w:p>
    <w:p w:rsidR="00C22B5C" w:rsidRDefault="00C22B5C" w:rsidP="001A2D4F">
      <w:pPr>
        <w:pStyle w:val="ListParagraph"/>
        <w:numPr>
          <w:ilvl w:val="0"/>
          <w:numId w:val="12"/>
        </w:numPr>
      </w:pPr>
      <w:r>
        <w:t>Thai ốm hay mập thì thay đổi vòng bụng là sớm nhất</w:t>
      </w:r>
      <w:r w:rsidR="001A2D4F">
        <w:t xml:space="preserve"> </w:t>
      </w:r>
      <w:r w:rsidR="001A2D4F">
        <w:sym w:font="Wingdings" w:char="F0E0"/>
      </w:r>
      <w:r w:rsidR="001A2D4F">
        <w:t xml:space="preserve"> DKNB là quan trọng nhất</w:t>
      </w:r>
    </w:p>
    <w:p w:rsidR="00C22B5C" w:rsidRDefault="00C22B5C" w:rsidP="00875435">
      <w:pPr>
        <w:pStyle w:val="ListParagraph"/>
        <w:numPr>
          <w:ilvl w:val="0"/>
          <w:numId w:val="11"/>
        </w:numPr>
      </w:pPr>
      <w:r>
        <w:t>Ghi nhận xét cho từng chỉ số tăng trưởng</w:t>
      </w:r>
    </w:p>
    <w:p w:rsidR="00875435" w:rsidRDefault="00875435" w:rsidP="00875435">
      <w:pPr>
        <w:pStyle w:val="ListParagraph"/>
        <w:numPr>
          <w:ilvl w:val="0"/>
          <w:numId w:val="11"/>
        </w:numPr>
      </w:pPr>
      <w:r>
        <w:t>Ước lượng cân thai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720"/>
        <w:gridCol w:w="630"/>
        <w:gridCol w:w="810"/>
      </w:tblGrid>
      <w:tr w:rsidR="00875435" w:rsidTr="00875435">
        <w:trPr>
          <w:jc w:val="center"/>
        </w:trPr>
        <w:tc>
          <w:tcPr>
            <w:tcW w:w="738" w:type="dxa"/>
          </w:tcPr>
          <w:p w:rsidR="00875435" w:rsidRDefault="00875435" w:rsidP="00C22B5C">
            <w:r>
              <w:t>BPD</w:t>
            </w:r>
          </w:p>
        </w:tc>
        <w:tc>
          <w:tcPr>
            <w:tcW w:w="720" w:type="dxa"/>
          </w:tcPr>
          <w:p w:rsidR="00875435" w:rsidRDefault="00875435" w:rsidP="00C22B5C">
            <w:r>
              <w:t>Cân</w:t>
            </w:r>
          </w:p>
        </w:tc>
        <w:tc>
          <w:tcPr>
            <w:tcW w:w="630" w:type="dxa"/>
          </w:tcPr>
          <w:p w:rsidR="00875435" w:rsidRDefault="00875435" w:rsidP="00C22B5C">
            <w:r>
              <w:t>FL</w:t>
            </w:r>
          </w:p>
        </w:tc>
        <w:tc>
          <w:tcPr>
            <w:tcW w:w="810" w:type="dxa"/>
          </w:tcPr>
          <w:p w:rsidR="00875435" w:rsidRDefault="00875435" w:rsidP="00C22B5C">
            <w:r>
              <w:t>DKNB</w:t>
            </w:r>
          </w:p>
        </w:tc>
      </w:tr>
      <w:tr w:rsidR="00875435" w:rsidTr="00875435">
        <w:trPr>
          <w:jc w:val="center"/>
        </w:trPr>
        <w:tc>
          <w:tcPr>
            <w:tcW w:w="738" w:type="dxa"/>
          </w:tcPr>
          <w:p w:rsidR="00875435" w:rsidRDefault="00875435" w:rsidP="00C22B5C">
            <w:r>
              <w:t>90</w:t>
            </w:r>
          </w:p>
        </w:tc>
        <w:tc>
          <w:tcPr>
            <w:tcW w:w="720" w:type="dxa"/>
          </w:tcPr>
          <w:p w:rsidR="00875435" w:rsidRDefault="00875435" w:rsidP="00C22B5C">
            <w:r>
              <w:t>3</w:t>
            </w:r>
          </w:p>
        </w:tc>
        <w:tc>
          <w:tcPr>
            <w:tcW w:w="630" w:type="dxa"/>
          </w:tcPr>
          <w:p w:rsidR="00875435" w:rsidRDefault="00875435" w:rsidP="00C22B5C">
            <w:r>
              <w:t>70</w:t>
            </w:r>
          </w:p>
        </w:tc>
        <w:tc>
          <w:tcPr>
            <w:tcW w:w="810" w:type="dxa"/>
          </w:tcPr>
          <w:p w:rsidR="00875435" w:rsidRDefault="00875435" w:rsidP="00C22B5C">
            <w:r>
              <w:t>100</w:t>
            </w:r>
          </w:p>
        </w:tc>
      </w:tr>
      <w:tr w:rsidR="00875435" w:rsidTr="00875435">
        <w:trPr>
          <w:jc w:val="center"/>
        </w:trPr>
        <w:tc>
          <w:tcPr>
            <w:tcW w:w="738" w:type="dxa"/>
          </w:tcPr>
          <w:p w:rsidR="00875435" w:rsidRDefault="00875435" w:rsidP="00C22B5C">
            <w:r>
              <w:t>91</w:t>
            </w:r>
          </w:p>
        </w:tc>
        <w:tc>
          <w:tcPr>
            <w:tcW w:w="720" w:type="dxa"/>
          </w:tcPr>
          <w:p w:rsidR="00875435" w:rsidRDefault="00875435" w:rsidP="00C22B5C">
            <w:r>
              <w:t>3.1</w:t>
            </w:r>
          </w:p>
        </w:tc>
        <w:tc>
          <w:tcPr>
            <w:tcW w:w="630" w:type="dxa"/>
          </w:tcPr>
          <w:p w:rsidR="00875435" w:rsidRDefault="00875435" w:rsidP="00C22B5C">
            <w:r>
              <w:t>71</w:t>
            </w:r>
          </w:p>
        </w:tc>
        <w:tc>
          <w:tcPr>
            <w:tcW w:w="810" w:type="dxa"/>
          </w:tcPr>
          <w:p w:rsidR="00875435" w:rsidRDefault="00875435" w:rsidP="00C22B5C">
            <w:r>
              <w:t>101</w:t>
            </w:r>
          </w:p>
        </w:tc>
      </w:tr>
    </w:tbl>
    <w:p w:rsidR="00875435" w:rsidRDefault="00875435" w:rsidP="00875435">
      <w:pPr>
        <w:pStyle w:val="Heading2"/>
        <w:ind w:left="0" w:firstLine="0"/>
      </w:pPr>
      <w:r>
        <w:t>Cách khám bất xứng đầu chậu</w:t>
      </w:r>
    </w:p>
    <w:p w:rsidR="00875435" w:rsidRDefault="00875435" w:rsidP="00875435">
      <w:pPr>
        <w:pStyle w:val="ListParagraph"/>
        <w:numPr>
          <w:ilvl w:val="0"/>
          <w:numId w:val="13"/>
        </w:numPr>
      </w:pPr>
      <w:r>
        <w:t>Xuống bất đối xứng: đường liên thóp chia 2 nửa đầu ko bằng nhau</w:t>
      </w:r>
    </w:p>
    <w:p w:rsidR="00875435" w:rsidRDefault="00875435" w:rsidP="00875435">
      <w:pPr>
        <w:pStyle w:val="ListParagraph"/>
        <w:numPr>
          <w:ilvl w:val="0"/>
          <w:numId w:val="13"/>
        </w:numPr>
      </w:pPr>
      <w:r>
        <w:t>Bướu huyết thanh uốn khuôn dài theo đường sinh dục mẹ. Trong những ca tăng co, ối vỡ sớm, bướu tròn ko uốn khuôn do vai trò nong CTC sớm</w:t>
      </w:r>
    </w:p>
    <w:p w:rsidR="00875435" w:rsidRDefault="00875435" w:rsidP="00A92C07">
      <w:pPr>
        <w:pStyle w:val="Heading2"/>
        <w:ind w:left="0" w:firstLine="0"/>
      </w:pPr>
      <w:r>
        <w:t xml:space="preserve">Quá trình biện luận </w:t>
      </w:r>
      <w:r w:rsidR="00A92C07">
        <w:t>chấm dứt thai kỳ</w:t>
      </w:r>
    </w:p>
    <w:p w:rsidR="00A92C07" w:rsidRDefault="00A92C07" w:rsidP="00A92C07">
      <w:pPr>
        <w:pStyle w:val="ListParagraph"/>
        <w:numPr>
          <w:ilvl w:val="0"/>
          <w:numId w:val="14"/>
        </w:numPr>
      </w:pPr>
      <w:r>
        <w:t>Kiểm tra lại chỉ đinh chấm dứt TK</w:t>
      </w:r>
    </w:p>
    <w:p w:rsidR="00A92C07" w:rsidRDefault="00A92C07" w:rsidP="00A92C07">
      <w:pPr>
        <w:pStyle w:val="ListParagraph"/>
        <w:numPr>
          <w:ilvl w:val="1"/>
          <w:numId w:val="14"/>
        </w:numPr>
      </w:pPr>
      <w:r>
        <w:t>Thai quá ngày: tuổi thai đúng chưa</w:t>
      </w:r>
    </w:p>
    <w:p w:rsidR="00A92C07" w:rsidRDefault="00A92C07" w:rsidP="00A92C07">
      <w:pPr>
        <w:pStyle w:val="ListParagraph"/>
        <w:numPr>
          <w:ilvl w:val="1"/>
          <w:numId w:val="14"/>
        </w:numPr>
      </w:pPr>
      <w:r>
        <w:t>Thiểu ối: AFI bao nhiều siêu âm ở đâu, mấy lần rồi</w:t>
      </w:r>
    </w:p>
    <w:p w:rsidR="00A92C07" w:rsidRDefault="00A92C07" w:rsidP="00A92C07">
      <w:pPr>
        <w:pStyle w:val="ListParagraph"/>
        <w:numPr>
          <w:ilvl w:val="1"/>
          <w:numId w:val="14"/>
        </w:numPr>
      </w:pPr>
      <w:r>
        <w:t>TSG nặng: coi CLS đúng là nặng ko</w:t>
      </w:r>
    </w:p>
    <w:p w:rsidR="00A92C07" w:rsidRDefault="00A92C07" w:rsidP="00A92C07">
      <w:pPr>
        <w:pStyle w:val="ListParagraph"/>
        <w:numPr>
          <w:ilvl w:val="0"/>
          <w:numId w:val="14"/>
        </w:numPr>
      </w:pPr>
      <w:r>
        <w:t>Khởi phát CD hay mổ lấy thai: 3P biến đổi, đưa con lên trước</w:t>
      </w:r>
    </w:p>
    <w:p w:rsidR="00A92C07" w:rsidRDefault="00A92C07" w:rsidP="00A92C07">
      <w:pPr>
        <w:pStyle w:val="ListParagraph"/>
        <w:numPr>
          <w:ilvl w:val="1"/>
          <w:numId w:val="14"/>
        </w:numPr>
      </w:pPr>
      <w:r>
        <w:t>Sức khỏe thai: NST, AFI. Nếu bất thường hay có YTNC khác như THA, ĐTĐ, IUGR thì CST, SA doppler</w:t>
      </w:r>
    </w:p>
    <w:p w:rsidR="00A92C07" w:rsidRDefault="00A92C07" w:rsidP="00A92C07">
      <w:pPr>
        <w:pStyle w:val="ListParagraph"/>
        <w:numPr>
          <w:ilvl w:val="1"/>
          <w:numId w:val="14"/>
        </w:numPr>
      </w:pPr>
      <w:r>
        <w:t>Cân thai: &lt;4kg</w:t>
      </w:r>
    </w:p>
    <w:p w:rsidR="00A92C07" w:rsidRDefault="00A92C07" w:rsidP="00A92C07">
      <w:pPr>
        <w:pStyle w:val="ListParagraph"/>
        <w:numPr>
          <w:ilvl w:val="1"/>
          <w:numId w:val="14"/>
        </w:numPr>
      </w:pPr>
      <w:r>
        <w:t>Sức khỏe mẹ</w:t>
      </w:r>
    </w:p>
    <w:p w:rsidR="00A92C07" w:rsidRDefault="00A92C07" w:rsidP="00A92C07">
      <w:pPr>
        <w:pStyle w:val="ListParagraph"/>
        <w:numPr>
          <w:ilvl w:val="1"/>
          <w:numId w:val="14"/>
        </w:numPr>
      </w:pPr>
      <w:r>
        <w:lastRenderedPageBreak/>
        <w:t>Khung chậu: chụp XQ còn bàn cãi</w:t>
      </w:r>
    </w:p>
    <w:p w:rsidR="00A92C07" w:rsidRDefault="00A92C07" w:rsidP="00A92C07">
      <w:pPr>
        <w:pStyle w:val="ListParagraph"/>
        <w:numPr>
          <w:ilvl w:val="0"/>
          <w:numId w:val="14"/>
        </w:numPr>
      </w:pPr>
      <w:r>
        <w:t>Lựa chọn phương pháp khởi phát chuyển da</w:t>
      </w:r>
    </w:p>
    <w:p w:rsidR="00A92C07" w:rsidRDefault="00A92C07" w:rsidP="00A92C07">
      <w:pPr>
        <w:pStyle w:val="ListParagraph"/>
      </w:pPr>
      <w:r>
        <w:t xml:space="preserve">Bishop 0-3: prostag, </w:t>
      </w:r>
      <w:r w:rsidRPr="001A2D4F">
        <w:rPr>
          <w:highlight w:val="yellow"/>
        </w:rPr>
        <w:t>4-6: Foley, &gt;7: tăng co</w:t>
      </w:r>
      <w:r>
        <w:t xml:space="preserve"> </w:t>
      </w:r>
      <w:r>
        <w:sym w:font="Wingdings" w:char="F0E0"/>
      </w:r>
      <w:r>
        <w:t xml:space="preserve"> thi đừng đánh giá Bishop thấp quá, ko có prostag đâu mà xài</w:t>
      </w:r>
    </w:p>
    <w:p w:rsidR="00A92C07" w:rsidRDefault="00A92C07" w:rsidP="00A92C07">
      <w:pPr>
        <w:pStyle w:val="ListParagraph"/>
        <w:numPr>
          <w:ilvl w:val="0"/>
          <w:numId w:val="14"/>
        </w:numPr>
      </w:pPr>
      <w:r>
        <w:t>Tiến hành: tự học</w:t>
      </w:r>
    </w:p>
    <w:p w:rsidR="00A92C07" w:rsidRDefault="00A92C07" w:rsidP="00C22B5C"/>
    <w:p w:rsidR="00C22B5C" w:rsidRDefault="00C22B5C"/>
    <w:p w:rsidR="00967DAB" w:rsidRDefault="00967DAB"/>
    <w:sectPr w:rsidR="00967D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CF1" w:rsidRDefault="00235CF1" w:rsidP="006B2F6B">
      <w:r>
        <w:separator/>
      </w:r>
    </w:p>
  </w:endnote>
  <w:endnote w:type="continuationSeparator" w:id="0">
    <w:p w:rsidR="00235CF1" w:rsidRDefault="00235CF1" w:rsidP="006B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F6B" w:rsidRDefault="006B2F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F6B" w:rsidRDefault="006B2F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F6B" w:rsidRDefault="006B2F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CF1" w:rsidRDefault="00235CF1" w:rsidP="006B2F6B">
      <w:r>
        <w:separator/>
      </w:r>
    </w:p>
  </w:footnote>
  <w:footnote w:type="continuationSeparator" w:id="0">
    <w:p w:rsidR="00235CF1" w:rsidRDefault="00235CF1" w:rsidP="006B2F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F6B" w:rsidRDefault="006B2F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90844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F6B" w:rsidRDefault="006B2F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90845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F6B" w:rsidRDefault="006B2F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90843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4D03"/>
    <w:multiLevelType w:val="hybridMultilevel"/>
    <w:tmpl w:val="2E700B0E"/>
    <w:lvl w:ilvl="0" w:tplc="F6D609BE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C3417"/>
    <w:multiLevelType w:val="hybridMultilevel"/>
    <w:tmpl w:val="16A2B5A8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314D1"/>
    <w:multiLevelType w:val="hybridMultilevel"/>
    <w:tmpl w:val="8924D48E"/>
    <w:lvl w:ilvl="0" w:tplc="5CF80FBE">
      <w:start w:val="1"/>
      <w:numFmt w:val="upperRoman"/>
      <w:pStyle w:val="Heading1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8F01B6"/>
    <w:multiLevelType w:val="hybridMultilevel"/>
    <w:tmpl w:val="9CBC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435F6"/>
    <w:multiLevelType w:val="hybridMultilevel"/>
    <w:tmpl w:val="260CE6FC"/>
    <w:lvl w:ilvl="0" w:tplc="723CCC9C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51C75"/>
    <w:multiLevelType w:val="hybridMultilevel"/>
    <w:tmpl w:val="DECE0DBC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457A7"/>
    <w:multiLevelType w:val="hybridMultilevel"/>
    <w:tmpl w:val="EB26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F097A"/>
    <w:multiLevelType w:val="hybridMultilevel"/>
    <w:tmpl w:val="994C92E4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F556C"/>
    <w:multiLevelType w:val="hybridMultilevel"/>
    <w:tmpl w:val="9430A194"/>
    <w:lvl w:ilvl="0" w:tplc="6AB06D2C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745FE9"/>
    <w:multiLevelType w:val="hybridMultilevel"/>
    <w:tmpl w:val="74182688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06"/>
    <w:rsid w:val="000143B5"/>
    <w:rsid w:val="000145B5"/>
    <w:rsid w:val="00045926"/>
    <w:rsid w:val="00060D6B"/>
    <w:rsid w:val="000610BA"/>
    <w:rsid w:val="00061E5E"/>
    <w:rsid w:val="00062013"/>
    <w:rsid w:val="000661AA"/>
    <w:rsid w:val="00067C88"/>
    <w:rsid w:val="000B7261"/>
    <w:rsid w:val="000C07B8"/>
    <w:rsid w:val="001103C0"/>
    <w:rsid w:val="001828C9"/>
    <w:rsid w:val="001946C0"/>
    <w:rsid w:val="001A2D4F"/>
    <w:rsid w:val="0022404F"/>
    <w:rsid w:val="00235CF1"/>
    <w:rsid w:val="002669AB"/>
    <w:rsid w:val="00290646"/>
    <w:rsid w:val="002B1306"/>
    <w:rsid w:val="002C2945"/>
    <w:rsid w:val="00325582"/>
    <w:rsid w:val="00330829"/>
    <w:rsid w:val="00331689"/>
    <w:rsid w:val="003622FD"/>
    <w:rsid w:val="003C4ECB"/>
    <w:rsid w:val="003C6FC0"/>
    <w:rsid w:val="003D2326"/>
    <w:rsid w:val="003D70CA"/>
    <w:rsid w:val="00407931"/>
    <w:rsid w:val="004720E0"/>
    <w:rsid w:val="004737B0"/>
    <w:rsid w:val="00494F42"/>
    <w:rsid w:val="004C4FFC"/>
    <w:rsid w:val="004E5E5E"/>
    <w:rsid w:val="004F3736"/>
    <w:rsid w:val="005213F9"/>
    <w:rsid w:val="005641CE"/>
    <w:rsid w:val="005A490E"/>
    <w:rsid w:val="005B0BEC"/>
    <w:rsid w:val="005B5033"/>
    <w:rsid w:val="005C292C"/>
    <w:rsid w:val="005D783B"/>
    <w:rsid w:val="005E37C7"/>
    <w:rsid w:val="005E51B7"/>
    <w:rsid w:val="00603373"/>
    <w:rsid w:val="00677D81"/>
    <w:rsid w:val="00685A9E"/>
    <w:rsid w:val="006967B8"/>
    <w:rsid w:val="006B2F6B"/>
    <w:rsid w:val="006B496B"/>
    <w:rsid w:val="006E70FA"/>
    <w:rsid w:val="00701A04"/>
    <w:rsid w:val="00707D86"/>
    <w:rsid w:val="007275F3"/>
    <w:rsid w:val="00746C7C"/>
    <w:rsid w:val="0077147C"/>
    <w:rsid w:val="00780126"/>
    <w:rsid w:val="0078253D"/>
    <w:rsid w:val="007A0294"/>
    <w:rsid w:val="007C4C02"/>
    <w:rsid w:val="007E4AB3"/>
    <w:rsid w:val="00813026"/>
    <w:rsid w:val="00831B1B"/>
    <w:rsid w:val="00835B2C"/>
    <w:rsid w:val="0084396B"/>
    <w:rsid w:val="00852206"/>
    <w:rsid w:val="008727C0"/>
    <w:rsid w:val="00875435"/>
    <w:rsid w:val="008D6AC0"/>
    <w:rsid w:val="008E14FB"/>
    <w:rsid w:val="00921154"/>
    <w:rsid w:val="00935467"/>
    <w:rsid w:val="00967DAB"/>
    <w:rsid w:val="009840FA"/>
    <w:rsid w:val="009B2E42"/>
    <w:rsid w:val="009F05A5"/>
    <w:rsid w:val="00A55B19"/>
    <w:rsid w:val="00A630D9"/>
    <w:rsid w:val="00A74A03"/>
    <w:rsid w:val="00A92C07"/>
    <w:rsid w:val="00AA2E93"/>
    <w:rsid w:val="00AB5FC8"/>
    <w:rsid w:val="00AD44E0"/>
    <w:rsid w:val="00AF2B1F"/>
    <w:rsid w:val="00AF59B6"/>
    <w:rsid w:val="00B13CEA"/>
    <w:rsid w:val="00B51200"/>
    <w:rsid w:val="00B85B29"/>
    <w:rsid w:val="00B9500C"/>
    <w:rsid w:val="00BB657F"/>
    <w:rsid w:val="00BD0650"/>
    <w:rsid w:val="00BD596B"/>
    <w:rsid w:val="00C00584"/>
    <w:rsid w:val="00C22B5C"/>
    <w:rsid w:val="00C24C63"/>
    <w:rsid w:val="00C53EB7"/>
    <w:rsid w:val="00C920B0"/>
    <w:rsid w:val="00CA05A0"/>
    <w:rsid w:val="00CE4181"/>
    <w:rsid w:val="00D40BEE"/>
    <w:rsid w:val="00D57007"/>
    <w:rsid w:val="00D96EAD"/>
    <w:rsid w:val="00DF668A"/>
    <w:rsid w:val="00DF6B7E"/>
    <w:rsid w:val="00E1222A"/>
    <w:rsid w:val="00E12E64"/>
    <w:rsid w:val="00E273E1"/>
    <w:rsid w:val="00E323F2"/>
    <w:rsid w:val="00E71BBC"/>
    <w:rsid w:val="00E9047D"/>
    <w:rsid w:val="00EA5CE9"/>
    <w:rsid w:val="00F04431"/>
    <w:rsid w:val="00F04F52"/>
    <w:rsid w:val="00F35C45"/>
    <w:rsid w:val="00F42A8F"/>
    <w:rsid w:val="00F46DFF"/>
    <w:rsid w:val="00F6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table" w:styleId="TableGrid">
    <w:name w:val="Table Grid"/>
    <w:basedOn w:val="TableNormal"/>
    <w:uiPriority w:val="59"/>
    <w:rsid w:val="0087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F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F6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B2F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F6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table" w:styleId="TableGrid">
    <w:name w:val="Table Grid"/>
    <w:basedOn w:val="TableNormal"/>
    <w:uiPriority w:val="59"/>
    <w:rsid w:val="0087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F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F6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B2F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F6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2017-06-03T07:48:00Z</dcterms:created>
  <dcterms:modified xsi:type="dcterms:W3CDTF">2017-10-02T04:17:00Z</dcterms:modified>
</cp:coreProperties>
</file>